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AgVu/T2gEAAIADAAAOAAAAZHJzL2Uyb0RvYy54bWytU82O&#10;0zAQviPxDpbvNInTOiVquhJaLRcESLs8gGM7TaT4R7a3SV8A3oATF+48V5+DsRu6C9wQsuR4vhmP&#10;v29msruZ1YiO0vnB6AYXqxwjqbkRgz40+NPD3astRj4wLdhotGzwSXp8s3/5YjfZWhLTm1FIhyCJ&#10;9vVkG9yHYOss87yXivmVsVKDszNOsQCmO2TCsQmyqzEjeU6zyThhneHSe0BvL068T/m7TvLwoeu8&#10;DGhsMHALaXdpb+Oe7XesPjhm+4EvNNg/sFBs0PDoNdUtCww9uuGvVGrgznjThRU3KjNdN3CZNICa&#10;Iv9DzX3PrExaoDjeXsvk/19a/v740aFBQO8w0kxBi85fv5y//Th//4wAEtJzKFfV5ozkyyJVRbuK&#10;0DUtKlKtCSmjj1TthhNCX9N1/JasJOWmzGGRsihpSQmPeLV+ioh2wgQhOatEzmI/JutroHVvgViY&#10;35g5cltwD2As89w5Fb9QQAR+6Ozp2k05B8QBpOuyIFtwcfCRLSUbMCBP9nTdOh/eSqNQPDTYwbik&#10;LrLjOx8uob9C4mva3A3jCDirR/0bADkviEwzt9yOSi6M4ynM7bzIaI04gbpH64ZDDw8nfVkMgjYn&#10;hstIxjl6bsP5+Y+z/w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yc01wAAAAoBAAAPAAAAAAAA&#10;AAEAIAAAACIAAABkcnMvZG93bnJldi54bWxQSwECFAAUAAAACACHTuJAIFbv09oBAACAAwAADgAA&#10;AAAAAAABACAAAAAmAQAAZHJzL2Uyb0RvYy54bWxQSwUGAAAAAAYABgBZAQAAcgU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中国人民政治协商会议无极县委员会办公室</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131</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中国人民政治协商会议无极县委员会办公室</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中国人民政治协商会议无极县委员会办公室</w:t>
      </w:r>
    </w:p>
    <w:p>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根据全国政协组织章程，县政协主要职能是对全县大政方针政策的讨论以及全县重要事务和群众生活</w:t>
      </w:r>
      <w:r>
        <w:rPr>
          <w:rFonts w:hint="eastAsia" w:ascii="宋体" w:hAnsi="宋体" w:eastAsia="宋体"/>
          <w:sz w:val="32"/>
          <w:szCs w:val="32"/>
        </w:rPr>
        <w:t>,</w:t>
      </w:r>
      <w:r>
        <w:rPr>
          <w:rFonts w:ascii="Times New Roman" w:eastAsia="仿宋_GB2312"/>
          <w:sz w:val="32"/>
          <w:szCs w:val="32"/>
        </w:rPr>
        <w:t xml:space="preserve">统一战线内部关系等重要问题进行政治协商，并通过提案、社情民意、会议等形式提出意见和建议，发挥民主监督、参政议政作用；充分发扬社会主义民主，反映社会各界意见，促进我县各级党委、政府重大决策的科学化、民主化。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中国人民政治协商会议无极县委员会办公室</w:t>
            </w:r>
          </w:p>
        </w:tc>
        <w:tc>
          <w:tcPr>
            <w:tcW w:w="244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行政单位</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全额</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部门（单位）：中国人民政治协商会议无极县委员会办公室</w:t>
            </w:r>
          </w:p>
        </w:tc>
        <w:tc>
          <w:tcPr>
            <w:tcW w:w="1262" w:type="pct"/>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544.68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455.23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71.37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544.68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544.68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部门（单位）：中国人民政治协商会议无极县委员会办公室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544.68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544.68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455.23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455.23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政协事务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455.23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455.23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383.62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383.62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2010204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政协会议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2010299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其他政协事务支出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71.37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71.37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死亡抚恤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部门（单位）：中国人民政治协商会议无极县委员会办公室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473.07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71.61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455.23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71.61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政协事务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455.23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71.61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2010204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政协会议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2010299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其他政协事务支出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71.37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63.63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部门（单位）：中国人民政治协商会议无极县委员会办公室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544.68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455.23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455.23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71.37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71.37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18.08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18.08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544.68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544.68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544.68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544.68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544.68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544.68</w:t>
            </w:r>
          </w:p>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10"/>
        <w:gridCol w:w="3012"/>
        <w:gridCol w:w="1040"/>
        <w:gridCol w:w="677"/>
        <w:gridCol w:w="710"/>
        <w:gridCol w:w="339"/>
        <w:gridCol w:w="11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部门（单位）：中国人民政治协商会议无极县委员会办公室</w:t>
            </w:r>
          </w:p>
        </w:tc>
        <w:tc>
          <w:tcPr>
            <w:tcW w:w="1541"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544.68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473.07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71.61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455.23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政协事务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455.23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383.62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2010204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政协会议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33.63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2010299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其他政协事务支出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71.37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71.37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63.63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63.63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部门（单位）：中国人民政治协商会议无极县委员会办公室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340.48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70.85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126.87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25.72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66.04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63.25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54.56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18.08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61.74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54.00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7.74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18.10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8.52</w:t>
            </w: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402.22</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部门（单位）：中国人民政治协商会议无极县委员会办公室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部门（单位）：中国人民政治协商会议无极县委员会办公室</w:t>
            </w:r>
          </w:p>
        </w:tc>
        <w:tc>
          <w:tcPr>
            <w:tcW w:w="1421"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部门（单位）：中国人民政治协商会议无极县委员会办公室</w:t>
            </w:r>
          </w:p>
        </w:tc>
        <w:tc>
          <w:tcPr>
            <w:tcW w:w="93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16.00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16.00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7.02</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7.02</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7.02</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本部门2025年度收、支总计（含结转和结余）均为544.68万元。与2024年度决算相比，收支各增加104.61万元，增长23.8%，主要原因是</w:t>
      </w:r>
      <w:r>
        <w:rPr>
          <w:rFonts w:hint="eastAsia" w:ascii="Times New Roman" w:eastAsia="仿宋_GB2312"/>
          <w:sz w:val="32"/>
          <w:szCs w:val="32"/>
          <w:lang w:val="en-US" w:eastAsia="zh-CN"/>
        </w:rPr>
        <w:t>项目</w:t>
      </w:r>
      <w:r>
        <w:rPr>
          <w:rFonts w:hint="eastAsia" w:ascii="Times New Roman" w:eastAsia="仿宋_GB2312"/>
          <w:sz w:val="32"/>
          <w:szCs w:val="32"/>
        </w:rPr>
        <w:t>支出</w:t>
      </w:r>
      <w:r>
        <w:rPr>
          <w:rFonts w:hint="eastAsia" w:ascii="Times New Roman" w:eastAsia="仿宋_GB2312"/>
          <w:sz w:val="32"/>
          <w:szCs w:val="32"/>
          <w:lang w:val="en-US" w:eastAsia="zh-CN"/>
        </w:rPr>
        <w:t>增加</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544.68万元，其中：财政拨款收入544.68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本部门2025年度本年支出合计544.68万元，其中：基本支出473.07万元，占86.9%；项目支出71.61万元，占13.1%；经营支出0.00万元，占0.0%；上缴上级支出0.00万元，占0.0%；对附属单位补助支出0.00万元，占0.0%。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本部门2025年度财政拨款收、支总计（含结转和结余）均为544.68万元。与2024年度相比，财政拨款收支各增加104.61万元，增长23.8%，主要原因是</w:t>
      </w:r>
      <w:r>
        <w:rPr>
          <w:rFonts w:hint="eastAsia" w:ascii="Times New Roman" w:eastAsia="仿宋_GB2312"/>
          <w:sz w:val="32"/>
          <w:szCs w:val="32"/>
          <w:lang w:val="en-US" w:eastAsia="zh-CN"/>
        </w:rPr>
        <w:t>项目</w:t>
      </w:r>
      <w:r>
        <w:rPr>
          <w:rFonts w:hint="eastAsia" w:ascii="Times New Roman" w:eastAsia="仿宋_GB2312"/>
          <w:sz w:val="32"/>
          <w:szCs w:val="32"/>
        </w:rPr>
        <w:t>支出</w:t>
      </w:r>
      <w:r>
        <w:rPr>
          <w:rFonts w:hint="eastAsia" w:ascii="Times New Roman" w:eastAsia="仿宋_GB2312"/>
          <w:sz w:val="32"/>
          <w:szCs w:val="32"/>
          <w:lang w:val="en-US" w:eastAsia="zh-CN"/>
        </w:rPr>
        <w:t>增加</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本部门2025年度财政拨款本年收入544.68万元,比上年增加106.16万元，增长24.2%，主要原因是</w:t>
      </w:r>
      <w:r>
        <w:rPr>
          <w:rFonts w:hint="eastAsia" w:ascii="Times New Roman" w:eastAsia="仿宋_GB2312"/>
          <w:sz w:val="32"/>
          <w:szCs w:val="32"/>
          <w:lang w:val="en-US" w:eastAsia="zh-CN"/>
        </w:rPr>
        <w:t>项目</w:t>
      </w:r>
      <w:r>
        <w:rPr>
          <w:rFonts w:hint="eastAsia" w:ascii="Times New Roman" w:eastAsia="仿宋_GB2312"/>
          <w:sz w:val="32"/>
          <w:szCs w:val="32"/>
        </w:rPr>
        <w:t>支出</w:t>
      </w:r>
      <w:r>
        <w:rPr>
          <w:rFonts w:hint="eastAsia" w:ascii="Times New Roman" w:eastAsia="仿宋_GB2312"/>
          <w:sz w:val="32"/>
          <w:szCs w:val="32"/>
          <w:lang w:val="en-US" w:eastAsia="zh-CN"/>
        </w:rPr>
        <w:t>增加</w:t>
      </w:r>
      <w:r>
        <w:rPr>
          <w:rFonts w:ascii="Times New Roman" w:eastAsia="仿宋_GB2312"/>
          <w:b w:val="0"/>
          <w:sz w:val="32"/>
          <w:szCs w:val="32"/>
        </w:rPr>
        <w:t>；本年支出544.68万元，比上年增加104.61万元，增长23.8%，主要原因是</w:t>
      </w:r>
      <w:r>
        <w:rPr>
          <w:rFonts w:hint="eastAsia" w:ascii="Times New Roman" w:eastAsia="仿宋_GB2312"/>
          <w:sz w:val="32"/>
          <w:szCs w:val="32"/>
          <w:lang w:val="en-US" w:eastAsia="zh-CN"/>
        </w:rPr>
        <w:t>项目</w:t>
      </w:r>
      <w:r>
        <w:rPr>
          <w:rFonts w:hint="eastAsia" w:ascii="Times New Roman" w:eastAsia="仿宋_GB2312"/>
          <w:sz w:val="32"/>
          <w:szCs w:val="32"/>
        </w:rPr>
        <w:t>支出</w:t>
      </w:r>
      <w:r>
        <w:rPr>
          <w:rFonts w:hint="eastAsia" w:ascii="Times New Roman" w:eastAsia="仿宋_GB2312"/>
          <w:sz w:val="32"/>
          <w:szCs w:val="32"/>
          <w:lang w:val="en-US" w:eastAsia="zh-CN"/>
        </w:rPr>
        <w:t>增加</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一般公共预算财政拨款本年收入544.68万元,比上年增加106.16万元，增长24.2%，主要原因是</w:t>
      </w:r>
      <w:r>
        <w:rPr>
          <w:rFonts w:hint="eastAsia" w:ascii="Times New Roman" w:eastAsia="仿宋_GB2312"/>
          <w:sz w:val="32"/>
          <w:szCs w:val="32"/>
          <w:lang w:val="en-US" w:eastAsia="zh-CN"/>
        </w:rPr>
        <w:t>项目</w:t>
      </w:r>
      <w:r>
        <w:rPr>
          <w:rFonts w:hint="eastAsia" w:ascii="Times New Roman" w:eastAsia="仿宋_GB2312"/>
          <w:sz w:val="32"/>
          <w:szCs w:val="32"/>
        </w:rPr>
        <w:t>支出</w:t>
      </w:r>
      <w:r>
        <w:rPr>
          <w:rFonts w:hint="eastAsia" w:ascii="Times New Roman" w:eastAsia="仿宋_GB2312"/>
          <w:sz w:val="32"/>
          <w:szCs w:val="32"/>
          <w:lang w:val="en-US" w:eastAsia="zh-CN"/>
        </w:rPr>
        <w:t>增加</w:t>
      </w:r>
      <w:r>
        <w:rPr>
          <w:rFonts w:ascii="Times New Roman" w:eastAsia="仿宋_GB2312"/>
          <w:b w:val="0"/>
          <w:sz w:val="32"/>
          <w:szCs w:val="32"/>
        </w:rPr>
        <w:t>；本年支出544.68万元，比上年增加104.61万元，增长23.8%，主要原因是</w:t>
      </w:r>
      <w:r>
        <w:rPr>
          <w:rFonts w:hint="eastAsia" w:ascii="Times New Roman" w:eastAsia="仿宋_GB2312"/>
          <w:sz w:val="32"/>
          <w:szCs w:val="32"/>
          <w:lang w:val="en-US" w:eastAsia="zh-CN"/>
        </w:rPr>
        <w:t>项目</w:t>
      </w:r>
      <w:r>
        <w:rPr>
          <w:rFonts w:hint="eastAsia" w:ascii="Times New Roman" w:eastAsia="仿宋_GB2312"/>
          <w:sz w:val="32"/>
          <w:szCs w:val="32"/>
        </w:rPr>
        <w:t>支出</w:t>
      </w:r>
      <w:r>
        <w:rPr>
          <w:rFonts w:hint="eastAsia" w:ascii="Times New Roman" w:eastAsia="仿宋_GB2312"/>
          <w:sz w:val="32"/>
          <w:szCs w:val="32"/>
          <w:lang w:val="en-US" w:eastAsia="zh-CN"/>
        </w:rPr>
        <w:t>增加</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w:t>
      </w:r>
      <w:r>
        <w:rPr>
          <w:rFonts w:hint="eastAsia" w:ascii="Times New Roman" w:eastAsia="仿宋_GB2312"/>
          <w:sz w:val="32"/>
          <w:szCs w:val="32"/>
        </w:rPr>
        <w:t>与上年度持平，无增减变化</w:t>
      </w:r>
      <w:r>
        <w:rPr>
          <w:rFonts w:ascii="Times New Roman" w:eastAsia="仿宋_GB2312"/>
          <w:b w:val="0"/>
          <w:sz w:val="32"/>
          <w:szCs w:val="32"/>
        </w:rPr>
        <w:t>；本年支出0.00万元，比上年增加0.00万元，增长0.00%，主要原因是</w:t>
      </w:r>
      <w:r>
        <w:rPr>
          <w:rFonts w:hint="eastAsia" w:ascii="Times New Roman" w:eastAsia="仿宋_GB2312"/>
          <w:sz w:val="32"/>
          <w:szCs w:val="32"/>
        </w:rPr>
        <w:t>与上年度持平，无增减变化</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w:t>
      </w:r>
      <w:r>
        <w:rPr>
          <w:rFonts w:hint="eastAsia" w:ascii="Times New Roman" w:eastAsia="仿宋_GB2312"/>
          <w:sz w:val="32"/>
          <w:szCs w:val="32"/>
        </w:rPr>
        <w:t>与上年度持平，无增减变化</w:t>
      </w:r>
      <w:r>
        <w:rPr>
          <w:rFonts w:ascii="Times New Roman" w:eastAsia="仿宋_GB2312"/>
          <w:b w:val="0"/>
          <w:sz w:val="32"/>
          <w:szCs w:val="32"/>
        </w:rPr>
        <w:t>；本年支出0.00万元，比上年增加0.00万元，增长0.00%，主要原因是</w:t>
      </w:r>
      <w:r>
        <w:rPr>
          <w:rFonts w:hint="eastAsia" w:ascii="Times New Roman" w:eastAsia="仿宋_GB2312"/>
          <w:sz w:val="32"/>
          <w:szCs w:val="32"/>
        </w:rPr>
        <w:t>与上年度持平，无增减变化</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本部门2025年度财政拨款本年收入544.68万元，完成年初预算的92.7%，比年初预算减少42.62万元，决算数小于预算数主要原因是</w:t>
      </w:r>
      <w:r>
        <w:rPr>
          <w:rFonts w:hint="eastAsia" w:ascii="Times New Roman" w:eastAsia="仿宋_GB2312"/>
          <w:b w:val="0"/>
          <w:sz w:val="32"/>
          <w:szCs w:val="32"/>
          <w:lang w:val="en-US" w:eastAsia="zh-CN"/>
        </w:rPr>
        <w:t>通过审批减少部分支出</w:t>
      </w:r>
      <w:r>
        <w:rPr>
          <w:rFonts w:ascii="Times New Roman" w:eastAsia="仿宋_GB2312"/>
          <w:b w:val="0"/>
          <w:sz w:val="32"/>
          <w:szCs w:val="32"/>
        </w:rPr>
        <w:t>；本年支出544.68万元，完成年初预算的92.7%，比年初预算减少42.62万元，决算数小于预算数主要原因是</w:t>
      </w:r>
      <w:r>
        <w:rPr>
          <w:rFonts w:hint="eastAsia" w:ascii="Times New Roman" w:eastAsia="仿宋_GB2312"/>
          <w:b w:val="0"/>
          <w:sz w:val="32"/>
          <w:szCs w:val="32"/>
          <w:lang w:val="en-US" w:eastAsia="zh-CN"/>
        </w:rPr>
        <w:t>通过审批减少了部分支出</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一般公共预算财政拨款本年收入完成年初预算的92.7%，比年初预算减少42.62万元，主要原因是</w:t>
      </w:r>
      <w:r>
        <w:rPr>
          <w:rFonts w:hint="eastAsia" w:ascii="Times New Roman" w:eastAsia="仿宋_GB2312"/>
          <w:b w:val="0"/>
          <w:sz w:val="32"/>
          <w:szCs w:val="32"/>
          <w:lang w:val="en-US" w:eastAsia="zh-CN"/>
        </w:rPr>
        <w:t>通过审批减少部分支出</w:t>
      </w:r>
      <w:r>
        <w:rPr>
          <w:rFonts w:ascii="Times New Roman" w:eastAsia="仿宋_GB2312"/>
          <w:b w:val="0"/>
          <w:sz w:val="32"/>
          <w:szCs w:val="32"/>
        </w:rPr>
        <w:t>；支出完成年初预算的92.7%，比年初预算减少42.62万元，主要原因是</w:t>
      </w:r>
      <w:r>
        <w:rPr>
          <w:rFonts w:hint="eastAsia" w:ascii="Times New Roman" w:eastAsia="仿宋_GB2312"/>
          <w:b w:val="0"/>
          <w:sz w:val="32"/>
          <w:szCs w:val="32"/>
          <w:lang w:val="en-US" w:eastAsia="zh-CN"/>
        </w:rPr>
        <w:t>通过审批减少部分支出</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w:t>
      </w:r>
      <w:r>
        <w:rPr>
          <w:rFonts w:hint="eastAsia" w:ascii="Times New Roman" w:eastAsia="仿宋_GB2312"/>
          <w:sz w:val="32"/>
          <w:szCs w:val="32"/>
        </w:rPr>
        <w:t>与年初预算持平，年初无此类预算</w:t>
      </w:r>
      <w:r>
        <w:rPr>
          <w:rFonts w:ascii="Times New Roman" w:eastAsia="仿宋_GB2312"/>
          <w:b w:val="0"/>
          <w:sz w:val="32"/>
          <w:szCs w:val="32"/>
        </w:rPr>
        <w:t>；支出完成年初预算的0.0%，比年初预算增加0.00万元，主要原因是</w:t>
      </w:r>
      <w:r>
        <w:rPr>
          <w:rFonts w:hint="eastAsia" w:ascii="Times New Roman" w:eastAsia="仿宋_GB2312"/>
          <w:sz w:val="32"/>
          <w:szCs w:val="32"/>
        </w:rPr>
        <w:t>与年初预算持平，年初无此类预算</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w:t>
      </w:r>
      <w:r>
        <w:rPr>
          <w:rFonts w:hint="eastAsia" w:ascii="Times New Roman" w:eastAsia="仿宋_GB2312"/>
          <w:sz w:val="32"/>
          <w:szCs w:val="32"/>
        </w:rPr>
        <w:t>与年初预算持平，年初无此类预算</w:t>
      </w:r>
      <w:r>
        <w:rPr>
          <w:rFonts w:ascii="Times New Roman" w:eastAsia="仿宋_GB2312"/>
          <w:b w:val="0"/>
          <w:sz w:val="32"/>
          <w:szCs w:val="32"/>
        </w:rPr>
        <w:t>；支出完成年初预算的0.0%，比年初预算增加0.00万元，主要原因是</w:t>
      </w:r>
      <w:r>
        <w:rPr>
          <w:rFonts w:hint="eastAsia" w:ascii="Times New Roman" w:eastAsia="仿宋_GB2312"/>
          <w:sz w:val="32"/>
          <w:szCs w:val="32"/>
        </w:rPr>
        <w:t>与年初预算持平，年初无此类预算</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2025年度财政拨款支出544.68万元，主要用于以下方面：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一般公共服务（类）支出455.23万元，占83.6%，主要用于</w:t>
      </w:r>
      <w:r>
        <w:rPr>
          <w:rFonts w:hint="eastAsia" w:ascii="Times New Roman" w:eastAsia="仿宋_GB2312"/>
          <w:sz w:val="32"/>
          <w:szCs w:val="32"/>
        </w:rPr>
        <w:t>行政运行和政协会议</w:t>
      </w:r>
      <w:r>
        <w:rPr>
          <w:rFonts w:ascii="Times New Roman" w:eastAsia="仿宋_GB2312"/>
          <w:b w:val="0"/>
          <w:sz w:val="32"/>
          <w:szCs w:val="32"/>
        </w:rPr>
        <w:t>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（类）支出71.37万元，占13.1%，主要用于</w:t>
      </w:r>
      <w:r>
        <w:rPr>
          <w:rFonts w:hint="eastAsia" w:ascii="Times New Roman" w:eastAsia="仿宋_GB2312"/>
          <w:sz w:val="32"/>
          <w:szCs w:val="32"/>
        </w:rPr>
        <w:t>养老保险和职业年金</w:t>
      </w:r>
      <w:r>
        <w:rPr>
          <w:rFonts w:ascii="Times New Roman" w:eastAsia="仿宋_GB2312"/>
          <w:b w:val="0"/>
          <w:sz w:val="32"/>
          <w:szCs w:val="32"/>
        </w:rPr>
        <w:t>等支出；卫生健康（类）支出18.08万元，占3.3%，主要用于</w:t>
      </w:r>
      <w:r>
        <w:rPr>
          <w:rFonts w:hint="eastAsia" w:ascii="Times New Roman" w:eastAsia="仿宋_GB2312"/>
          <w:sz w:val="32"/>
          <w:szCs w:val="32"/>
        </w:rPr>
        <w:t>计划生育事务和基本医疗</w:t>
      </w:r>
      <w:r>
        <w:rPr>
          <w:rFonts w:ascii="Times New Roman" w:eastAsia="仿宋_GB2312"/>
          <w:b w:val="0"/>
          <w:sz w:val="32"/>
          <w:szCs w:val="32"/>
        </w:rPr>
        <w:t>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2025年度财政拨款基本支出473.07万元，其中：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402.22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70.85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本部门2025年度“三公”经费财政拨款支出预算为16.00万元，支出决算为7.02万元，完成预算的43.9%，较预算减少8.98万元，降低56.1%，主要原因是</w:t>
      </w:r>
      <w:r>
        <w:rPr>
          <w:rFonts w:hint="eastAsia" w:ascii="Times New Roman" w:eastAsia="仿宋_GB2312"/>
          <w:sz w:val="32"/>
          <w:szCs w:val="32"/>
        </w:rPr>
        <w:t>厉行节约严格控制三公经费支出</w:t>
      </w:r>
      <w:r>
        <w:rPr>
          <w:rFonts w:ascii="Times New Roman" w:eastAsia="仿宋_GB2312"/>
          <w:b w:val="0"/>
          <w:sz w:val="32"/>
          <w:szCs w:val="32"/>
        </w:rPr>
        <w:t>；较2024年度决算减少0.16万元，降低2.2%，主要原因是</w:t>
      </w:r>
      <w:r>
        <w:rPr>
          <w:rFonts w:hint="eastAsia" w:ascii="Times New Roman" w:eastAsia="仿宋_GB2312"/>
          <w:sz w:val="32"/>
          <w:szCs w:val="32"/>
        </w:rPr>
        <w:t>厉行节约严格控制三公经费支出</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部门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本部门2025年度公务用车购置及运行维护费预算为16.00万元，支出决算7.02万元，完成预算的43.9%,较预算减少8.98万元，降低56.1%,主要原因是</w:t>
      </w:r>
      <w:r>
        <w:rPr>
          <w:rFonts w:hint="eastAsia" w:ascii="Times New Roman" w:eastAsia="仿宋_GB2312"/>
          <w:sz w:val="32"/>
          <w:szCs w:val="32"/>
        </w:rPr>
        <w:t>厉行节约严格控制三公经费支出</w:t>
      </w:r>
      <w:r>
        <w:rPr>
          <w:rFonts w:ascii="Times New Roman" w:eastAsia="仿宋_GB2312"/>
          <w:b w:val="0"/>
          <w:sz w:val="32"/>
          <w:szCs w:val="32"/>
        </w:rPr>
        <w:t>；较上年减少0.16万元，降低2.2%,主要原因是</w:t>
      </w:r>
      <w:r>
        <w:rPr>
          <w:rFonts w:hint="eastAsia" w:ascii="Times New Roman" w:eastAsia="仿宋_GB2312"/>
          <w:sz w:val="32"/>
          <w:szCs w:val="32"/>
        </w:rPr>
        <w:t>厉行节约严格控制三公经费支出</w:t>
      </w:r>
      <w:r>
        <w:rPr>
          <w:rFonts w:ascii="Times New Roman" w:eastAsia="仿宋_GB2312"/>
          <w:b w:val="0"/>
          <w:sz w:val="32"/>
          <w:szCs w:val="32"/>
        </w:rPr>
        <w:t>。其中：</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本部门2025年度公务用车购置量0辆，发生“公务用车购置”经费支出0.00万元。公务用车购置费支出较预算增加0.00万元，增长0.0%,主要原因是；较上年增加0.00万元，增长0.00%,主要原因是。</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公务用车运行维护费支出7.02万元：</w:t>
      </w:r>
      <w:r>
        <w:rPr>
          <w:rFonts w:ascii="Times New Roman" w:eastAsia="仿宋_GB2312"/>
          <w:b w:val="0"/>
          <w:sz w:val="32"/>
          <w:szCs w:val="32"/>
        </w:rPr>
        <w:t>本部门2025年度单位公务用车保有量4辆，发生运行维护费支出7.02万元。公车运行维护费支出较预算减少8.98万元，降低56.1%,主要原因是</w:t>
      </w:r>
      <w:r>
        <w:rPr>
          <w:rFonts w:hint="eastAsia" w:ascii="Times New Roman" w:eastAsia="仿宋_GB2312"/>
          <w:sz w:val="32"/>
          <w:szCs w:val="32"/>
        </w:rPr>
        <w:t>厉行节约严格控制三公经费支出</w:t>
      </w:r>
      <w:r>
        <w:rPr>
          <w:rFonts w:ascii="Times New Roman" w:eastAsia="仿宋_GB2312"/>
          <w:b w:val="0"/>
          <w:sz w:val="32"/>
          <w:szCs w:val="32"/>
        </w:rPr>
        <w:t>；较上年减少0.16万元，降低2.2%，主要原因是</w:t>
      </w:r>
      <w:r>
        <w:rPr>
          <w:rFonts w:hint="eastAsia" w:ascii="Times New Roman" w:eastAsia="仿宋_GB2312"/>
          <w:sz w:val="32"/>
          <w:szCs w:val="32"/>
        </w:rPr>
        <w:t>厉行节约严格控制三公经费支出</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2025年度公务接待费支出预算为0.00万元，支出决算0.00万元，完成预算的0.0%。公务接待费支出较预算增加0.00万元，增长0.0%,主要原因是；较上年度增加0.00万元，增长0.00%,主要原因是。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本部门2025年度机关运行经费支出70.85万元，较2024年度增加11.05万元，增长18.5%。主要原因是</w:t>
      </w:r>
      <w:r>
        <w:rPr>
          <w:rFonts w:hint="eastAsia" w:ascii="Times New Roman" w:eastAsia="仿宋_GB2312"/>
          <w:b w:val="0"/>
          <w:sz w:val="32"/>
          <w:szCs w:val="32"/>
          <w:lang w:val="en-US" w:eastAsia="zh-CN"/>
        </w:rPr>
        <w:t>项目支出增加</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部门共有车辆4辆，比上年增加0辆，主要是。其中，副部（省）级及以上领导用车0辆，主要负责人用车0辆，机要通信用车0辆，应急保障用车4辆，执法执勤用车0辆，特种专业技术用车0辆，离退休干部用车0辆，其他用车0辆，其他用车主要是。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w:t>
      </w:r>
      <w:r>
        <w:rPr>
          <w:rFonts w:hint="eastAsia" w:ascii="Times New Roman" w:eastAsia="仿宋_GB2312"/>
          <w:b w:val="0"/>
          <w:sz w:val="32"/>
          <w:szCs w:val="32"/>
          <w:lang w:val="en-US" w:eastAsia="zh-CN"/>
        </w:rPr>
        <w:t>71.61</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5</w:t>
      </w:r>
      <w:r>
        <w:rPr>
          <w:rFonts w:ascii="Times New Roman" w:eastAsia="仿宋_GB2312"/>
          <w:b w:val="0"/>
          <w:sz w:val="32"/>
          <w:szCs w:val="32"/>
        </w:rPr>
        <w:t>个，涉及资金</w:t>
      </w:r>
      <w:r>
        <w:rPr>
          <w:rFonts w:hint="eastAsia" w:ascii="Times New Roman" w:eastAsia="仿宋_GB2312"/>
          <w:b w:val="0"/>
          <w:sz w:val="32"/>
          <w:szCs w:val="32"/>
          <w:lang w:val="en-US" w:eastAsia="zh-CN"/>
        </w:rPr>
        <w:t>71.61</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%；国有资本经营预算项目个，涉及资金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组织对等个项目开展了部门重点评价，涉及一般公共预算支出</w:t>
      </w:r>
      <w:r>
        <w:rPr>
          <w:rFonts w:hint="eastAsia" w:ascii="Times New Roman" w:eastAsia="仿宋_GB2312"/>
          <w:b w:val="0"/>
          <w:sz w:val="32"/>
          <w:szCs w:val="32"/>
          <w:lang w:val="en-US" w:eastAsia="zh-CN"/>
        </w:rPr>
        <w:t>71.61</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w:t>
      </w:r>
      <w:r>
        <w:rPr>
          <w:rFonts w:hint="eastAsia" w:ascii="Times New Roman" w:eastAsia="仿宋_GB2312"/>
          <w:b w:val="0"/>
          <w:sz w:val="32"/>
          <w:szCs w:val="32"/>
          <w:lang w:val="en-US" w:eastAsia="zh-CN"/>
        </w:rPr>
        <w:t>项目圆满结束</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w:t>
      </w:r>
      <w:r>
        <w:rPr>
          <w:rFonts w:hint="eastAsia" w:ascii="Times New Roman" w:eastAsia="仿宋_GB2312"/>
          <w:b w:val="0"/>
          <w:sz w:val="32"/>
          <w:szCs w:val="32"/>
        </w:rPr>
        <w:t>无极县第十四届委员会第五次会议</w:t>
      </w:r>
      <w:r>
        <w:rPr>
          <w:rFonts w:ascii="Times New Roman" w:eastAsia="仿宋_GB2312"/>
          <w:b w:val="0"/>
          <w:sz w:val="32"/>
          <w:szCs w:val="32"/>
        </w:rPr>
        <w:t>等</w:t>
      </w:r>
      <w:r>
        <w:rPr>
          <w:rFonts w:hint="eastAsia" w:ascii="Times New Roman" w:eastAsia="仿宋_GB2312"/>
          <w:b w:val="0"/>
          <w:sz w:val="32"/>
          <w:szCs w:val="32"/>
          <w:lang w:val="en-US" w:eastAsia="zh-CN"/>
        </w:rPr>
        <w:t>5</w:t>
      </w:r>
      <w:r>
        <w:rPr>
          <w:rFonts w:ascii="Times New Roman" w:eastAsia="仿宋_GB2312"/>
          <w:b w:val="0"/>
          <w:sz w:val="32"/>
          <w:szCs w:val="32"/>
        </w:rPr>
        <w:t>个项目绩效自评结果。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项目绩效自评情况：</w:t>
      </w:r>
      <w:r>
        <w:rPr>
          <w:rFonts w:hint="eastAsia" w:ascii="Times New Roman" w:eastAsia="仿宋_GB2312"/>
          <w:b w:val="0"/>
          <w:sz w:val="32"/>
          <w:szCs w:val="32"/>
        </w:rPr>
        <w:t>1、2025年政协无极县委员会办公室十四届五次会议项目安排资金50万元，实际支出33.63万元，主要组织十四届五次会议召开。该项目自评得分95分，共设置4个一级指标，数量指标资金使用率指标预期值95%，实际完成95%得分10分;会议完成率指标预期值95%，实际完成95%得分10分;及时性指标预期值95%，实际完成95%得分10分;项目预算资金完成率指标预期值95%，实际完成95%得分10分;产出类指标得分40分。预算执行率指标预期值100%，实际完成100%得分10分。效益指标经济效益指标预期值95%，实际完成80%得5分;社会效益指标预期值为95%，实际完成100%得分10分，生态指标预期值95%，实际完成95%得分10分;可持续影响指标预期值95%，实际完成95%均得分10分，效益指标得分35分。满意度指标指标预期值95%，实际完成95%得分10分。该项目自评得分95分。</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rPr>
        <w:t>2、汇编印制编撰《印象无极》专项经费项目安排资金5万元，实际支出5万元，该项目自评得分100分，共设置4个一级指标，数量指标资金使用率指标预期值95%，实际完成95%得分10分;会议完成率指标预期值95%，实际完成95%得分10分;及时性指标预期值95%，实际完成95%得分10分;项目预算资金完成率指标预期值95%，实际完成95%得分10分;产出类指标得分40分。预算执行率指标预期值100%，实际完成100%得分10分。效益指标经济效益指标预期值95%，实际完成95%得10分;社会效益指标预期值为95%，实际完成100%得分10分，生态指标预期值95%，实际完成95%得分10分;可持续影响指标预期值95%，实际完成95%均得分10分，效益指标得分35分。满意度指标指标预期值95%，实际完成95%得分10分。该项目自评得分100分。</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rPr>
        <w:t>3、专项村志工作经费项目安排资金5万元，实际支出4.9881万元，该项目自评得分100分，共设置4个一级指标，数量指标资金使用率指标预期值95%，实际完成95%得分10分;会议完成率指标预期值95%，实际完成95%得分10分;及时性指标预期值95%，实际完成95%得分10分;项目预算资金完成率指标预期值95%，实际完成95%得分10分;产出类指标得分40分。预算执行率指标预期值100%，实际完成100%得分10分。效益指标经济效益指标预期值95%，实际完成95%得10分;社会效益指标预期值为95%，实际完成100%得分10分，生态指标预期值95%，实际完成95%得分10分;可持续影响指标预期值95%，实际完成95%均得分10分，效益指标得分35分。满意度指标指标预期值95%，实际完成95%得分10分。该项目自评得分100分。</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rPr>
        <w:t>4、李狄三红色文化经费项目安排资金13万元，实际支出13万元，该项目自评得分100分，共设置4个一级指标，数量指标资金使用率指标预期值95%，实际完成95%得分10分;会议完成率指标预期值95%，实际完成95%得分10分;及时性指标预期值95%，实际完成95%得分10分;项目预算资金完成率指标预期值95%，实际完成95%得分10分;产出类指标得分40分。预算执行率指标预期值100%，实际完成100%得分10分。效益指标经济效益指标预期值95%，实际完成95%得10分;社会效益指标预期值为95%，实际完成100%得分10分，生态指标预期值95%，实际完成95%得分10分;可持续影响指标预期值95%，实际完成95%均得分10分，效益指标得分35分。满意度指标指标预期值95%，实际完成95%得分10分。该项目自评得分100分。</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rPr>
        <w:t>5、李狄三红色文化工作经费项目安排资金15万元，实际支出15万元，该项目自评得分100分，共设置4个一级指标，数量指标资金使用率指标预期值95%，实际完成95%得分10分;会议完成率指标预期值95%，实际完成95%得分10分;及时性指标预期值95%，实际完成95%得分10分;项目预算资金完成率指标预期值95%，实际完成95%得分10分;产出类指标得分40分。预算执行率指标预期值100%，实际完成100%得分10分。效益指标经济效益指标预期值95%，实际完成95%得10分;社会效益指标预期值为95%，实际完成100%得分10分，生态指标预期值95%，实际完成95%得分10分;可持续影响指标预期值95%，实际完成95%均得分10分，效益指标得分35分。满意度指标指标预期值95%，实际完成95%得分10分。该项目自评得分100分。</w:t>
      </w:r>
    </w:p>
    <w:p>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根据部门职责定位和各项工作履职情况进行综合评价，给出总得分，满分100分，得出综合绩效评价等级。部门整体支出综合绩效评价分为4个等级：得分</w:t>
      </w:r>
      <w:r>
        <w:rPr>
          <w:rFonts w:ascii="Times New Roman" w:eastAsia="仿宋_GB2312"/>
          <w:b w:val="0"/>
          <w:sz w:val="32"/>
          <w:szCs w:val="32"/>
        </w:rPr>
        <w:t>≥</w:t>
      </w:r>
      <w:r>
        <w:rPr>
          <w:rFonts w:hint="eastAsia" w:ascii="Times New Roman" w:eastAsia="仿宋_GB2312"/>
          <w:b w:val="0"/>
          <w:sz w:val="32"/>
          <w:szCs w:val="32"/>
        </w:rPr>
        <w:t>85分为优秀；75</w:t>
      </w:r>
      <w:r>
        <w:rPr>
          <w:rFonts w:ascii="Times New Roman" w:eastAsia="仿宋_GB2312"/>
          <w:b w:val="0"/>
          <w:sz w:val="32"/>
          <w:szCs w:val="32"/>
        </w:rPr>
        <w:t>≤</w:t>
      </w:r>
      <w:r>
        <w:rPr>
          <w:rFonts w:hint="eastAsia" w:ascii="Times New Roman" w:eastAsia="仿宋_GB2312"/>
          <w:b w:val="0"/>
          <w:sz w:val="32"/>
          <w:szCs w:val="32"/>
        </w:rPr>
        <w:t>得分＜85分为良好；60</w:t>
      </w:r>
      <w:r>
        <w:rPr>
          <w:rFonts w:ascii="Times New Roman" w:eastAsia="仿宋_GB2312"/>
          <w:b w:val="0"/>
          <w:sz w:val="32"/>
          <w:szCs w:val="32"/>
        </w:rPr>
        <w:t>≤</w:t>
      </w:r>
      <w:r>
        <w:rPr>
          <w:rFonts w:hint="eastAsia" w:ascii="Times New Roman" w:eastAsia="仿宋_GB2312"/>
          <w:b w:val="0"/>
          <w:sz w:val="32"/>
          <w:szCs w:val="32"/>
        </w:rPr>
        <w:t>得分＜75分为一般；得分＜60分为较差。我办2025年开展项目全部≥90，评价等级为“优”。</w:t>
      </w:r>
    </w:p>
    <w:tbl>
      <w:tblPr>
        <w:tblStyle w:val="11"/>
        <w:tblW w:w="95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430"/>
        <w:gridCol w:w="985"/>
        <w:gridCol w:w="858"/>
        <w:gridCol w:w="1244"/>
        <w:gridCol w:w="1227"/>
        <w:gridCol w:w="1209"/>
        <w:gridCol w:w="1138"/>
        <w:gridCol w:w="14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27" w:hRule="atLeast"/>
        </w:trPr>
        <w:tc>
          <w:tcPr>
            <w:tcW w:w="9520"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eastAsia" w:ascii="方正小标宋_GBK" w:hAnsi="方正小标宋_GBK" w:eastAsia="方正小标宋_GBK" w:cs="方正小标宋_GBK"/>
                <w:i w:val="0"/>
                <w:color w:val="000000"/>
                <w:kern w:val="0"/>
                <w:sz w:val="44"/>
                <w:szCs w:val="44"/>
                <w:u w:val="none"/>
                <w:lang w:val="en-US" w:eastAsia="zh-CN" w:bidi="ar"/>
              </w:rPr>
              <w:t>县级部门预算项目绩效自评表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9" w:hRule="atLeast"/>
        </w:trPr>
        <w:tc>
          <w:tcPr>
            <w:tcW w:w="0" w:type="auto"/>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7"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w:t>
            </w: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2" w:hRule="atLeast"/>
        </w:trPr>
        <w:tc>
          <w:tcPr>
            <w:tcW w:w="121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Style w:val="27"/>
                <w:rFonts w:eastAsia="宋体"/>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4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无极县第十四届委员会第五次会议</w:t>
            </w:r>
          </w:p>
        </w:tc>
        <w:tc>
          <w:tcPr>
            <w:tcW w:w="12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60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政协办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7" w:hRule="atLeast"/>
        </w:trPr>
        <w:tc>
          <w:tcPr>
            <w:tcW w:w="12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210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2" w:hRule="atLeast"/>
        </w:trPr>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2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33.6257</w:t>
            </w:r>
          </w:p>
        </w:tc>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67.25%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2" w:hRule="atLeast"/>
        </w:trPr>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2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33.6257</w:t>
            </w: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8" w:hRule="atLeast"/>
        </w:trPr>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2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3" w:hRule="atLeast"/>
        </w:trPr>
        <w:tc>
          <w:tcPr>
            <w:tcW w:w="12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41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65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4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召开无极县第十四届委员会第五次会议</w:t>
            </w:r>
          </w:p>
        </w:tc>
        <w:tc>
          <w:tcPr>
            <w:tcW w:w="36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会议圆满顺利召开</w:t>
            </w:r>
          </w:p>
        </w:tc>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4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6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4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6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2" w:hRule="atLeast"/>
        </w:trPr>
        <w:tc>
          <w:tcPr>
            <w:tcW w:w="1219"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Style w:val="27"/>
                <w:rFonts w:eastAsia="宋体"/>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4"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111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召开一次会议，征集提案</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不少于100份提案</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4"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Arial Unicode MS" w:hAnsi="Arial Unicode MS" w:eastAsia="Arial Unicode MS" w:cs="Arial Unicode MS"/>
                <w:i w:val="0"/>
                <w:color w:val="000000"/>
                <w:sz w:val="20"/>
                <w:szCs w:val="20"/>
                <w:u w:val="none"/>
              </w:rPr>
            </w:pPr>
            <w:r>
              <w:rPr>
                <w:rFonts w:hint="default" w:ascii="Arial Unicode MS" w:hAnsi="Arial Unicode MS" w:eastAsia="Arial Unicode MS" w:cs="Arial Unicode MS"/>
                <w:i w:val="0"/>
                <w:color w:val="000000"/>
                <w:kern w:val="0"/>
                <w:sz w:val="20"/>
                <w:szCs w:val="20"/>
                <w:u w:val="none"/>
                <w:lang w:val="en-US" w:eastAsia="zh-CN" w:bidi="ar"/>
              </w:rPr>
              <w:t>保证会议质量，达到会议召开目的</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达到会议效果</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6"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按时召开，提案及时交办、办结。在一定时期内对经济社会发展起到助推作用。</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按时召开</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3"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会议资料、餐宿安排</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节约成本</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6"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11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社会满意度及委员满意为90%以上</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达到社会及委员满意</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8"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111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2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助推经济发展</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助推经济发展</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未完成</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8"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1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社会影响面广</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社会影响大</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8"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1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生态效益指标</w:t>
            </w:r>
          </w:p>
        </w:tc>
        <w:tc>
          <w:tcPr>
            <w:tcW w:w="2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营造良好政治生态</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社会生态好</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2"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1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2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激励委员履职热情</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委员热情高</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2"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11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2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社会、委员满意</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社会、委员满意</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8"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077"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36" w:hRule="atLeast"/>
        </w:trPr>
        <w:tc>
          <w:tcPr>
            <w:tcW w:w="1219"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Style w:val="27"/>
                <w:rFonts w:eastAsia="宋体"/>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8301"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今后要做好项目前期调研和摸排工作，做好充足的前期准备，对执行过程中可能出现的问题充分预判，做好应急预案，以便项目顺利建设实施。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9"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填报人：裴辉茹</w:t>
            </w: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15128151286</w:t>
            </w:r>
          </w:p>
        </w:tc>
      </w:tr>
    </w:tbl>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tbl>
      <w:tblPr>
        <w:tblStyle w:val="11"/>
        <w:tblW w:w="94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430"/>
        <w:gridCol w:w="993"/>
        <w:gridCol w:w="796"/>
        <w:gridCol w:w="1292"/>
        <w:gridCol w:w="1323"/>
        <w:gridCol w:w="1070"/>
        <w:gridCol w:w="1147"/>
        <w:gridCol w:w="14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86" w:hRule="atLeast"/>
        </w:trPr>
        <w:tc>
          <w:tcPr>
            <w:tcW w:w="9480"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eastAsia" w:ascii="方正小标宋_GBK" w:hAnsi="方正小标宋_GBK" w:eastAsia="方正小标宋_GBK" w:cs="方正小标宋_GBK"/>
                <w:i w:val="0"/>
                <w:color w:val="000000"/>
                <w:kern w:val="0"/>
                <w:sz w:val="44"/>
                <w:szCs w:val="44"/>
                <w:u w:val="none"/>
                <w:lang w:val="en-US" w:eastAsia="zh-CN" w:bidi="ar"/>
              </w:rPr>
              <w:t>县级部门预算项目绩效自评表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6" w:hRule="atLeast"/>
        </w:trPr>
        <w:tc>
          <w:tcPr>
            <w:tcW w:w="0" w:type="auto"/>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7"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w:t>
            </w: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trPr>
        <w:tc>
          <w:tcPr>
            <w:tcW w:w="122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25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汇编印制编撰《印象无极》专项经费</w:t>
            </w:r>
          </w:p>
        </w:tc>
        <w:tc>
          <w:tcPr>
            <w:tcW w:w="13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6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政协办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6" w:hRule="atLeast"/>
        </w:trPr>
        <w:tc>
          <w:tcPr>
            <w:tcW w:w="12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91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5"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3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3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5</w:t>
            </w:r>
          </w:p>
        </w:tc>
        <w:tc>
          <w:tcPr>
            <w:tcW w:w="139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8"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3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3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5</w:t>
            </w:r>
          </w:p>
        </w:tc>
        <w:tc>
          <w:tcPr>
            <w:tcW w:w="13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5"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13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3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3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12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2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60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24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按时完成编印《印象无极》</w:t>
            </w:r>
          </w:p>
        </w:tc>
        <w:tc>
          <w:tcPr>
            <w:tcW w:w="360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已按时完成汇编印制编撰《印象无极》</w:t>
            </w:r>
          </w:p>
        </w:tc>
        <w:tc>
          <w:tcPr>
            <w:tcW w:w="139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24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60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24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60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5" w:hRule="atLeast"/>
        </w:trPr>
        <w:tc>
          <w:tcPr>
            <w:tcW w:w="1229"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9" w:hRule="atLeast"/>
        </w:trPr>
        <w:tc>
          <w:tcPr>
            <w:tcW w:w="12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3"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924"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编印数量</w:t>
            </w:r>
          </w:p>
        </w:tc>
        <w:tc>
          <w:tcPr>
            <w:tcW w:w="1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按时完成编撰任务</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8" w:hRule="atLeast"/>
        </w:trPr>
        <w:tc>
          <w:tcPr>
            <w:tcW w:w="12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印制质量</w:t>
            </w:r>
          </w:p>
        </w:tc>
        <w:tc>
          <w:tcPr>
            <w:tcW w:w="1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高质量完成编撰工作</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trPr>
        <w:tc>
          <w:tcPr>
            <w:tcW w:w="12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印制完成时限</w:t>
            </w:r>
          </w:p>
        </w:tc>
        <w:tc>
          <w:tcPr>
            <w:tcW w:w="1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及时完成编写工作</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3" w:hRule="atLeast"/>
        </w:trPr>
        <w:tc>
          <w:tcPr>
            <w:tcW w:w="12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编印费</w:t>
            </w:r>
          </w:p>
        </w:tc>
        <w:tc>
          <w:tcPr>
            <w:tcW w:w="107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节约成本</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93" w:hRule="atLeast"/>
        </w:trPr>
        <w:tc>
          <w:tcPr>
            <w:tcW w:w="12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9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按项目安排如期完成编撰印制</w:t>
            </w:r>
          </w:p>
        </w:tc>
        <w:tc>
          <w:tcPr>
            <w:tcW w:w="1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如期完成编撰印制</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8" w:hRule="atLeast"/>
        </w:trPr>
        <w:tc>
          <w:tcPr>
            <w:tcW w:w="12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3"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92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2720"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助推经济发展</w:t>
            </w:r>
          </w:p>
        </w:tc>
        <w:tc>
          <w:tcPr>
            <w:tcW w:w="1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宣传推介无极县</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trPr>
        <w:tc>
          <w:tcPr>
            <w:tcW w:w="12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3"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助力本土文化传播</w:t>
            </w:r>
          </w:p>
        </w:tc>
        <w:tc>
          <w:tcPr>
            <w:tcW w:w="1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社会效益显著</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trPr>
        <w:tc>
          <w:tcPr>
            <w:tcW w:w="12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3"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生态效益指标</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营造良好政治生态</w:t>
            </w:r>
          </w:p>
        </w:tc>
        <w:tc>
          <w:tcPr>
            <w:tcW w:w="1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提升社会生态</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8" w:hRule="atLeast"/>
        </w:trPr>
        <w:tc>
          <w:tcPr>
            <w:tcW w:w="12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3"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结果持续应用 </w:t>
            </w:r>
          </w:p>
        </w:tc>
        <w:tc>
          <w:tcPr>
            <w:tcW w:w="1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有长期使用价值</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trPr>
        <w:tc>
          <w:tcPr>
            <w:tcW w:w="12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92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社会满意</w:t>
            </w:r>
          </w:p>
        </w:tc>
        <w:tc>
          <w:tcPr>
            <w:tcW w:w="1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社会满意</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3" w:hRule="atLeast"/>
        </w:trPr>
        <w:tc>
          <w:tcPr>
            <w:tcW w:w="12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85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93" w:hRule="atLeast"/>
        </w:trPr>
        <w:tc>
          <w:tcPr>
            <w:tcW w:w="1229"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8251"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今后要做好项目前期调研和摸排工作，做好充足的前期准备，对执行过程中可能出现的问题充分预判，做好应急预案，以便项目顺利建设实施。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填报人：裴辉茹</w:t>
            </w: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15128151286</w:t>
            </w:r>
          </w:p>
        </w:tc>
      </w:tr>
    </w:tbl>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tbl>
      <w:tblPr>
        <w:tblStyle w:val="11"/>
        <w:tblW w:w="95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430"/>
        <w:gridCol w:w="985"/>
        <w:gridCol w:w="784"/>
        <w:gridCol w:w="1273"/>
        <w:gridCol w:w="1303"/>
        <w:gridCol w:w="1177"/>
        <w:gridCol w:w="1138"/>
        <w:gridCol w:w="14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98" w:hRule="atLeast"/>
        </w:trPr>
        <w:tc>
          <w:tcPr>
            <w:tcW w:w="9520"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eastAsia" w:ascii="方正小标宋_GBK" w:hAnsi="方正小标宋_GBK" w:eastAsia="方正小标宋_GBK" w:cs="方正小标宋_GBK"/>
                <w:i w:val="0"/>
                <w:color w:val="000000"/>
                <w:kern w:val="0"/>
                <w:sz w:val="44"/>
                <w:szCs w:val="44"/>
                <w:u w:val="none"/>
                <w:lang w:val="en-US" w:eastAsia="zh-CN" w:bidi="ar"/>
              </w:rPr>
              <w:t>县级部门预算项目绩效自评表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9" w:hRule="atLeast"/>
        </w:trPr>
        <w:tc>
          <w:tcPr>
            <w:tcW w:w="0" w:type="auto"/>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w:t>
            </w: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4" w:hRule="atLeast"/>
        </w:trPr>
        <w:tc>
          <w:tcPr>
            <w:tcW w:w="121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2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专项村志工作经费</w:t>
            </w:r>
          </w:p>
        </w:tc>
        <w:tc>
          <w:tcPr>
            <w:tcW w:w="13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70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政协办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3" w:hRule="atLeast"/>
        </w:trPr>
        <w:tc>
          <w:tcPr>
            <w:tcW w:w="12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90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31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9" w:hRule="atLeast"/>
        </w:trPr>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9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3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4.9881</w:t>
            </w:r>
          </w:p>
        </w:tc>
        <w:tc>
          <w:tcPr>
            <w:tcW w:w="138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2" w:hRule="atLeast"/>
        </w:trPr>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9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3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4.9881</w:t>
            </w:r>
          </w:p>
        </w:tc>
        <w:tc>
          <w:tcPr>
            <w:tcW w:w="13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6" w:hRule="atLeast"/>
        </w:trPr>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3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3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9" w:hRule="atLeast"/>
        </w:trPr>
        <w:tc>
          <w:tcPr>
            <w:tcW w:w="12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21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69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2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编写村志</w:t>
            </w:r>
          </w:p>
        </w:tc>
        <w:tc>
          <w:tcPr>
            <w:tcW w:w="369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编写村志</w:t>
            </w:r>
          </w:p>
        </w:tc>
        <w:tc>
          <w:tcPr>
            <w:tcW w:w="138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2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6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2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6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9" w:hRule="atLeast"/>
        </w:trPr>
        <w:tc>
          <w:tcPr>
            <w:tcW w:w="1219"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9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17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14"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91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0" w:type="auto"/>
            <w:gridSpan w:val="2"/>
            <w:tcBorders>
              <w:top w:val="single" w:color="000000" w:sz="4" w:space="0"/>
              <w:left w:val="single" w:color="000000" w:sz="4" w:space="0"/>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文字报告成果数量</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及时完成</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搜索整理</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1"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0" w:type="auto"/>
            <w:gridSpan w:val="2"/>
            <w:tcBorders>
              <w:top w:val="single" w:color="000000" w:sz="4" w:space="0"/>
              <w:left w:val="single" w:color="000000" w:sz="4" w:space="0"/>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优、良</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资料的准确性真实性</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2"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0" w:type="auto"/>
            <w:gridSpan w:val="2"/>
            <w:tcBorders>
              <w:top w:val="single" w:color="000000" w:sz="4" w:space="0"/>
              <w:left w:val="single" w:color="000000" w:sz="4" w:space="0"/>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前期文件编制时效满足</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及时完成编写工作</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8"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0" w:type="auto"/>
            <w:gridSpan w:val="2"/>
            <w:tcBorders>
              <w:top w:val="single" w:color="000000" w:sz="4" w:space="0"/>
              <w:left w:val="single" w:color="000000" w:sz="4" w:space="0"/>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工作开展所需的成本情况</w:t>
            </w:r>
          </w:p>
        </w:tc>
        <w:tc>
          <w:tcPr>
            <w:tcW w:w="117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节约成本</w:t>
            </w:r>
          </w:p>
        </w:tc>
        <w:tc>
          <w:tcPr>
            <w:tcW w:w="1138"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7"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917" w:type="dxa"/>
            <w:tcBorders>
              <w:top w:val="nil"/>
              <w:left w:val="nil"/>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按项目安排如期完成编写</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如期完成编写</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8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12"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91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2698"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助推乡村历史文化发展</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宣传村级文化</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8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2"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助力本土文化传播</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社会影响大</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2"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生态效益指标</w:t>
            </w:r>
          </w:p>
        </w:tc>
        <w:tc>
          <w:tcPr>
            <w:tcW w:w="2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营造良好政治生态</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社会生态好</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2"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2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结果持续应用 </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有长期使用价值</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2"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（20分）</w:t>
            </w:r>
          </w:p>
        </w:tc>
        <w:tc>
          <w:tcPr>
            <w:tcW w:w="91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2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服务满意度</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社会满意</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8"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915"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7" w:hRule="atLeast"/>
        </w:trPr>
        <w:tc>
          <w:tcPr>
            <w:tcW w:w="1219"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8301"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今后要做好项目前期调研和摸排工作，做好充足的前期准备，对执行过程中可能出现的问题充分预判，做好应急预案，以便项目顺利建设实施。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7"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填报人：裴辉茹</w:t>
            </w: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15128151286</w:t>
            </w:r>
          </w:p>
        </w:tc>
      </w:tr>
    </w:tbl>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tbl>
      <w:tblPr>
        <w:tblStyle w:val="11"/>
        <w:tblW w:w="88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463"/>
        <w:gridCol w:w="947"/>
        <w:gridCol w:w="673"/>
        <w:gridCol w:w="1109"/>
        <w:gridCol w:w="1036"/>
        <w:gridCol w:w="1012"/>
        <w:gridCol w:w="1094"/>
        <w:gridCol w:w="14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00" w:hRule="atLeast"/>
        </w:trPr>
        <w:tc>
          <w:tcPr>
            <w:tcW w:w="8800"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eastAsia" w:ascii="方正小标宋_GBK" w:hAnsi="方正小标宋_GBK" w:eastAsia="方正小标宋_GBK" w:cs="方正小标宋_GBK"/>
                <w:i w:val="0"/>
                <w:color w:val="000000"/>
                <w:kern w:val="0"/>
                <w:sz w:val="44"/>
                <w:szCs w:val="44"/>
                <w:u w:val="none"/>
                <w:lang w:val="en-US" w:eastAsia="zh-CN" w:bidi="ar"/>
              </w:rPr>
              <w:t>县级部门预算项目绩效自评表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4" w:hRule="atLeast"/>
        </w:trPr>
        <w:tc>
          <w:tcPr>
            <w:tcW w:w="0" w:type="auto"/>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4"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w:t>
            </w: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5" w:hRule="atLeast"/>
        </w:trPr>
        <w:tc>
          <w:tcPr>
            <w:tcW w:w="1463"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Style w:val="28"/>
                <w:rFonts w:eastAsia="宋体"/>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9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7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李狄三红色文化经费</w:t>
            </w:r>
          </w:p>
        </w:tc>
        <w:tc>
          <w:tcPr>
            <w:tcW w:w="1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57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政协办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2" w:hRule="atLeast"/>
        </w:trPr>
        <w:tc>
          <w:tcPr>
            <w:tcW w:w="14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54" w:hRule="atLeast"/>
        </w:trPr>
        <w:tc>
          <w:tcPr>
            <w:tcW w:w="1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11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13</w:t>
            </w:r>
          </w:p>
        </w:tc>
        <w:tc>
          <w:tcPr>
            <w:tcW w:w="14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2" w:hRule="atLeast"/>
        </w:trPr>
        <w:tc>
          <w:tcPr>
            <w:tcW w:w="1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11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13</w:t>
            </w:r>
          </w:p>
        </w:tc>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4" w:hRule="atLeast"/>
        </w:trPr>
        <w:tc>
          <w:tcPr>
            <w:tcW w:w="1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4" w:hRule="atLeast"/>
        </w:trPr>
        <w:tc>
          <w:tcPr>
            <w:tcW w:w="14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72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1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7" w:hRule="atLeast"/>
        </w:trPr>
        <w:tc>
          <w:tcPr>
            <w:tcW w:w="1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2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李狄三红色文化历史资料的搜集、研究、论证、撰写、整理、书籍印制工作</w:t>
            </w:r>
          </w:p>
        </w:tc>
        <w:tc>
          <w:tcPr>
            <w:tcW w:w="314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已按时完成李狄三红色文化历史资料的搜集、研究、论证、撰写、整理、书籍印制等工作</w:t>
            </w:r>
          </w:p>
        </w:tc>
        <w:tc>
          <w:tcPr>
            <w:tcW w:w="14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7" w:hRule="atLeast"/>
        </w:trPr>
        <w:tc>
          <w:tcPr>
            <w:tcW w:w="1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2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8" w:hRule="atLeast"/>
        </w:trPr>
        <w:tc>
          <w:tcPr>
            <w:tcW w:w="1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2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2" w:hRule="atLeast"/>
        </w:trPr>
        <w:tc>
          <w:tcPr>
            <w:tcW w:w="1463"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Style w:val="28"/>
                <w:rFonts w:eastAsia="宋体"/>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9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667" w:hRule="atLeast"/>
        </w:trPr>
        <w:tc>
          <w:tcPr>
            <w:tcW w:w="1463"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7"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673"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0" w:type="auto"/>
            <w:gridSpan w:val="2"/>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数据整理完成率</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考证、搜集、整理、挖掘、编审、印制李狄三红色文化资料</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39" w:hRule="atLeast"/>
        </w:trPr>
        <w:tc>
          <w:tcPr>
            <w:tcW w:w="1463"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0" w:type="auto"/>
            <w:gridSpan w:val="2"/>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印制质量</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收集整理、印制李狄三红色文化资料</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10" w:hRule="atLeast"/>
        </w:trPr>
        <w:tc>
          <w:tcPr>
            <w:tcW w:w="1463"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0" w:type="auto"/>
            <w:gridSpan w:val="2"/>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按时完成编制规划任务</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各项红色文化工作任务按时完成</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10" w:hRule="atLeast"/>
        </w:trPr>
        <w:tc>
          <w:tcPr>
            <w:tcW w:w="1463"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0" w:type="auto"/>
            <w:gridSpan w:val="2"/>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成本控制</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红色文化经费使用合理度</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10" w:hRule="atLeast"/>
        </w:trPr>
        <w:tc>
          <w:tcPr>
            <w:tcW w:w="1463"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67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按期完成各项工作</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达到社会满意</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39" w:hRule="atLeast"/>
        </w:trPr>
        <w:tc>
          <w:tcPr>
            <w:tcW w:w="1463"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7"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673"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助推经济发展</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红色文化发展带动相关产业发展</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2" w:hRule="atLeast"/>
        </w:trPr>
        <w:tc>
          <w:tcPr>
            <w:tcW w:w="1463"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7"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3"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社会影响面广</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红色文化社  会影响力</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82" w:hRule="atLeast"/>
        </w:trPr>
        <w:tc>
          <w:tcPr>
            <w:tcW w:w="1463"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7"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3"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生态效益指标</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营造良好政治生态</w:t>
            </w:r>
          </w:p>
        </w:tc>
        <w:tc>
          <w:tcPr>
            <w:tcW w:w="1012"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社会生态好</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667" w:hRule="atLeast"/>
        </w:trPr>
        <w:tc>
          <w:tcPr>
            <w:tcW w:w="1463"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7"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3"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2145" w:type="dxa"/>
            <w:gridSpan w:val="2"/>
            <w:tcBorders>
              <w:top w:val="single" w:color="000000" w:sz="4" w:space="0"/>
              <w:left w:val="single" w:color="000000" w:sz="4" w:space="0"/>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可持续性</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红色文化的可持续利用程度和发展前景</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10" w:hRule="atLeast"/>
        </w:trPr>
        <w:tc>
          <w:tcPr>
            <w:tcW w:w="1463"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673"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2145" w:type="dxa"/>
            <w:gridSpan w:val="2"/>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社会和服务对象满意</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社会和服务对象满意度</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4" w:hRule="atLeast"/>
        </w:trPr>
        <w:tc>
          <w:tcPr>
            <w:tcW w:w="1463"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871"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10" w:hRule="atLeast"/>
        </w:trPr>
        <w:tc>
          <w:tcPr>
            <w:tcW w:w="1463"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Style w:val="28"/>
                <w:rFonts w:eastAsia="宋体"/>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7337"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今后要做好项目前期调研和摸排工作，做好充足的前期准备，对执行过程中可能出现的问题充分预判，做好应急预案，以便项目顺利建设实施。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4"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填报人：裴辉茹</w:t>
            </w: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15128151286</w:t>
            </w:r>
          </w:p>
        </w:tc>
      </w:tr>
    </w:tbl>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tbl>
      <w:tblPr>
        <w:tblStyle w:val="11"/>
        <w:tblW w:w="89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430"/>
        <w:gridCol w:w="966"/>
        <w:gridCol w:w="719"/>
        <w:gridCol w:w="1168"/>
        <w:gridCol w:w="1029"/>
        <w:gridCol w:w="1041"/>
        <w:gridCol w:w="1117"/>
        <w:gridCol w:w="14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26" w:hRule="atLeast"/>
        </w:trPr>
        <w:tc>
          <w:tcPr>
            <w:tcW w:w="8900"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eastAsia" w:ascii="方正小标宋_GBK" w:hAnsi="方正小标宋_GBK" w:eastAsia="方正小标宋_GBK" w:cs="方正小标宋_GBK"/>
                <w:i w:val="0"/>
                <w:color w:val="000000"/>
                <w:kern w:val="0"/>
                <w:sz w:val="44"/>
                <w:szCs w:val="44"/>
                <w:u w:val="none"/>
                <w:lang w:val="en-US" w:eastAsia="zh-CN" w:bidi="ar"/>
              </w:rPr>
              <w:t>县级部门预算项目绩效自评表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8" w:hRule="atLeast"/>
        </w:trPr>
        <w:tc>
          <w:tcPr>
            <w:tcW w:w="0" w:type="auto"/>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7"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w:t>
            </w: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trPr>
        <w:tc>
          <w:tcPr>
            <w:tcW w:w="119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9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1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李狄三红色文化工作经费</w:t>
            </w:r>
          </w:p>
        </w:tc>
        <w:tc>
          <w:tcPr>
            <w:tcW w:w="10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政协办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7" w:hRule="atLeast"/>
        </w:trPr>
        <w:tc>
          <w:tcPr>
            <w:tcW w:w="119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8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1" w:hRule="atLeast"/>
        </w:trPr>
        <w:tc>
          <w:tcPr>
            <w:tcW w:w="11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8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0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0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15</w:t>
            </w:r>
          </w:p>
        </w:tc>
        <w:tc>
          <w:tcPr>
            <w:tcW w:w="13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trPr>
        <w:tc>
          <w:tcPr>
            <w:tcW w:w="11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8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0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15</w:t>
            </w:r>
          </w:p>
        </w:tc>
        <w:tc>
          <w:tcPr>
            <w:tcW w:w="13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8" w:hRule="atLeast"/>
        </w:trPr>
        <w:tc>
          <w:tcPr>
            <w:tcW w:w="11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8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3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3" w:hRule="atLeast"/>
        </w:trPr>
        <w:tc>
          <w:tcPr>
            <w:tcW w:w="119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1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18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9" w:hRule="atLeast"/>
        </w:trPr>
        <w:tc>
          <w:tcPr>
            <w:tcW w:w="11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5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李狄三红色文化历史资料的搜集、研究、论证、撰写、整理、书籍印制工作</w:t>
            </w:r>
          </w:p>
        </w:tc>
        <w:tc>
          <w:tcPr>
            <w:tcW w:w="318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已按时完成李狄三红色文化历史资料的搜集、研究、论证、撰写、整理、书籍印制等工作</w:t>
            </w:r>
          </w:p>
        </w:tc>
        <w:tc>
          <w:tcPr>
            <w:tcW w:w="13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6" w:hRule="atLeast"/>
        </w:trPr>
        <w:tc>
          <w:tcPr>
            <w:tcW w:w="11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5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6" w:hRule="atLeast"/>
        </w:trPr>
        <w:tc>
          <w:tcPr>
            <w:tcW w:w="11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5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11" w:hRule="atLeast"/>
        </w:trPr>
        <w:tc>
          <w:tcPr>
            <w:tcW w:w="1196"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9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8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39" w:hRule="atLeast"/>
        </w:trPr>
        <w:tc>
          <w:tcPr>
            <w:tcW w:w="11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6"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89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0" w:type="auto"/>
            <w:gridSpan w:val="2"/>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数据整理完成率</w:t>
            </w:r>
          </w:p>
        </w:tc>
        <w:tc>
          <w:tcPr>
            <w:tcW w:w="10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考证、搜集、整理、挖掘、编审、印制李狄三红色文化资料</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5" w:hRule="atLeast"/>
        </w:trPr>
        <w:tc>
          <w:tcPr>
            <w:tcW w:w="11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0" w:type="auto"/>
            <w:gridSpan w:val="2"/>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印制质量</w:t>
            </w:r>
          </w:p>
        </w:tc>
        <w:tc>
          <w:tcPr>
            <w:tcW w:w="10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收集整理、印制李狄三红色文化资料</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5" w:hRule="atLeast"/>
        </w:trPr>
        <w:tc>
          <w:tcPr>
            <w:tcW w:w="11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0" w:type="auto"/>
            <w:gridSpan w:val="2"/>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按时完成编制规划任务</w:t>
            </w:r>
          </w:p>
        </w:tc>
        <w:tc>
          <w:tcPr>
            <w:tcW w:w="10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各项红色文化工作任务按时完成</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7" w:hRule="atLeast"/>
        </w:trPr>
        <w:tc>
          <w:tcPr>
            <w:tcW w:w="11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0" w:type="auto"/>
            <w:gridSpan w:val="2"/>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成本控制</w:t>
            </w:r>
          </w:p>
        </w:tc>
        <w:tc>
          <w:tcPr>
            <w:tcW w:w="10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红色文化经费使用合理度</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5" w:hRule="atLeast"/>
        </w:trPr>
        <w:tc>
          <w:tcPr>
            <w:tcW w:w="11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8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按期完成各项工作</w:t>
            </w:r>
          </w:p>
        </w:tc>
        <w:tc>
          <w:tcPr>
            <w:tcW w:w="10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达到社会满意</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5" w:hRule="atLeast"/>
        </w:trPr>
        <w:tc>
          <w:tcPr>
            <w:tcW w:w="11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6"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899"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助推经济发展</w:t>
            </w:r>
          </w:p>
        </w:tc>
        <w:tc>
          <w:tcPr>
            <w:tcW w:w="10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红色文化发展带动相关产业发展</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trPr>
        <w:tc>
          <w:tcPr>
            <w:tcW w:w="11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6"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99"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社会影响面广</w:t>
            </w:r>
          </w:p>
        </w:tc>
        <w:tc>
          <w:tcPr>
            <w:tcW w:w="10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红色文化社  会影响力</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trPr>
        <w:tc>
          <w:tcPr>
            <w:tcW w:w="11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6"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99"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生态效益指标</w:t>
            </w: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营造良好政治生态</w:t>
            </w:r>
          </w:p>
        </w:tc>
        <w:tc>
          <w:tcPr>
            <w:tcW w:w="1041"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社会生态好</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35" w:hRule="atLeast"/>
        </w:trPr>
        <w:tc>
          <w:tcPr>
            <w:tcW w:w="11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6"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99"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2321" w:type="dxa"/>
            <w:gridSpan w:val="2"/>
            <w:tcBorders>
              <w:top w:val="single" w:color="000000" w:sz="4" w:space="0"/>
              <w:left w:val="single" w:color="000000" w:sz="4" w:space="0"/>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可持续性</w:t>
            </w:r>
          </w:p>
        </w:tc>
        <w:tc>
          <w:tcPr>
            <w:tcW w:w="10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红色文化的可持续利用程度和发展前景</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trPr>
        <w:tc>
          <w:tcPr>
            <w:tcW w:w="11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899"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2321" w:type="dxa"/>
            <w:gridSpan w:val="2"/>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社会和服务对象满意</w:t>
            </w:r>
          </w:p>
        </w:tc>
        <w:tc>
          <w:tcPr>
            <w:tcW w:w="10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社会和服务对象满意度</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7" w:hRule="atLeast"/>
        </w:trPr>
        <w:tc>
          <w:tcPr>
            <w:tcW w:w="11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4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5" w:hRule="atLeast"/>
        </w:trPr>
        <w:tc>
          <w:tcPr>
            <w:tcW w:w="11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7704"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今后要做好项目前期调研和摸排工作，做好充足的前期准备，对执行过程中可能出现的问题充分预判，做好应急预案，以便项目顺利建设实施。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8"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填报人：裴辉茹</w:t>
            </w: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15128151286</w:t>
            </w:r>
          </w:p>
        </w:tc>
      </w:tr>
    </w:tbl>
    <w:p>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pPr>
        <w:ind w:firstLine="640" w:firstLineChars="200"/>
        <w:rPr>
          <w:rFonts w:ascii="Times New Roman" w:eastAsia="仿宋_GB2312"/>
          <w:sz w:val="32"/>
          <w:szCs w:val="32"/>
        </w:rPr>
      </w:pPr>
      <w:r>
        <w:rPr>
          <w:rFonts w:hint="eastAsia" w:ascii="仿宋" w:hAnsi="仿宋" w:eastAsia="仿宋"/>
          <w:sz w:val="32"/>
          <w:szCs w:val="32"/>
        </w:rPr>
        <w:t>根据部门职责定位和各项工作履职情况进行综合评价，给出总得分，满分100分，得出综合绩效评价等级。部门整体支出综合绩效评价分为4个等级：得分</w:t>
      </w:r>
      <w:r>
        <w:rPr>
          <w:rFonts w:ascii="仿宋" w:hAnsi="仿宋" w:eastAsia="仿宋" w:cs="Arial"/>
          <w:sz w:val="32"/>
          <w:szCs w:val="32"/>
        </w:rPr>
        <w:t>≥</w:t>
      </w:r>
      <w:r>
        <w:rPr>
          <w:rFonts w:hint="eastAsia" w:ascii="仿宋" w:hAnsi="仿宋" w:eastAsia="仿宋"/>
          <w:sz w:val="32"/>
          <w:szCs w:val="32"/>
        </w:rPr>
        <w:t>85分为优秀；75</w:t>
      </w:r>
      <w:r>
        <w:rPr>
          <w:rFonts w:ascii="仿宋" w:hAnsi="仿宋" w:eastAsia="仿宋" w:cs="Arial"/>
          <w:sz w:val="32"/>
          <w:szCs w:val="32"/>
        </w:rPr>
        <w:t>≤</w:t>
      </w:r>
      <w:r>
        <w:rPr>
          <w:rFonts w:hint="eastAsia" w:ascii="仿宋" w:hAnsi="仿宋" w:eastAsia="仿宋"/>
          <w:sz w:val="32"/>
          <w:szCs w:val="32"/>
        </w:rPr>
        <w:t>得分＜85分为良好；60</w:t>
      </w:r>
      <w:r>
        <w:rPr>
          <w:rFonts w:ascii="仿宋" w:hAnsi="仿宋" w:eastAsia="仿宋" w:cs="Arial"/>
          <w:sz w:val="32"/>
          <w:szCs w:val="32"/>
        </w:rPr>
        <w:t>≤</w:t>
      </w:r>
      <w:r>
        <w:rPr>
          <w:rFonts w:hint="eastAsia" w:ascii="仿宋" w:hAnsi="仿宋" w:eastAsia="仿宋"/>
          <w:sz w:val="32"/>
          <w:szCs w:val="32"/>
        </w:rPr>
        <w:t>得分＜75分为一般；得分＜60分为较差。</w:t>
      </w:r>
      <w:r>
        <w:rPr>
          <w:rFonts w:hint="eastAsia" w:ascii="仿宋" w:hAnsi="仿宋" w:eastAsia="仿宋" w:cs="仿宋"/>
          <w:color w:val="000000"/>
          <w:sz w:val="32"/>
          <w:szCs w:val="32"/>
        </w:rPr>
        <w:t>我办2025年开展项目全部≥90，评价等级为“优”。</w:t>
      </w: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w:t>
      </w:r>
      <w:bookmarkStart w:id="0" w:name="_GoBack"/>
      <w:bookmarkEnd w:id="0"/>
      <w:r>
        <w:rPr>
          <w:rFonts w:ascii="Times New Roman" w:eastAsia="仿宋_GB2312"/>
          <w:b w:val="0"/>
          <w:sz w:val="32"/>
          <w:szCs w:val="32"/>
        </w:rPr>
        <w:t>政府性基金预算财政拨款收入支出决算表（公开07表）、国有资本经营预算财政拨款支出决算表（公开08表）无相应收支，故空表列示。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327B62B-9CF0-4DAE-A7B1-EE5014CC9120}"/>
  </w:font>
  <w:font w:name="黑体">
    <w:panose1 w:val="02010609060101010101"/>
    <w:charset w:val="86"/>
    <w:family w:val="auto"/>
    <w:pitch w:val="default"/>
    <w:sig w:usb0="800002BF" w:usb1="38CF7CFA" w:usb2="00000016" w:usb3="00000000" w:csb0="00040001" w:csb1="00000000"/>
    <w:embedRegular r:id="rId2" w:fontKey="{45BC3C84-CC75-4004-86D5-7D6ACB49D8D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CED37268-753D-402F-B29B-CC750FFB6DFB}"/>
  </w:font>
  <w:font w:name="仿宋">
    <w:panose1 w:val="02010609060101010101"/>
    <w:charset w:val="86"/>
    <w:family w:val="modern"/>
    <w:pitch w:val="default"/>
    <w:sig w:usb0="800002BF" w:usb1="38CF7CFA" w:usb2="00000016" w:usb3="00000000" w:csb0="00040001" w:csb1="00000000"/>
    <w:embedRegular r:id="rId4" w:fontKey="{C3E5CE02-2061-45BA-8E12-33ADC1D4B39C}"/>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00000000" w:usb1="00000000" w:usb2="00000000" w:usb3="00000000" w:csb0="00000000" w:csb1="00000000"/>
    <w:embedRegular r:id="rId5" w:fontKey="{E537A9BA-CCCE-441B-9FBD-016975302DD4}"/>
  </w:font>
  <w:font w:name="楷体_GB2312">
    <w:panose1 w:val="02010609030101010101"/>
    <w:charset w:val="86"/>
    <w:family w:val="auto"/>
    <w:pitch w:val="default"/>
    <w:sig w:usb0="00000001" w:usb1="080E0000" w:usb2="00000000" w:usb3="00000000" w:csb0="00040000" w:csb1="00000000"/>
    <w:embedRegular r:id="rId6" w:fontKey="{FDC1FB3F-A3FA-4B2A-9DF0-ED211877B1F0}"/>
  </w:font>
  <w:font w:name="微软雅黑">
    <w:panose1 w:val="020B0503020204020204"/>
    <w:charset w:val="86"/>
    <w:family w:val="auto"/>
    <w:pitch w:val="default"/>
    <w:sig w:usb0="80000287" w:usb1="2ACF3C50" w:usb2="00000016" w:usb3="00000000" w:csb0="0004001F" w:csb1="00000000"/>
    <w:embedRegular r:id="rId7" w:fontKey="{0981A620-B69C-4D9B-8513-BF14AFCAC77F}"/>
  </w:font>
  <w:font w:name="方正小标宋_GBK">
    <w:panose1 w:val="03000509000000000000"/>
    <w:charset w:val="86"/>
    <w:family w:val="script"/>
    <w:pitch w:val="default"/>
    <w:sig w:usb0="00000001" w:usb1="080E0000" w:usb2="00000000" w:usb3="00000000" w:csb0="00040000" w:csb1="00000000"/>
    <w:embedRegular r:id="rId8" w:fontKey="{3A05A4E4-16A4-411C-9FB3-72853F72326A}"/>
  </w:font>
  <w:font w:name="仿宋_GB2312">
    <w:panose1 w:val="02010609030101010101"/>
    <w:charset w:val="86"/>
    <w:family w:val="auto"/>
    <w:pitch w:val="default"/>
    <w:sig w:usb0="00000001" w:usb1="080E0000" w:usb2="00000000" w:usb3="00000000" w:csb0="00040000" w:csb1="00000000"/>
    <w:embedRegular r:id="rId9" w:fontKey="{1EBEB98A-6E5C-4EA6-9AE1-1D5D0A337DB4}"/>
  </w:font>
  <w:font w:name="ArialUnicodeMS">
    <w:altName w:val="Malgun Gothic"/>
    <w:panose1 w:val="00000000000000000000"/>
    <w:charset w:val="81"/>
    <w:family w:val="auto"/>
    <w:pitch w:val="default"/>
    <w:sig w:usb0="00000000" w:usb1="00000000" w:usb2="00000010" w:usb3="00000000" w:csb0="00080001" w:csb1="00000000"/>
    <w:embedRegular r:id="rId10" w:fontKey="{8D4250F8-24BB-4745-82E3-E03040B76D66}"/>
  </w:font>
  <w:font w:name="Arial Unicode MS">
    <w:altName w:val="Aria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46A6C"/>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713D20"/>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0C3DC6"/>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362833"/>
    <w:rsid w:val="7E553215"/>
    <w:rsid w:val="7E6D090F"/>
    <w:rsid w:val="7E7E2263"/>
    <w:rsid w:val="7ECC66B2"/>
    <w:rsid w:val="7F2914C3"/>
    <w:rsid w:val="7F33559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character" w:customStyle="1" w:styleId="27">
    <w:name w:val="font71"/>
    <w:basedOn w:val="13"/>
    <w:qFormat/>
    <w:uiPriority w:val="0"/>
    <w:rPr>
      <w:rFonts w:ascii="Calibri" w:hAnsi="Calibri" w:cs="Calibri"/>
      <w:color w:val="000000"/>
      <w:sz w:val="20"/>
      <w:szCs w:val="20"/>
      <w:u w:val="none"/>
    </w:rPr>
  </w:style>
  <w:style w:type="character" w:customStyle="1" w:styleId="28">
    <w:name w:val="font81"/>
    <w:basedOn w:val="13"/>
    <w:qFormat/>
    <w:uiPriority w:val="0"/>
    <w:rPr>
      <w:rFonts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544.68</c:v>
                </c:pt>
                <c:pt idx="1">
                  <c:v>440.07</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5446814.91</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4730676.91</c:v>
                </c:pt>
                <c:pt idx="1">
                  <c:v>716138</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438.52</c:v>
                </c:pt>
                <c:pt idx="1">
                  <c:v>440.07</c:v>
                </c:pt>
                <c:pt idx="2">
                  <c:v>438.52</c:v>
                </c:pt>
                <c:pt idx="3">
                  <c:v>440.07</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544.68</c:v>
                </c:pt>
                <c:pt idx="1">
                  <c:v>544.68</c:v>
                </c:pt>
                <c:pt idx="2">
                  <c:v>544.68</c:v>
                </c:pt>
                <c:pt idx="3">
                  <c:v>544.68</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587.3</c:v>
                </c:pt>
                <c:pt idx="1">
                  <c:v>587.3</c:v>
                </c:pt>
                <c:pt idx="2">
                  <c:v>587.3</c:v>
                </c:pt>
                <c:pt idx="3">
                  <c:v>587.3</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544.68</c:v>
                </c:pt>
                <c:pt idx="1">
                  <c:v>544.68</c:v>
                </c:pt>
                <c:pt idx="2">
                  <c:v>544.68</c:v>
                </c:pt>
                <c:pt idx="3">
                  <c:v>544.68</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29</Pages>
  <Words>1660</Words>
  <Characters>6225</Characters>
  <Lines>86</Lines>
  <Paragraphs>24</Paragraphs>
  <TotalTime>0</TotalTime>
  <ScaleCrop>false</ScaleCrop>
  <LinksUpToDate>false</LinksUpToDate>
  <CharactersWithSpaces>6550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hp</cp:lastModifiedBy>
  <cp:lastPrinted>2023-08-04T01:00:00Z</cp:lastPrinted>
  <dcterms:modified xsi:type="dcterms:W3CDTF">2026-09-20T02:31:14Z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