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bookmarkStart w:id="0" w:name="_GoBack"/>
      <w:bookmarkEnd w:id="0"/>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v:textbox>
              </v:shape>
            </w:pict>
          </mc:Fallback>
        </mc:AlternateContent>
      </w: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中国共产党无极县委员会宣传部(本级)</w:t>
      </w: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211001</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pPr>
    </w:p>
    <w:p>
      <w:pPr>
        <w:rPr>
          <w:rFonts w:hint="eastAsia" w:ascii="黑体" w:hAnsi="黑体" w:eastAsia="黑体" w:cs="黑体"/>
          <w:b/>
          <w:bCs/>
          <w:sz w:val="32"/>
          <w:szCs w:val="36"/>
          <w:highlight w:val="yellow"/>
        </w:rPr>
      </w:pP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中国共产党无极县委员会宣传部(本级)</w:t>
      </w: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w:t>
      </w:r>
      <w:r>
        <w:rPr>
          <w:rFonts w:hint="eastAsia" w:ascii="Times New Roman" w:eastAsia="方正小标宋_GBK"/>
          <w:b w:val="0"/>
          <w:sz w:val="72"/>
          <w:szCs w:val="72"/>
          <w:lang w:eastAsia="zh-CN"/>
        </w:rPr>
        <w:t>单位</w:t>
      </w:r>
      <w:r>
        <w:rPr>
          <w:rFonts w:ascii="Times New Roman" w:eastAsia="方正小标宋_GBK"/>
          <w:b w:val="0"/>
          <w:sz w:val="72"/>
          <w:szCs w:val="72"/>
        </w:rPr>
        <w:t>决算公开文本</w:t>
      </w:r>
    </w:p>
    <w:p>
      <w:pPr>
        <w:spacing w:line="36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中国共产党无极县委员会宣传部(本级)</w:t>
      </w:r>
    </w:p>
    <w:p>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w:t>
      </w:r>
      <w:r>
        <w:rPr>
          <w:rFonts w:hint="eastAsia" w:ascii="Times New Roman" w:eastAsia="黑体"/>
          <w:b w:val="0"/>
          <w:sz w:val="32"/>
          <w:szCs w:val="32"/>
          <w:lang w:eastAsia="zh-CN"/>
        </w:rPr>
        <w:t>单位</w:t>
      </w:r>
      <w:r>
        <w:rPr>
          <w:rFonts w:ascii="Times New Roman" w:eastAsia="黑体"/>
          <w:b w:val="0"/>
          <w:sz w:val="32"/>
          <w:szCs w:val="32"/>
        </w:rPr>
        <w:t>决算报表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w:t>
      </w:r>
      <w:r>
        <w:rPr>
          <w:rFonts w:hint="eastAsia" w:ascii="Times New Roman" w:eastAsia="黑体"/>
          <w:b w:val="0"/>
          <w:sz w:val="32"/>
          <w:szCs w:val="32"/>
          <w:lang w:eastAsia="zh-CN"/>
        </w:rPr>
        <w:t>单位</w:t>
      </w:r>
      <w:r>
        <w:rPr>
          <w:rFonts w:ascii="Times New Roman" w:eastAsia="黑体"/>
          <w:b w:val="0"/>
          <w:sz w:val="32"/>
          <w:szCs w:val="32"/>
        </w:rPr>
        <w:t>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pPr>
        <w:ind w:firstLine="640"/>
        <w:rPr>
          <w:rFonts w:ascii="Times New Roman" w:hAnsi="Times New Roman" w:eastAsia="仿宋" w:cs="仿宋"/>
          <w:sz w:val="32"/>
          <w:szCs w:val="32"/>
        </w:rPr>
      </w:pPr>
      <w:r>
        <w:rPr>
          <w:rFonts w:hint="eastAsia" w:ascii="Times New Roman" w:hAnsi="Times New Roman" w:eastAsia="仿宋" w:cs="仿宋"/>
          <w:sz w:val="32"/>
          <w:szCs w:val="32"/>
        </w:rPr>
        <w:t>根据《中共石家庄市委办公厅、石家庄市人民政府办公厅关于印发&lt;无极县机构改革方案&gt;的通知》（石办字〔2018〕71号），制定本规定。</w:t>
      </w:r>
    </w:p>
    <w:p>
      <w:pPr>
        <w:ind w:firstLine="640"/>
        <w:rPr>
          <w:rFonts w:ascii="Times New Roman" w:hAnsi="Times New Roman" w:eastAsia="仿宋" w:cs="仿宋"/>
          <w:sz w:val="32"/>
          <w:szCs w:val="32"/>
        </w:rPr>
      </w:pPr>
      <w:r>
        <w:rPr>
          <w:rFonts w:hint="eastAsia" w:ascii="Times New Roman" w:hAnsi="Times New Roman" w:eastAsia="仿宋" w:cs="仿宋"/>
          <w:sz w:val="32"/>
          <w:szCs w:val="32"/>
        </w:rPr>
        <w:t>中共无极县委宣传部（简称县委宣传部）为县委主管意识形态方面工作的职能</w:t>
      </w:r>
      <w:r>
        <w:rPr>
          <w:rFonts w:hint="eastAsia" w:ascii="Times New Roman" w:hAnsi="Times New Roman" w:eastAsia="仿宋" w:cs="仿宋"/>
          <w:sz w:val="32"/>
          <w:szCs w:val="32"/>
          <w:lang w:eastAsia="zh-CN"/>
        </w:rPr>
        <w:t>单位</w:t>
      </w:r>
      <w:r>
        <w:rPr>
          <w:rFonts w:hint="eastAsia" w:ascii="Times New Roman" w:hAnsi="Times New Roman" w:eastAsia="仿宋" w:cs="仿宋"/>
          <w:sz w:val="32"/>
          <w:szCs w:val="32"/>
        </w:rPr>
        <w:t>，机构规格为正科级，加挂县精神文明建设委员会办公室、县政府新闻办公室、县新闻出版局（县版权局）牌子。主要职责如下：</w:t>
      </w:r>
    </w:p>
    <w:p>
      <w:pPr>
        <w:ind w:firstLine="640"/>
        <w:rPr>
          <w:rFonts w:ascii="Times New Roman" w:hAnsi="Times New Roman" w:eastAsia="仿宋" w:cs="仿宋"/>
          <w:sz w:val="32"/>
          <w:szCs w:val="32"/>
        </w:rPr>
      </w:pPr>
      <w:r>
        <w:rPr>
          <w:rFonts w:hint="eastAsia" w:ascii="Times New Roman" w:hAnsi="Times New Roman" w:eastAsia="仿宋" w:cs="仿宋"/>
          <w:sz w:val="32"/>
          <w:szCs w:val="32"/>
        </w:rPr>
        <w:t>一、拟订全县宣传思想文化工作重大方针政策和事业发展总体规划，统筹协调推进宣传思想文化领域法治建设，按照县委统一部署，协调宣传思想文化系统各</w:t>
      </w:r>
      <w:r>
        <w:rPr>
          <w:rFonts w:hint="eastAsia" w:ascii="Times New Roman" w:hAnsi="Times New Roman" w:eastAsia="仿宋" w:cs="仿宋"/>
          <w:sz w:val="32"/>
          <w:szCs w:val="32"/>
          <w:lang w:eastAsia="zh-CN"/>
        </w:rPr>
        <w:t>单位</w:t>
      </w:r>
      <w:r>
        <w:rPr>
          <w:rFonts w:hint="eastAsia" w:ascii="Times New Roman" w:hAnsi="Times New Roman" w:eastAsia="仿宋" w:cs="仿宋"/>
          <w:sz w:val="32"/>
          <w:szCs w:val="32"/>
        </w:rPr>
        <w:t>之间的工作。</w:t>
      </w:r>
    </w:p>
    <w:p>
      <w:pPr>
        <w:ind w:firstLine="640"/>
        <w:rPr>
          <w:rFonts w:ascii="Times New Roman" w:hAnsi="Times New Roman" w:eastAsia="仿宋" w:cs="仿宋"/>
          <w:sz w:val="32"/>
          <w:szCs w:val="32"/>
        </w:rPr>
      </w:pPr>
      <w:r>
        <w:rPr>
          <w:rFonts w:hint="eastAsia" w:ascii="Times New Roman" w:hAnsi="Times New Roman" w:eastAsia="仿宋" w:cs="仿宋"/>
          <w:sz w:val="32"/>
          <w:szCs w:val="32"/>
        </w:rPr>
        <w:t>二、统筹协调全县党的意识形态工作，贯彻落实县委关于意识形态工作决策部署，组织协调意识形态工作责任制落实和日常监督检查。</w:t>
      </w:r>
    </w:p>
    <w:p>
      <w:pPr>
        <w:ind w:firstLine="640"/>
        <w:rPr>
          <w:rFonts w:ascii="Times New Roman" w:hAnsi="Times New Roman" w:eastAsia="仿宋" w:cs="仿宋"/>
          <w:sz w:val="32"/>
          <w:szCs w:val="32"/>
        </w:rPr>
      </w:pPr>
      <w:r>
        <w:rPr>
          <w:rFonts w:hint="eastAsia" w:ascii="Times New Roman" w:hAnsi="Times New Roman" w:eastAsia="仿宋" w:cs="仿宋"/>
          <w:sz w:val="32"/>
          <w:szCs w:val="32"/>
        </w:rPr>
        <w:t>三、统筹指导协调全县理论研究、理论学习、理论宣传工作，组织推动理论武装工作，推动落实马克思主义理论研究和建设工程任务，负责县委理论学习中心组理论学习的有关工作。</w:t>
      </w:r>
    </w:p>
    <w:p>
      <w:pPr>
        <w:ind w:firstLine="640"/>
        <w:rPr>
          <w:rFonts w:ascii="Times New Roman" w:hAnsi="Times New Roman" w:eastAsia="仿宋" w:cs="仿宋"/>
          <w:sz w:val="32"/>
          <w:szCs w:val="32"/>
        </w:rPr>
      </w:pPr>
      <w:r>
        <w:rPr>
          <w:rFonts w:hint="eastAsia" w:ascii="Times New Roman" w:hAnsi="Times New Roman" w:eastAsia="仿宋" w:cs="仿宋"/>
          <w:sz w:val="32"/>
          <w:szCs w:val="32"/>
        </w:rPr>
        <w:t>四、负责规划组织全县全局性思想政治工作任务，组织对先进典型的学习推广。配合县委组织部做好基层党员教育工作，指导协调编写党员教育教材，会同有关</w:t>
      </w:r>
      <w:r>
        <w:rPr>
          <w:rFonts w:hint="eastAsia" w:ascii="Times New Roman" w:hAnsi="Times New Roman" w:eastAsia="仿宋" w:cs="仿宋"/>
          <w:sz w:val="32"/>
          <w:szCs w:val="32"/>
          <w:lang w:eastAsia="zh-CN"/>
        </w:rPr>
        <w:t>单位</w:t>
      </w:r>
      <w:r>
        <w:rPr>
          <w:rFonts w:hint="eastAsia" w:ascii="Times New Roman" w:hAnsi="Times New Roman" w:eastAsia="仿宋" w:cs="仿宋"/>
          <w:sz w:val="32"/>
          <w:szCs w:val="32"/>
        </w:rPr>
        <w:t>研究和改进群众思想教育工作。负责指导协调全县爱国主义教育基地的建设、管理、使用。负责全县国防教育工作。</w:t>
      </w:r>
    </w:p>
    <w:p>
      <w:pPr>
        <w:ind w:firstLine="640"/>
        <w:rPr>
          <w:rFonts w:ascii="Times New Roman" w:hAnsi="Times New Roman" w:eastAsia="仿宋" w:cs="仿宋"/>
          <w:sz w:val="32"/>
          <w:szCs w:val="32"/>
        </w:rPr>
      </w:pPr>
      <w:r>
        <w:rPr>
          <w:rFonts w:hint="eastAsia" w:ascii="Times New Roman" w:hAnsi="Times New Roman" w:eastAsia="仿宋" w:cs="仿宋"/>
          <w:sz w:val="32"/>
          <w:szCs w:val="32"/>
        </w:rPr>
        <w:t>五、统筹分析研判和引导全县社会舆论，指导协调县直各新闻单位的工作，组织全县突发公共事件应急新闻工作。</w:t>
      </w:r>
    </w:p>
    <w:p>
      <w:pPr>
        <w:ind w:firstLine="640"/>
        <w:rPr>
          <w:rFonts w:ascii="Times New Roman" w:hAnsi="Times New Roman" w:eastAsia="仿宋" w:cs="仿宋"/>
          <w:sz w:val="32"/>
          <w:szCs w:val="32"/>
        </w:rPr>
      </w:pPr>
      <w:r>
        <w:rPr>
          <w:rFonts w:hint="eastAsia" w:ascii="Times New Roman" w:hAnsi="Times New Roman" w:eastAsia="仿宋" w:cs="仿宋"/>
          <w:sz w:val="32"/>
          <w:szCs w:val="32"/>
        </w:rPr>
        <w:t>六、拟订全县新闻出版业的管理政策并督促落实，管理新闻出版行政事务，统筹规划和指导协调新闻出版事业、产业发展，监督管理出版物内容和质量，监督管理印刷业，管理著作权，管理出版物进出口等。组织指导协调全县“扫黄打非”工作。负责全县新闻记者证的发放等相关工作。</w:t>
      </w:r>
    </w:p>
    <w:p>
      <w:pPr>
        <w:ind w:firstLine="640"/>
        <w:rPr>
          <w:rFonts w:ascii="Times New Roman" w:hAnsi="Times New Roman" w:eastAsia="仿宋" w:cs="仿宋"/>
          <w:sz w:val="32"/>
          <w:szCs w:val="32"/>
        </w:rPr>
      </w:pPr>
      <w:r>
        <w:rPr>
          <w:rFonts w:hint="eastAsia" w:ascii="Times New Roman" w:hAnsi="Times New Roman" w:eastAsia="仿宋" w:cs="仿宋"/>
          <w:sz w:val="32"/>
          <w:szCs w:val="32"/>
        </w:rPr>
        <w:t>七、从宏观上统筹指导协调全县互联网宣传和信息内容管理工作。统筹数字新媒体的建设和管理。</w:t>
      </w:r>
    </w:p>
    <w:p>
      <w:pPr>
        <w:ind w:firstLine="640"/>
        <w:rPr>
          <w:rFonts w:ascii="Times New Roman" w:hAnsi="Times New Roman" w:eastAsia="仿宋" w:cs="仿宋"/>
          <w:sz w:val="32"/>
          <w:szCs w:val="32"/>
        </w:rPr>
      </w:pPr>
      <w:r>
        <w:rPr>
          <w:rFonts w:hint="eastAsia" w:ascii="Times New Roman" w:hAnsi="Times New Roman" w:eastAsia="仿宋" w:cs="仿宋"/>
          <w:sz w:val="32"/>
          <w:szCs w:val="32"/>
        </w:rPr>
        <w:t>八、从宏观上统筹指导协调推动全县精神文化产品的创作和生产，协调组织中华优秀传统文化传承发展有关工作，指导协调推动群众文化建设。</w:t>
      </w:r>
    </w:p>
    <w:p>
      <w:pPr>
        <w:ind w:firstLine="640"/>
        <w:rPr>
          <w:rFonts w:ascii="Times New Roman" w:hAnsi="Times New Roman" w:eastAsia="仿宋" w:cs="仿宋"/>
          <w:sz w:val="32"/>
          <w:szCs w:val="32"/>
        </w:rPr>
      </w:pPr>
      <w:r>
        <w:rPr>
          <w:rFonts w:hint="eastAsia" w:ascii="Times New Roman" w:hAnsi="Times New Roman" w:eastAsia="仿宋" w:cs="仿宋"/>
          <w:sz w:val="32"/>
          <w:szCs w:val="32"/>
        </w:rPr>
        <w:t>九、负责管理全县电影行政事务，指导监管电影制片、发行、放映工作，组织对电影内容进行审查，指导协调全县性重大电影活动。</w:t>
      </w:r>
    </w:p>
    <w:p>
      <w:pPr>
        <w:ind w:firstLine="640"/>
        <w:rPr>
          <w:rFonts w:ascii="Times New Roman" w:hAnsi="Times New Roman" w:eastAsia="仿宋" w:cs="仿宋"/>
          <w:sz w:val="32"/>
          <w:szCs w:val="32"/>
        </w:rPr>
      </w:pPr>
      <w:r>
        <w:rPr>
          <w:rFonts w:hint="eastAsia" w:ascii="Times New Roman" w:hAnsi="Times New Roman" w:eastAsia="仿宋" w:cs="仿宋"/>
          <w:sz w:val="32"/>
          <w:szCs w:val="32"/>
        </w:rPr>
        <w:t>十、对全县新闻出版、广播影视、文化艺术业改革发展研究提出政策性建议，统筹指导协调文化体制改革和文化事业、文化产业及旅游业发展，负责县级文化企业国有资产监督管理。</w:t>
      </w:r>
    </w:p>
    <w:p>
      <w:pPr>
        <w:ind w:firstLine="640"/>
        <w:rPr>
          <w:rFonts w:ascii="Times New Roman" w:hAnsi="Times New Roman" w:eastAsia="仿宋" w:cs="仿宋"/>
          <w:sz w:val="32"/>
          <w:szCs w:val="32"/>
        </w:rPr>
      </w:pPr>
      <w:r>
        <w:rPr>
          <w:rFonts w:hint="eastAsia" w:ascii="Times New Roman" w:hAnsi="Times New Roman" w:eastAsia="仿宋" w:cs="仿宋"/>
          <w:sz w:val="32"/>
          <w:szCs w:val="32"/>
        </w:rPr>
        <w:t>十一、统筹指导全县舆情信息工作，组织协调开展县内外舆情信息收集分析研判工作，跟踪了解、研究掌握宣传舆情动态。</w:t>
      </w:r>
    </w:p>
    <w:p>
      <w:pPr>
        <w:ind w:firstLine="640"/>
        <w:rPr>
          <w:rFonts w:ascii="Times New Roman" w:hAnsi="Times New Roman" w:eastAsia="仿宋" w:cs="仿宋"/>
          <w:sz w:val="32"/>
          <w:szCs w:val="32"/>
        </w:rPr>
      </w:pPr>
      <w:r>
        <w:rPr>
          <w:rFonts w:hint="eastAsia" w:ascii="Times New Roman" w:hAnsi="Times New Roman" w:eastAsia="仿宋" w:cs="仿宋"/>
          <w:sz w:val="32"/>
          <w:szCs w:val="32"/>
        </w:rPr>
        <w:t>十二、统筹研究拟订有关全县精神文明建设的方针、政策。规划部署全县精神文明建设工作，组织指导全县群众性精神文明创建活动。</w:t>
      </w:r>
    </w:p>
    <w:p>
      <w:pPr>
        <w:ind w:firstLine="640"/>
        <w:rPr>
          <w:rFonts w:ascii="Times New Roman" w:hAnsi="Times New Roman" w:eastAsia="仿宋" w:cs="仿宋"/>
          <w:sz w:val="32"/>
          <w:szCs w:val="32"/>
        </w:rPr>
      </w:pPr>
      <w:r>
        <w:rPr>
          <w:rFonts w:hint="eastAsia" w:ascii="Times New Roman" w:hAnsi="Times New Roman" w:eastAsia="仿宋" w:cs="仿宋"/>
          <w:sz w:val="32"/>
          <w:szCs w:val="32"/>
        </w:rPr>
        <w:t>十三、统筹协调全县对外宣传工作。指导协调有关</w:t>
      </w:r>
      <w:r>
        <w:rPr>
          <w:rFonts w:hint="eastAsia" w:ascii="Times New Roman" w:hAnsi="Times New Roman" w:eastAsia="仿宋" w:cs="仿宋"/>
          <w:sz w:val="32"/>
          <w:szCs w:val="32"/>
          <w:lang w:eastAsia="zh-CN"/>
        </w:rPr>
        <w:t>单位</w:t>
      </w:r>
      <w:r>
        <w:rPr>
          <w:rFonts w:hint="eastAsia" w:ascii="Times New Roman" w:hAnsi="Times New Roman" w:eastAsia="仿宋" w:cs="仿宋"/>
          <w:sz w:val="32"/>
          <w:szCs w:val="32"/>
        </w:rPr>
        <w:t>研究拟订全县对外宣传事业发展规划，组织协调我县对外宣传文化交流工作，会同有关</w:t>
      </w:r>
      <w:r>
        <w:rPr>
          <w:rFonts w:hint="eastAsia" w:ascii="Times New Roman" w:hAnsi="Times New Roman" w:eastAsia="仿宋" w:cs="仿宋"/>
          <w:sz w:val="32"/>
          <w:szCs w:val="32"/>
          <w:lang w:eastAsia="zh-CN"/>
        </w:rPr>
        <w:t>单位</w:t>
      </w:r>
      <w:r>
        <w:rPr>
          <w:rFonts w:hint="eastAsia" w:ascii="Times New Roman" w:hAnsi="Times New Roman" w:eastAsia="仿宋" w:cs="仿宋"/>
          <w:sz w:val="32"/>
          <w:szCs w:val="32"/>
        </w:rPr>
        <w:t>做好境外记者采访事务方面工作。</w:t>
      </w:r>
    </w:p>
    <w:p>
      <w:pPr>
        <w:ind w:firstLine="640"/>
        <w:rPr>
          <w:rFonts w:ascii="Times New Roman" w:hAnsi="Times New Roman" w:eastAsia="仿宋" w:cs="仿宋"/>
          <w:sz w:val="32"/>
          <w:szCs w:val="32"/>
        </w:rPr>
      </w:pPr>
      <w:r>
        <w:rPr>
          <w:rFonts w:hint="eastAsia" w:ascii="Times New Roman" w:hAnsi="Times New Roman" w:eastAsia="仿宋" w:cs="仿宋"/>
          <w:sz w:val="32"/>
          <w:szCs w:val="32"/>
        </w:rPr>
        <w:t>十四、统筹协调组织开展新闻发布工作。承担县委新闻发布有关组织协调工作，负责县政府新闻发布组织实施工作。指导协调县政府各</w:t>
      </w:r>
      <w:r>
        <w:rPr>
          <w:rFonts w:hint="eastAsia" w:ascii="Times New Roman" w:hAnsi="Times New Roman" w:eastAsia="仿宋" w:cs="仿宋"/>
          <w:sz w:val="32"/>
          <w:szCs w:val="32"/>
          <w:lang w:eastAsia="zh-CN"/>
        </w:rPr>
        <w:t>单位</w:t>
      </w:r>
      <w:r>
        <w:rPr>
          <w:rFonts w:hint="eastAsia" w:ascii="Times New Roman" w:hAnsi="Times New Roman" w:eastAsia="仿宋" w:cs="仿宋"/>
          <w:sz w:val="32"/>
          <w:szCs w:val="32"/>
        </w:rPr>
        <w:t>和各乡（镇）的新闻发布工作，推动新闻发言人制度落实。</w:t>
      </w:r>
    </w:p>
    <w:p>
      <w:pPr>
        <w:ind w:firstLine="640"/>
        <w:rPr>
          <w:rFonts w:ascii="Times New Roman" w:hAnsi="Times New Roman" w:eastAsia="仿宋" w:cs="仿宋"/>
          <w:sz w:val="32"/>
          <w:szCs w:val="32"/>
        </w:rPr>
      </w:pPr>
      <w:r>
        <w:rPr>
          <w:rFonts w:hint="eastAsia" w:ascii="Times New Roman" w:hAnsi="Times New Roman" w:eastAsia="仿宋" w:cs="仿宋"/>
          <w:sz w:val="32"/>
          <w:szCs w:val="32"/>
        </w:rPr>
        <w:t>十五、统筹指导协调全县哲学社会科学发展工作。组织制定发展战略、中长期规划和专项计划。负责组织社会科学课题项目评审和成果转化应用等工作。</w:t>
      </w:r>
    </w:p>
    <w:p>
      <w:pPr>
        <w:ind w:firstLine="640"/>
        <w:rPr>
          <w:rFonts w:ascii="Times New Roman" w:hAnsi="Times New Roman" w:eastAsia="仿宋" w:cs="仿宋"/>
          <w:sz w:val="32"/>
          <w:szCs w:val="32"/>
        </w:rPr>
      </w:pPr>
      <w:r>
        <w:rPr>
          <w:rFonts w:hint="eastAsia" w:ascii="Times New Roman" w:hAnsi="Times New Roman" w:eastAsia="仿宋" w:cs="仿宋"/>
          <w:sz w:val="32"/>
          <w:szCs w:val="32"/>
        </w:rPr>
        <w:t>十六、受县委委托，会同县委组织部管理新闻、文化、社会科学研究和互联网信息等方面县直宣传思想文化单位的领导干部。对各乡（镇）党委宣传委员的任免提出意见。负责有关重要宣传舆论阵地和重要岗位领导干部管理工作。统筹组织开展宣传思想文化系统干部教育培训和人才工作。</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Times New Roman" w:hAnsi="Times New Roman" w:eastAsia="仿宋" w:cs="仿宋"/>
          <w:sz w:val="32"/>
          <w:szCs w:val="32"/>
        </w:rPr>
        <w:t>十</w:t>
      </w:r>
      <w:r>
        <w:rPr>
          <w:rFonts w:hint="eastAsia" w:ascii="Times New Roman" w:hAnsi="Times New Roman" w:eastAsia="仿宋" w:cs="仿宋"/>
          <w:sz w:val="32"/>
          <w:szCs w:val="32"/>
          <w:lang w:eastAsia="zh-CN"/>
        </w:rPr>
        <w:t>七</w:t>
      </w:r>
      <w:r>
        <w:rPr>
          <w:rFonts w:hint="eastAsia" w:ascii="Times New Roman" w:hAnsi="Times New Roman" w:eastAsia="仿宋" w:cs="仿宋"/>
          <w:sz w:val="32"/>
          <w:szCs w:val="32"/>
        </w:rPr>
        <w:t>、完成县委交办的其他任务。</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w:t>
      </w:r>
      <w:r>
        <w:rPr>
          <w:rFonts w:hint="eastAsia" w:ascii="Times New Roman" w:eastAsia="仿宋_GB2312"/>
          <w:b w:val="0"/>
          <w:sz w:val="32"/>
          <w:szCs w:val="32"/>
          <w:lang w:eastAsia="zh-CN"/>
        </w:rPr>
        <w:t>单位</w:t>
      </w:r>
      <w:r>
        <w:rPr>
          <w:rFonts w:ascii="Times New Roman" w:eastAsia="仿宋_GB2312"/>
          <w:b w:val="0"/>
          <w:sz w:val="32"/>
          <w:szCs w:val="32"/>
        </w:rPr>
        <w:t>决算汇编范围的独立核算单位（以下简称“单位”）共个，具体情况如下：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中国共产党无极县委员会宣传部(本级)</w:t>
            </w:r>
          </w:p>
        </w:tc>
        <w:tc>
          <w:tcPr>
            <w:tcW w:w="244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rPr>
              <w:t>行政单位</w:t>
            </w:r>
          </w:p>
        </w:tc>
        <w:tc>
          <w:tcPr>
            <w:tcW w:w="266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决算表</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bidi w:val="0"/>
        <w:rPr>
          <w:rFonts w:hint="default"/>
          <w:lang w:val="en-US" w:eastAsia="zh-CN"/>
        </w:rPr>
      </w:pPr>
    </w:p>
    <w:p>
      <w:pPr>
        <w:bidi w:val="0"/>
        <w:rPr>
          <w:rFonts w:hint="default"/>
          <w:lang w:val="en-US" w:eastAsia="zh-CN"/>
        </w:rPr>
      </w:pPr>
    </w:p>
    <w:tbl>
      <w:tblPr>
        <w:tblStyle w:val="11"/>
        <w:tblW w:w="11659" w:type="dxa"/>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61" w:hRule="atLeast"/>
        </w:trPr>
        <w:tc>
          <w:tcPr>
            <w:tcW w:w="11625" w:type="dxa"/>
            <w:gridSpan w:val="8"/>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57" w:hRule="atLeast"/>
        </w:trPr>
        <w:tc>
          <w:tcPr>
            <w:tcW w:w="11625" w:type="dxa"/>
            <w:gridSpan w:val="8"/>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51" w:hRule="atLeast"/>
        </w:trPr>
        <w:tc>
          <w:tcPr>
            <w:tcW w:w="4581" w:type="dxa"/>
            <w:gridSpan w:val="3"/>
            <w:tcBorders>
              <w:top w:val="nil"/>
              <w:left w:val="nil"/>
              <w:bottom w:val="single" w:color="000000" w:themeColor="text1" w:sz="8" w:space="0"/>
              <w:right w:val="nil"/>
            </w:tcBorders>
            <w:vAlign w:val="bottom"/>
          </w:tcPr>
          <w:p>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单位（单位）：中国共产党无极县委员会宣传部(本级)</w:t>
            </w:r>
          </w:p>
        </w:tc>
        <w:tc>
          <w:tcPr>
            <w:tcW w:w="2945" w:type="dxa"/>
            <w:gridSpan w:val="2"/>
            <w:tcBorders>
              <w:top w:val="nil"/>
              <w:left w:val="nil"/>
              <w:bottom w:val="single" w:color="000000" w:themeColor="text1" w:sz="8" w:space="0"/>
              <w:right w:val="nil"/>
            </w:tcBorders>
            <w:vAlign w:val="bottom"/>
          </w:tcPr>
          <w:p>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4099" w:type="dxa"/>
            <w:gridSpan w:val="3"/>
            <w:tcBorders>
              <w:top w:val="nil"/>
              <w:left w:val="nil"/>
              <w:bottom w:val="single" w:color="000000" w:themeColor="text1" w:sz="8" w:space="0"/>
              <w:right w:val="nil"/>
            </w:tcBorders>
            <w:vAlign w:val="bottom"/>
          </w:tcPr>
          <w:p>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14" w:hRule="atLeast"/>
        </w:trPr>
        <w:tc>
          <w:tcPr>
            <w:tcW w:w="5735"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589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08"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2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0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298.97</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262.12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3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124.63</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8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3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3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4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5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2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9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9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6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4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09"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1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15"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187"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18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79"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12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3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4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0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3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124.63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3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2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423.60</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423.60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1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20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9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08"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423.60</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423.60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1659" w:type="dxa"/>
            <w:gridSpan w:val="9"/>
            <w:tcBorders>
              <w:top w:val="nil"/>
              <w:left w:val="nil"/>
              <w:bottom w:val="nil"/>
              <w:right w:val="nil"/>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注：1.本表反映单位本年度的总收支和年末结转结余情况。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pPr>
        <w:rPr>
          <w:rFonts w:hint="eastAsia" w:ascii="仿宋_GB2312" w:hAnsi="宋体" w:eastAsia="仿宋_GB2312"/>
          <w:b/>
          <w:color w:val="auto"/>
          <w:kern w:val="0"/>
          <w:sz w:val="32"/>
          <w:szCs w:val="32"/>
          <w:highlight w:val="none"/>
        </w:rPr>
      </w:pPr>
    </w:p>
    <w:tbl>
      <w:tblPr>
        <w:tblStyle w:val="11"/>
        <w:tblW w:w="1130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43"/>
        <w:gridCol w:w="2930"/>
        <w:gridCol w:w="1037"/>
        <w:gridCol w:w="1037"/>
        <w:gridCol w:w="1037"/>
        <w:gridCol w:w="964"/>
        <w:gridCol w:w="367"/>
        <w:gridCol w:w="597"/>
        <w:gridCol w:w="1027"/>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11303" w:type="dxa"/>
            <w:gridSpan w:val="10"/>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1303" w:type="dxa"/>
            <w:gridSpan w:val="10"/>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310" w:type="dxa"/>
            <w:gridSpan w:val="3"/>
            <w:tcBorders>
              <w:top w:val="nil"/>
              <w:left w:val="nil"/>
              <w:bottom w:val="single" w:color="000000" w:themeColor="text1" w:sz="8" w:space="0"/>
              <w:right w:val="nil"/>
            </w:tcBorders>
            <w:vAlign w:val="bottom"/>
          </w:tcPr>
          <w:p>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单位（单位）：中国共产党无极县委员会宣传部(本级)                                                                                                         </w:t>
            </w:r>
          </w:p>
        </w:tc>
        <w:tc>
          <w:tcPr>
            <w:tcW w:w="3405" w:type="dxa"/>
            <w:gridSpan w:val="4"/>
            <w:tcBorders>
              <w:top w:val="nil"/>
              <w:left w:val="nil"/>
              <w:bottom w:val="single" w:color="000000" w:themeColor="text1" w:sz="8" w:space="0"/>
              <w:right w:val="nil"/>
            </w:tcBorders>
            <w:vAlign w:val="bottom"/>
          </w:tcPr>
          <w:p>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vAlign w:val="bottom"/>
          </w:tcPr>
          <w:p>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427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34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293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34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93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34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93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427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27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423.60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423.60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4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29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262.12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262.12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4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20133</w:t>
            </w:r>
          </w:p>
        </w:tc>
        <w:tc>
          <w:tcPr>
            <w:tcW w:w="29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宣传事务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262.12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262.12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4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2013301</w:t>
            </w:r>
          </w:p>
        </w:tc>
        <w:tc>
          <w:tcPr>
            <w:tcW w:w="29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172.22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172.22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4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2013302</w:t>
            </w:r>
          </w:p>
        </w:tc>
        <w:tc>
          <w:tcPr>
            <w:tcW w:w="29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4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2013304</w:t>
            </w:r>
          </w:p>
        </w:tc>
        <w:tc>
          <w:tcPr>
            <w:tcW w:w="29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宣传管理</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4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2013399</w:t>
            </w:r>
          </w:p>
        </w:tc>
        <w:tc>
          <w:tcPr>
            <w:tcW w:w="29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其他宣传事务支出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4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29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4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29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4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29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4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2080506</w:t>
            </w:r>
          </w:p>
        </w:tc>
        <w:tc>
          <w:tcPr>
            <w:tcW w:w="29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4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29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4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29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4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29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4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w:t>
            </w:r>
          </w:p>
        </w:tc>
        <w:tc>
          <w:tcPr>
            <w:tcW w:w="29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124.63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124.63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4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w:t>
            </w:r>
          </w:p>
        </w:tc>
        <w:tc>
          <w:tcPr>
            <w:tcW w:w="29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其他政府性基金及对应专项债务收入安排的支出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124.63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124.63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4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2290402</w:t>
            </w:r>
          </w:p>
        </w:tc>
        <w:tc>
          <w:tcPr>
            <w:tcW w:w="293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其他地方自行试点项目收益专项债券收入安排的支出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124.63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124.63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303" w:type="dxa"/>
            <w:gridSpan w:val="10"/>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54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62"/>
        <w:gridCol w:w="3840"/>
        <w:gridCol w:w="375"/>
        <w:gridCol w:w="675"/>
        <w:gridCol w:w="1050"/>
        <w:gridCol w:w="898"/>
        <w:gridCol w:w="122"/>
        <w:gridCol w:w="1005"/>
        <w:gridCol w:w="1035"/>
        <w:gridCol w:w="10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11542" w:type="dxa"/>
            <w:gridSpan w:val="10"/>
            <w:tcBorders>
              <w:top w:val="nil"/>
              <w:left w:val="nil"/>
              <w:bottom w:val="nil"/>
              <w:right w:val="nil"/>
            </w:tcBorders>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1542" w:type="dxa"/>
            <w:gridSpan w:val="10"/>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677" w:type="dxa"/>
            <w:gridSpan w:val="3"/>
            <w:tcBorders>
              <w:top w:val="nil"/>
              <w:left w:val="nil"/>
              <w:bottom w:val="single" w:color="000000" w:themeColor="text1" w:sz="8" w:space="0"/>
              <w:right w:val="nil"/>
            </w:tcBorders>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单位（单位）：中国共产党无极县委员会宣传部(本级)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2623" w:type="dxa"/>
            <w:gridSpan w:val="3"/>
            <w:tcBorders>
              <w:top w:val="nil"/>
              <w:left w:val="nil"/>
              <w:bottom w:val="single" w:color="000000" w:themeColor="text1" w:sz="8" w:space="0"/>
              <w:right w:val="nil"/>
            </w:tcBorders>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242" w:type="dxa"/>
            <w:gridSpan w:val="4"/>
            <w:tcBorders>
              <w:top w:val="nil"/>
              <w:left w:val="nil"/>
              <w:bottom w:val="single" w:color="000000" w:themeColor="text1" w:sz="8" w:space="0"/>
              <w:right w:val="nil"/>
            </w:tcBorders>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0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5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105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02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1005"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1035"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108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462"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38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5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5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0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8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46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38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5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5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0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8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46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38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5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5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0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8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530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30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423.60</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219.07</w:t>
            </w: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204.53</w:t>
            </w: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46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38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0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262.12</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182.22</w:t>
            </w: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79.90</w:t>
            </w: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46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20133</w:t>
            </w:r>
          </w:p>
        </w:tc>
        <w:tc>
          <w:tcPr>
            <w:tcW w:w="38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宣传事务</w:t>
            </w:r>
          </w:p>
        </w:tc>
        <w:tc>
          <w:tcPr>
            <w:tcW w:w="10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262.12</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182.22</w:t>
            </w: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79.90</w:t>
            </w: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46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2013301</w:t>
            </w:r>
          </w:p>
        </w:tc>
        <w:tc>
          <w:tcPr>
            <w:tcW w:w="38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0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172.22</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172.22</w:t>
            </w: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46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2013302</w:t>
            </w:r>
          </w:p>
        </w:tc>
        <w:tc>
          <w:tcPr>
            <w:tcW w:w="38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0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46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2013304</w:t>
            </w:r>
          </w:p>
        </w:tc>
        <w:tc>
          <w:tcPr>
            <w:tcW w:w="38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宣传管理</w:t>
            </w:r>
          </w:p>
        </w:tc>
        <w:tc>
          <w:tcPr>
            <w:tcW w:w="10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42.00</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42.00</w:t>
            </w: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46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2013399</w:t>
            </w:r>
          </w:p>
        </w:tc>
        <w:tc>
          <w:tcPr>
            <w:tcW w:w="38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其他宣传事务支出</w:t>
            </w:r>
          </w:p>
        </w:tc>
        <w:tc>
          <w:tcPr>
            <w:tcW w:w="10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37.90</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37.90</w:t>
            </w: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46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38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0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28.24</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28.24</w:t>
            </w: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46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38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0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28.24</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28.24</w:t>
            </w: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46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38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0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24.22</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24.22</w:t>
            </w: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46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38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0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4.02</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4.02</w:t>
            </w: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46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38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0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8.61</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8.61</w:t>
            </w: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46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38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0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8.61</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8.61</w:t>
            </w: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46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38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0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8.61</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8.61</w:t>
            </w: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46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38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10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124.63</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124.63</w:t>
            </w: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46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38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10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124.63</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124.63</w:t>
            </w: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46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38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10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124.63</w:t>
            </w: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124.63</w:t>
            </w: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8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542" w:type="dxa"/>
            <w:gridSpan w:val="10"/>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709" w:type="dxa"/>
        <w:tblInd w:w="-186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486"/>
        <w:gridCol w:w="525"/>
        <w:gridCol w:w="960"/>
        <w:gridCol w:w="1723"/>
        <w:gridCol w:w="917"/>
        <w:gridCol w:w="604"/>
        <w:gridCol w:w="146"/>
        <w:gridCol w:w="1125"/>
        <w:gridCol w:w="1020"/>
        <w:gridCol w:w="1077"/>
        <w:gridCol w:w="112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11709" w:type="dxa"/>
            <w:gridSpan w:val="11"/>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709" w:type="dxa"/>
            <w:gridSpan w:val="11"/>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694" w:type="dxa"/>
            <w:gridSpan w:val="4"/>
            <w:tcBorders>
              <w:top w:val="nil"/>
              <w:left w:val="nil"/>
              <w:bottom w:val="single" w:color="000000" w:themeColor="text1" w:sz="8" w:space="0"/>
              <w:right w:val="nil"/>
            </w:tcBorders>
            <w:vAlign w:val="bottom"/>
          </w:tcPr>
          <w:p>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单位（单位）：中国共产党无极县委员会宣传部(本级)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521" w:type="dxa"/>
            <w:gridSpan w:val="2"/>
            <w:tcBorders>
              <w:top w:val="nil"/>
              <w:left w:val="nil"/>
              <w:bottom w:val="single" w:color="000000" w:themeColor="text1" w:sz="8" w:space="0"/>
              <w:right w:val="nil"/>
            </w:tcBorders>
            <w:vAlign w:val="bottom"/>
          </w:tcPr>
          <w:p>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4494" w:type="dxa"/>
            <w:gridSpan w:val="5"/>
            <w:tcBorders>
              <w:top w:val="nil"/>
              <w:left w:val="nil"/>
              <w:bottom w:val="single" w:color="000000" w:themeColor="text1" w:sz="8" w:space="0"/>
              <w:right w:val="nil"/>
            </w:tcBorders>
            <w:vAlign w:val="bottom"/>
          </w:tcPr>
          <w:p>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971"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7738" w:type="dxa"/>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48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项    目</w:t>
            </w:r>
          </w:p>
        </w:tc>
        <w:tc>
          <w:tcPr>
            <w:tcW w:w="525"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行次</w:t>
            </w:r>
          </w:p>
        </w:tc>
        <w:tc>
          <w:tcPr>
            <w:tcW w:w="9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13"/>
                <w:szCs w:val="13"/>
                <w:highlight w:val="none"/>
                <w:u w:val="none"/>
                <w:lang w:val="en-US" w:eastAsia="zh-CN"/>
              </w:rPr>
            </w:pPr>
            <w:r>
              <w:rPr>
                <w:rFonts w:hint="eastAsia" w:ascii="方正仿宋_GB2312" w:hAnsi="方正仿宋_GB2312" w:eastAsia="方正仿宋_GB2312" w:cs="方正仿宋_GB2312"/>
                <w:i w:val="0"/>
                <w:iCs w:val="0"/>
                <w:color w:val="000000"/>
                <w:sz w:val="13"/>
                <w:szCs w:val="13"/>
                <w:highlight w:val="none"/>
                <w:u w:val="none"/>
                <w:lang w:val="en-US" w:eastAsia="zh-CN"/>
              </w:rPr>
              <w:t>金额</w:t>
            </w:r>
          </w:p>
        </w:tc>
        <w:tc>
          <w:tcPr>
            <w:tcW w:w="264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项目</w:t>
            </w:r>
          </w:p>
        </w:tc>
        <w:tc>
          <w:tcPr>
            <w:tcW w:w="75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kern w:val="0"/>
                <w:sz w:val="13"/>
                <w:szCs w:val="13"/>
                <w:highlight w:val="none"/>
                <w:u w:val="none"/>
                <w:lang w:val="en-US" w:eastAsia="zh-CN" w:bidi="ar"/>
              </w:rPr>
              <w:t>行次</w:t>
            </w:r>
          </w:p>
        </w:tc>
        <w:tc>
          <w:tcPr>
            <w:tcW w:w="1125"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sz w:val="13"/>
                <w:szCs w:val="13"/>
                <w:highlight w:val="none"/>
                <w:u w:val="none"/>
              </w:rPr>
              <w:t>合计</w:t>
            </w:r>
          </w:p>
        </w:tc>
        <w:tc>
          <w:tcPr>
            <w:tcW w:w="102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sz w:val="13"/>
                <w:szCs w:val="13"/>
                <w:highlight w:val="none"/>
                <w:u w:val="none"/>
              </w:rPr>
              <w:t>一般公共预算财政拨款</w:t>
            </w:r>
          </w:p>
        </w:tc>
        <w:tc>
          <w:tcPr>
            <w:tcW w:w="107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sz w:val="13"/>
                <w:szCs w:val="13"/>
                <w:highlight w:val="none"/>
                <w:u w:val="none"/>
              </w:rPr>
              <w:t>政府性基金预算财政拨款</w:t>
            </w:r>
          </w:p>
        </w:tc>
        <w:tc>
          <w:tcPr>
            <w:tcW w:w="11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3"/>
                <w:szCs w:val="13"/>
                <w:highlight w:val="none"/>
                <w:u w:val="none"/>
              </w:rPr>
            </w:pPr>
            <w:r>
              <w:rPr>
                <w:rFonts w:hint="eastAsia" w:ascii="方正仿宋_GB2312" w:hAnsi="方正仿宋_GB2312" w:eastAsia="方正仿宋_GB2312" w:cs="方正仿宋_GB2312"/>
                <w:i w:val="0"/>
                <w:iCs w:val="0"/>
                <w:color w:val="000000"/>
                <w:sz w:val="13"/>
                <w:szCs w:val="13"/>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48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6"/>
                <w:szCs w:val="16"/>
                <w:highlight w:val="none"/>
                <w:u w:val="none"/>
              </w:rPr>
            </w:pPr>
          </w:p>
        </w:tc>
        <w:tc>
          <w:tcPr>
            <w:tcW w:w="52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6"/>
                <w:szCs w:val="16"/>
                <w:highlight w:val="none"/>
                <w:u w:val="none"/>
              </w:rPr>
            </w:pPr>
          </w:p>
        </w:tc>
        <w:tc>
          <w:tcPr>
            <w:tcW w:w="9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6"/>
                <w:szCs w:val="16"/>
                <w:highlight w:val="none"/>
                <w:u w:val="none"/>
              </w:rPr>
            </w:pPr>
          </w:p>
        </w:tc>
        <w:tc>
          <w:tcPr>
            <w:tcW w:w="264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6"/>
                <w:szCs w:val="16"/>
                <w:highlight w:val="none"/>
                <w:u w:val="none"/>
              </w:rPr>
            </w:pPr>
          </w:p>
        </w:tc>
        <w:tc>
          <w:tcPr>
            <w:tcW w:w="75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6"/>
                <w:szCs w:val="16"/>
                <w:highlight w:val="none"/>
                <w:u w:val="none"/>
              </w:rPr>
            </w:pPr>
          </w:p>
        </w:tc>
        <w:tc>
          <w:tcPr>
            <w:tcW w:w="112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6"/>
                <w:szCs w:val="16"/>
                <w:highlight w:val="none"/>
                <w:u w:val="none"/>
              </w:rPr>
            </w:pPr>
          </w:p>
        </w:tc>
        <w:tc>
          <w:tcPr>
            <w:tcW w:w="102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6"/>
                <w:szCs w:val="16"/>
                <w:highlight w:val="none"/>
                <w:u w:val="none"/>
              </w:rPr>
            </w:pPr>
          </w:p>
        </w:tc>
        <w:tc>
          <w:tcPr>
            <w:tcW w:w="107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6"/>
                <w:szCs w:val="16"/>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栏    次</w:t>
            </w: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16"/>
                <w:szCs w:val="16"/>
                <w:highlight w:val="none"/>
                <w:u w:val="none"/>
              </w:rPr>
            </w:pP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w:t>
            </w: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栏    次</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16"/>
                <w:szCs w:val="16"/>
                <w:highlight w:val="none"/>
                <w:u w:val="none"/>
              </w:rPr>
            </w:pP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2</w:t>
            </w: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w:t>
            </w: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4</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一、一般公共预算财政拨款</w:t>
            </w: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1</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cs="Times New Roman"/>
                <w:sz w:val="16"/>
                <w:szCs w:val="16"/>
                <w:highlight w:val="none"/>
              </w:rPr>
              <w:t>298.97</w:t>
            </w: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一、一般公共服务支出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33</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cs="Times New Roman"/>
                <w:sz w:val="16"/>
                <w:szCs w:val="16"/>
                <w:highlight w:val="none"/>
              </w:rPr>
              <w:t>262.12</w:t>
            </w: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cs="Times New Roman"/>
                <w:sz w:val="16"/>
                <w:szCs w:val="16"/>
                <w:highlight w:val="none"/>
              </w:rPr>
              <w:t>262.12</w:t>
            </w: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二、政府性基金预算财政拨款</w:t>
            </w: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2</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cs="Times New Roman"/>
                <w:sz w:val="16"/>
                <w:szCs w:val="16"/>
                <w:highlight w:val="none"/>
              </w:rPr>
              <w:t>124.63</w:t>
            </w: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二、外交支出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34</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三、国有资本经营预算财政拨款</w:t>
            </w: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3</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三、国防支出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35</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4</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四、公共安全支出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36</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5</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五、教育支出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37</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6</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六、科学技术支出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38</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7</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七、文化旅游体育与传媒支出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39</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8</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八、社会保障和就业支出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40</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cs="Times New Roman"/>
                <w:sz w:val="16"/>
                <w:szCs w:val="16"/>
                <w:highlight w:val="none"/>
              </w:rPr>
              <w:t>28.24</w:t>
            </w: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cs="Times New Roman"/>
                <w:sz w:val="16"/>
                <w:szCs w:val="16"/>
                <w:highlight w:val="none"/>
              </w:rPr>
              <w:t>28.24</w:t>
            </w: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9</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九、卫生健康支出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41</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cs="Times New Roman"/>
                <w:sz w:val="16"/>
                <w:szCs w:val="16"/>
                <w:highlight w:val="none"/>
              </w:rPr>
              <w:t>8.61</w:t>
            </w: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cs="Times New Roman"/>
                <w:sz w:val="16"/>
                <w:szCs w:val="16"/>
                <w:highlight w:val="none"/>
              </w:rPr>
              <w:t>8.61</w:t>
            </w: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10</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十、节能环保支出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42</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11</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十一、城乡社区支出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43</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12</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十二、农林水支出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44</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13</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十三、交通运输支出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45</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14</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十四、资源勘探工业信息等支出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46</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15</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十五、商业服务业等支出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47</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16</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十六、金融支出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48</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1"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17</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十七、援助其他地区支出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49</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18</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十八、自然资源海洋气象等支出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50</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19</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十九、住房保障支出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51</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20</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二十、粮油物资储备支出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52</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21</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二十一、国有资本经营预算支出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53</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22</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二十二、灾害防治及应急管理支出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54</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23</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二十三、其他支出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55</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cs="Times New Roman"/>
                <w:sz w:val="16"/>
                <w:szCs w:val="16"/>
                <w:highlight w:val="none"/>
              </w:rPr>
              <w:t>124.63</w:t>
            </w: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cs="Times New Roman"/>
                <w:sz w:val="16"/>
                <w:szCs w:val="16"/>
                <w:highlight w:val="none"/>
              </w:rPr>
              <w:t>124.63</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24</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二十四、债务还本支出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56</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b/>
                <w:bCs/>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25</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二十五、债务付息支出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57</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16"/>
                <w:szCs w:val="16"/>
                <w:highlight w:val="none"/>
                <w:u w:val="none"/>
              </w:rPr>
            </w:pP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26</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二十六、抗疫特别国债安排的支出</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58</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6"/>
                <w:szCs w:val="16"/>
                <w:highlight w:val="none"/>
                <w:u w:val="none"/>
              </w:rPr>
            </w:pPr>
            <w:r>
              <w:rPr>
                <w:rFonts w:hint="eastAsia" w:ascii="方正仿宋_GB2312" w:hAnsi="方正仿宋_GB2312" w:eastAsia="方正仿宋_GB2312" w:cs="方正仿宋_GB2312"/>
                <w:b/>
                <w:bCs/>
                <w:i w:val="0"/>
                <w:iCs w:val="0"/>
                <w:color w:val="000000"/>
                <w:kern w:val="0"/>
                <w:sz w:val="16"/>
                <w:szCs w:val="16"/>
                <w:highlight w:val="none"/>
                <w:u w:val="none"/>
                <w:lang w:val="en-US" w:eastAsia="zh-CN" w:bidi="ar"/>
              </w:rPr>
              <w:t>本年收入合计</w:t>
            </w: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27</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cs="Times New Roman"/>
                <w:sz w:val="16"/>
                <w:szCs w:val="16"/>
                <w:highlight w:val="none"/>
              </w:rPr>
              <w:t>423.60</w:t>
            </w: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6"/>
                <w:szCs w:val="16"/>
                <w:highlight w:val="none"/>
                <w:u w:val="none"/>
              </w:rPr>
            </w:pPr>
            <w:r>
              <w:rPr>
                <w:rFonts w:hint="eastAsia" w:ascii="方正仿宋_GB2312" w:hAnsi="方正仿宋_GB2312" w:eastAsia="方正仿宋_GB2312" w:cs="方正仿宋_GB2312"/>
                <w:b/>
                <w:bCs/>
                <w:i w:val="0"/>
                <w:iCs w:val="0"/>
                <w:color w:val="000000"/>
                <w:kern w:val="0"/>
                <w:sz w:val="16"/>
                <w:szCs w:val="16"/>
                <w:highlight w:val="none"/>
                <w:u w:val="none"/>
                <w:lang w:val="en-US" w:eastAsia="zh-CN" w:bidi="ar"/>
              </w:rPr>
              <w:t>本年支出合计</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59</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cs="Times New Roman"/>
                <w:sz w:val="16"/>
                <w:szCs w:val="16"/>
                <w:highlight w:val="none"/>
              </w:rPr>
              <w:t>423.60</w:t>
            </w: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cs="Times New Roman"/>
                <w:sz w:val="16"/>
                <w:szCs w:val="16"/>
                <w:highlight w:val="none"/>
              </w:rPr>
              <w:t>298.97</w:t>
            </w: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cs="Times New Roman"/>
                <w:sz w:val="16"/>
                <w:szCs w:val="16"/>
                <w:highlight w:val="none"/>
              </w:rPr>
              <w:t>124.63</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年初财政拨款结转和结余</w:t>
            </w: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28</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年末财政拨款结转和结余</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60</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both"/>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both"/>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一、一般公共预算财政拨款</w:t>
            </w: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29</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16"/>
                <w:szCs w:val="16"/>
                <w:highlight w:val="none"/>
                <w:u w:val="none"/>
              </w:rPr>
            </w:pP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61</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二、政府性基金预算财政拨款</w:t>
            </w: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30</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16"/>
                <w:szCs w:val="16"/>
                <w:highlight w:val="none"/>
                <w:u w:val="none"/>
              </w:rPr>
            </w:pP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62</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三、国有资本经营预算财政拨款</w:t>
            </w: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31</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16"/>
                <w:szCs w:val="16"/>
                <w:highlight w:val="none"/>
                <w:u w:val="none"/>
              </w:rPr>
            </w:pP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63</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48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6"/>
                <w:szCs w:val="16"/>
                <w:highlight w:val="none"/>
                <w:u w:val="none"/>
              </w:rPr>
            </w:pPr>
            <w:r>
              <w:rPr>
                <w:rFonts w:hint="eastAsia" w:ascii="方正仿宋_GB2312" w:hAnsi="方正仿宋_GB2312" w:eastAsia="方正仿宋_GB2312" w:cs="方正仿宋_GB2312"/>
                <w:b/>
                <w:bCs/>
                <w:i w:val="0"/>
                <w:iCs w:val="0"/>
                <w:color w:val="000000"/>
                <w:kern w:val="0"/>
                <w:sz w:val="16"/>
                <w:szCs w:val="16"/>
                <w:highlight w:val="none"/>
                <w:u w:val="none"/>
                <w:lang w:val="en-US" w:eastAsia="zh-CN" w:bidi="ar"/>
              </w:rPr>
              <w:t>总计</w:t>
            </w:r>
          </w:p>
        </w:tc>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32</w:t>
            </w:r>
          </w:p>
        </w:tc>
        <w:tc>
          <w:tcPr>
            <w:tcW w:w="9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cs="Times New Roman"/>
                <w:sz w:val="16"/>
                <w:szCs w:val="16"/>
                <w:highlight w:val="none"/>
              </w:rPr>
              <w:t>423.60</w:t>
            </w:r>
          </w:p>
        </w:tc>
        <w:tc>
          <w:tcPr>
            <w:tcW w:w="26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16"/>
                <w:szCs w:val="16"/>
                <w:highlight w:val="none"/>
                <w:u w:val="none"/>
              </w:rPr>
            </w:pPr>
            <w:r>
              <w:rPr>
                <w:rFonts w:hint="eastAsia" w:ascii="方正仿宋_GB2312" w:hAnsi="方正仿宋_GB2312" w:eastAsia="方正仿宋_GB2312" w:cs="方正仿宋_GB2312"/>
                <w:b/>
                <w:bCs/>
                <w:i w:val="0"/>
                <w:iCs w:val="0"/>
                <w:color w:val="000000"/>
                <w:kern w:val="0"/>
                <w:sz w:val="16"/>
                <w:szCs w:val="16"/>
                <w:highlight w:val="none"/>
                <w:u w:val="none"/>
                <w:lang w:val="en-US" w:eastAsia="zh-CN" w:bidi="ar"/>
              </w:rPr>
              <w:t>总计</w:t>
            </w:r>
          </w:p>
        </w:tc>
        <w:tc>
          <w:tcPr>
            <w:tcW w:w="7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eastAsia="宋体" w:cs="Times New Roman"/>
                <w:i w:val="0"/>
                <w:iCs w:val="0"/>
                <w:color w:val="000000"/>
                <w:kern w:val="0"/>
                <w:sz w:val="16"/>
                <w:szCs w:val="16"/>
                <w:highlight w:val="none"/>
                <w:u w:val="none"/>
                <w:lang w:val="en-US" w:eastAsia="zh-CN" w:bidi="ar"/>
              </w:rPr>
              <w:t>64</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cs="Times New Roman"/>
                <w:sz w:val="16"/>
                <w:szCs w:val="16"/>
                <w:highlight w:val="none"/>
              </w:rPr>
              <w:t>423.60</w:t>
            </w:r>
          </w:p>
        </w:tc>
        <w:tc>
          <w:tcPr>
            <w:tcW w:w="102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cs="Times New Roman"/>
                <w:sz w:val="16"/>
                <w:szCs w:val="16"/>
                <w:highlight w:val="none"/>
              </w:rPr>
            </w:pPr>
          </w:p>
          <w:p>
            <w:pPr>
              <w:jc w:val="right"/>
              <w:rPr>
                <w:rFonts w:hint="default" w:ascii="Times New Roman" w:hAnsi="Times New Roman" w:cs="Times New Roman"/>
                <w:sz w:val="16"/>
                <w:szCs w:val="16"/>
                <w:highlight w:val="none"/>
              </w:rPr>
            </w:pPr>
            <w:r>
              <w:rPr>
                <w:rFonts w:hint="default" w:ascii="Times New Roman" w:hAnsi="Times New Roman" w:cs="Times New Roman"/>
                <w:sz w:val="16"/>
                <w:szCs w:val="16"/>
                <w:highlight w:val="none"/>
              </w:rPr>
              <w:t>298.97</w:t>
            </w:r>
          </w:p>
          <w:p>
            <w:pPr>
              <w:jc w:val="right"/>
              <w:rPr>
                <w:rFonts w:hint="default" w:ascii="Times New Roman" w:hAnsi="Times New Roman" w:eastAsia="宋体" w:cs="Times New Roman"/>
                <w:i w:val="0"/>
                <w:iCs w:val="0"/>
                <w:color w:val="000000"/>
                <w:sz w:val="16"/>
                <w:szCs w:val="16"/>
                <w:highlight w:val="none"/>
                <w:u w:val="none"/>
              </w:rPr>
            </w:pPr>
          </w:p>
        </w:tc>
        <w:tc>
          <w:tcPr>
            <w:tcW w:w="10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r>
              <w:rPr>
                <w:rFonts w:hint="default" w:ascii="Times New Roman" w:hAnsi="Times New Roman" w:cs="Times New Roman"/>
                <w:sz w:val="16"/>
                <w:szCs w:val="16"/>
                <w:highlight w:val="none"/>
              </w:rPr>
              <w:t>124.63</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1709" w:type="dxa"/>
            <w:gridSpan w:val="11"/>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方正仿宋_GB2312" w:hAnsi="方正仿宋_GB2312" w:eastAsia="方正仿宋_GB2312" w:cs="方正仿宋_GB2312"/>
                <w:i w:val="0"/>
                <w:iCs w:val="0"/>
                <w:color w:val="000000"/>
                <w:kern w:val="0"/>
                <w:sz w:val="16"/>
                <w:szCs w:val="16"/>
                <w:highlight w:val="none"/>
                <w:u w:val="none"/>
                <w:lang w:val="en-US" w:eastAsia="zh-CN" w:bidi="ar"/>
              </w:rPr>
              <w:t>注：本表反映单位本年度一般公共预算财政拨款、政府性基金预算财政拨款和国有资本经营预算财政拨款的总收支和年末结转结余情况。</w:t>
            </w:r>
          </w:p>
        </w:tc>
      </w:tr>
    </w:tbl>
    <w:p>
      <w:pPr>
        <w:rPr>
          <w:rFonts w:hint="eastAsia" w:ascii="仿宋_GB2312" w:hAnsi="宋体" w:eastAsia="仿宋_GB2312"/>
          <w:b/>
          <w:color w:val="auto"/>
          <w:kern w:val="0"/>
          <w:sz w:val="32"/>
          <w:szCs w:val="32"/>
          <w:highlight w:val="none"/>
        </w:rPr>
      </w:pPr>
    </w:p>
    <w:tbl>
      <w:tblPr>
        <w:tblStyle w:val="11"/>
        <w:tblW w:w="10995" w:type="dxa"/>
        <w:tblInd w:w="-162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60"/>
        <w:gridCol w:w="2095"/>
        <w:gridCol w:w="1135"/>
        <w:gridCol w:w="1545"/>
        <w:gridCol w:w="133"/>
        <w:gridCol w:w="2177"/>
        <w:gridCol w:w="19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10995" w:type="dxa"/>
            <w:gridSpan w:val="7"/>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0995" w:type="dxa"/>
            <w:gridSpan w:val="7"/>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4055" w:type="dxa"/>
            <w:gridSpan w:val="2"/>
            <w:tcBorders>
              <w:top w:val="nil"/>
              <w:left w:val="nil"/>
              <w:bottom w:val="single" w:color="000000" w:themeColor="text1" w:sz="8" w:space="0"/>
              <w:right w:val="nil"/>
            </w:tcBorders>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单位（单位）：中国共产党无极县委员会宣传部(本级)</w:t>
            </w:r>
          </w:p>
        </w:tc>
        <w:tc>
          <w:tcPr>
            <w:tcW w:w="2813" w:type="dxa"/>
            <w:gridSpan w:val="3"/>
            <w:tcBorders>
              <w:top w:val="nil"/>
              <w:left w:val="nil"/>
              <w:bottom w:val="single" w:color="000000" w:themeColor="text1" w:sz="8" w:space="0"/>
              <w:right w:val="nil"/>
            </w:tcBorders>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4127" w:type="dxa"/>
            <w:gridSpan w:val="2"/>
            <w:tcBorders>
              <w:top w:val="nil"/>
              <w:left w:val="nil"/>
              <w:bottom w:val="single" w:color="000000" w:themeColor="text1" w:sz="8" w:space="0"/>
              <w:right w:val="nil"/>
            </w:tcBorders>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190" w:type="dxa"/>
            <w:gridSpan w:val="3"/>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5805" w:type="dxa"/>
            <w:gridSpan w:val="4"/>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960" w:type="dxa"/>
            <w:vMerge w:val="restart"/>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323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545"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231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950" w:type="dxa"/>
            <w:vMerge w:val="restart"/>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1960" w:type="dxa"/>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323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54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231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950" w:type="dxa"/>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960" w:type="dxa"/>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323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54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231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950" w:type="dxa"/>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5190" w:type="dxa"/>
            <w:gridSpan w:val="3"/>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54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231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950"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5190" w:type="dxa"/>
            <w:gridSpan w:val="3"/>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54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298.97</w:t>
            </w:r>
          </w:p>
        </w:tc>
        <w:tc>
          <w:tcPr>
            <w:tcW w:w="231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219.07</w:t>
            </w:r>
          </w:p>
        </w:tc>
        <w:tc>
          <w:tcPr>
            <w:tcW w:w="1950"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960"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323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54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262.12</w:t>
            </w:r>
          </w:p>
        </w:tc>
        <w:tc>
          <w:tcPr>
            <w:tcW w:w="231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182.22</w:t>
            </w:r>
          </w:p>
        </w:tc>
        <w:tc>
          <w:tcPr>
            <w:tcW w:w="1950"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1960"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20133</w:t>
            </w:r>
          </w:p>
        </w:tc>
        <w:tc>
          <w:tcPr>
            <w:tcW w:w="323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宣传事务</w:t>
            </w:r>
          </w:p>
        </w:tc>
        <w:tc>
          <w:tcPr>
            <w:tcW w:w="154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262.12</w:t>
            </w:r>
          </w:p>
        </w:tc>
        <w:tc>
          <w:tcPr>
            <w:tcW w:w="231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182.22</w:t>
            </w:r>
          </w:p>
        </w:tc>
        <w:tc>
          <w:tcPr>
            <w:tcW w:w="1950"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1" w:hRule="atLeast"/>
        </w:trPr>
        <w:tc>
          <w:tcPr>
            <w:tcW w:w="1960"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2013301</w:t>
            </w:r>
          </w:p>
        </w:tc>
        <w:tc>
          <w:tcPr>
            <w:tcW w:w="323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54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172.22</w:t>
            </w:r>
          </w:p>
        </w:tc>
        <w:tc>
          <w:tcPr>
            <w:tcW w:w="231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172.22</w:t>
            </w:r>
          </w:p>
        </w:tc>
        <w:tc>
          <w:tcPr>
            <w:tcW w:w="1950"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1960"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2013302</w:t>
            </w:r>
          </w:p>
        </w:tc>
        <w:tc>
          <w:tcPr>
            <w:tcW w:w="323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54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231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1950"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1" w:hRule="atLeast"/>
        </w:trPr>
        <w:tc>
          <w:tcPr>
            <w:tcW w:w="1960"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2013304</w:t>
            </w:r>
          </w:p>
        </w:tc>
        <w:tc>
          <w:tcPr>
            <w:tcW w:w="323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宣传管理</w:t>
            </w:r>
          </w:p>
        </w:tc>
        <w:tc>
          <w:tcPr>
            <w:tcW w:w="154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42.00</w:t>
            </w:r>
          </w:p>
        </w:tc>
        <w:tc>
          <w:tcPr>
            <w:tcW w:w="231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950"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1960"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2013399</w:t>
            </w:r>
          </w:p>
        </w:tc>
        <w:tc>
          <w:tcPr>
            <w:tcW w:w="323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其他宣传事务支出</w:t>
            </w:r>
          </w:p>
        </w:tc>
        <w:tc>
          <w:tcPr>
            <w:tcW w:w="154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37.90</w:t>
            </w:r>
          </w:p>
        </w:tc>
        <w:tc>
          <w:tcPr>
            <w:tcW w:w="231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950"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1" w:hRule="atLeast"/>
        </w:trPr>
        <w:tc>
          <w:tcPr>
            <w:tcW w:w="1960"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323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54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28.24</w:t>
            </w:r>
          </w:p>
        </w:tc>
        <w:tc>
          <w:tcPr>
            <w:tcW w:w="231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28.24</w:t>
            </w:r>
          </w:p>
        </w:tc>
        <w:tc>
          <w:tcPr>
            <w:tcW w:w="1950"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1960"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323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54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28.24</w:t>
            </w:r>
          </w:p>
        </w:tc>
        <w:tc>
          <w:tcPr>
            <w:tcW w:w="231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28.24</w:t>
            </w:r>
          </w:p>
        </w:tc>
        <w:tc>
          <w:tcPr>
            <w:tcW w:w="1950"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960"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323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54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24.22</w:t>
            </w:r>
          </w:p>
        </w:tc>
        <w:tc>
          <w:tcPr>
            <w:tcW w:w="231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24.22</w:t>
            </w:r>
          </w:p>
        </w:tc>
        <w:tc>
          <w:tcPr>
            <w:tcW w:w="1950"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1" w:hRule="atLeast"/>
        </w:trPr>
        <w:tc>
          <w:tcPr>
            <w:tcW w:w="1960"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323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54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4.02</w:t>
            </w:r>
          </w:p>
        </w:tc>
        <w:tc>
          <w:tcPr>
            <w:tcW w:w="231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4.02</w:t>
            </w:r>
          </w:p>
        </w:tc>
        <w:tc>
          <w:tcPr>
            <w:tcW w:w="1950"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1960"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323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54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8.61</w:t>
            </w:r>
          </w:p>
        </w:tc>
        <w:tc>
          <w:tcPr>
            <w:tcW w:w="231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8.61</w:t>
            </w:r>
          </w:p>
        </w:tc>
        <w:tc>
          <w:tcPr>
            <w:tcW w:w="1950"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6" w:hRule="atLeast"/>
        </w:trPr>
        <w:tc>
          <w:tcPr>
            <w:tcW w:w="1960"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323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54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8.61</w:t>
            </w:r>
          </w:p>
        </w:tc>
        <w:tc>
          <w:tcPr>
            <w:tcW w:w="231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8.61</w:t>
            </w:r>
          </w:p>
        </w:tc>
        <w:tc>
          <w:tcPr>
            <w:tcW w:w="1950"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6" w:hRule="atLeast"/>
        </w:trPr>
        <w:tc>
          <w:tcPr>
            <w:tcW w:w="1960"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323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54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8.61</w:t>
            </w:r>
          </w:p>
        </w:tc>
        <w:tc>
          <w:tcPr>
            <w:tcW w:w="231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8.61</w:t>
            </w:r>
          </w:p>
        </w:tc>
        <w:tc>
          <w:tcPr>
            <w:tcW w:w="1950"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995" w:type="dxa"/>
            <w:gridSpan w:val="7"/>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2641"/>
        <w:gridCol w:w="587"/>
        <w:gridCol w:w="666"/>
        <w:gridCol w:w="1972"/>
        <w:gridCol w:w="857"/>
        <w:gridCol w:w="666"/>
        <w:gridCol w:w="2437"/>
        <w:gridCol w:w="11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9"/>
            <w:tcBorders>
              <w:top w:val="nil"/>
              <w:left w:val="nil"/>
              <w:bottom w:val="nil"/>
              <w:right w:val="nil"/>
            </w:tcBorders>
            <w:shd w:val="clear" w:color="auto" w:fill="auto"/>
            <w:vAlign w:val="bottom"/>
          </w:tcPr>
          <w:p>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9"/>
            <w:tcBorders>
              <w:top w:val="nil"/>
              <w:left w:val="nil"/>
              <w:bottom w:val="nil"/>
              <w:right w:val="nil"/>
            </w:tcBorders>
            <w:shd w:val="clear" w:color="auto" w:fill="auto"/>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32" w:type="dxa"/>
            <w:gridSpan w:val="5"/>
            <w:tcBorders>
              <w:top w:val="nil"/>
              <w:left w:val="nil"/>
              <w:bottom w:val="single" w:color="000000" w:sz="8" w:space="0"/>
              <w:right w:val="nil"/>
            </w:tcBorders>
            <w:shd w:val="clear" w:color="auto" w:fill="auto"/>
            <w:vAlign w:val="bottom"/>
          </w:tcPr>
          <w:p>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单位（单位）：中国共产党无极县委员会宣传部(本级) </w:t>
            </w:r>
            <w:r>
              <w:rPr>
                <w:rFonts w:hint="eastAsia" w:ascii="宋体" w:hAnsi="宋体" w:eastAsia="宋体" w:cs="宋体"/>
                <w:i w:val="0"/>
                <w:iCs w:val="0"/>
                <w:color w:val="000000"/>
                <w:kern w:val="0"/>
                <w:sz w:val="18"/>
                <w:szCs w:val="18"/>
                <w:u w:val="none"/>
                <w:lang w:val="en-US" w:eastAsia="zh-CN" w:bidi="ar"/>
              </w:rPr>
              <w:t xml:space="preserve">                                                                   </w:t>
            </w:r>
          </w:p>
        </w:tc>
        <w:tc>
          <w:tcPr>
            <w:tcW w:w="857" w:type="dxa"/>
            <w:tcBorders>
              <w:top w:val="nil"/>
              <w:left w:val="nil"/>
              <w:bottom w:val="single" w:color="000000" w:sz="8" w:space="0"/>
              <w:right w:val="nil"/>
            </w:tcBorders>
            <w:shd w:val="clear" w:color="auto" w:fill="auto"/>
            <w:vAlign w:val="bottom"/>
          </w:tcPr>
          <w:p>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6"/>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587"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972"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857"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2437"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109"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147.81</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51.73</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55.99</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7.50</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25.76</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23.69</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4.33</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24.22</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4.36</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4.02</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9.37</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0.42</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19.53</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19.53</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20.49</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6.39</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24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2641"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19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85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w:t>
            </w:r>
          </w:p>
        </w:tc>
        <w:tc>
          <w:tcPr>
            <w:tcW w:w="666" w:type="dxa"/>
            <w:tcBorders>
              <w:top w:val="nil"/>
              <w:left w:val="nil"/>
              <w:bottom w:val="single" w:color="000000" w:sz="8"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color w:val="000000"/>
                <w:sz w:val="18"/>
                <w:szCs w:val="18"/>
                <w:u w:val="none"/>
              </w:rPr>
            </w:pPr>
          </w:p>
        </w:tc>
        <w:tc>
          <w:tcPr>
            <w:tcW w:w="2437" w:type="dxa"/>
            <w:tcBorders>
              <w:top w:val="nil"/>
              <w:left w:val="nil"/>
              <w:bottom w:val="single" w:color="000000" w:sz="8" w:space="0"/>
              <w:right w:val="single" w:color="000000" w:sz="8" w:space="0"/>
            </w:tcBorders>
            <w:shd w:val="clear" w:color="auto" w:fill="auto"/>
            <w:vAlign w:val="center"/>
          </w:tcPr>
          <w:p>
            <w:pPr>
              <w:snapToGrid w:val="0"/>
              <w:jc w:val="left"/>
              <w:rPr>
                <w:rFonts w:hint="eastAsia" w:ascii="方正仿宋_GB2312" w:hAnsi="方正仿宋_GB2312" w:eastAsia="方正仿宋_GB2312" w:cs="方正仿宋_GB2312"/>
                <w:i w:val="0"/>
                <w:iCs w:val="0"/>
                <w:color w:val="000000"/>
                <w:sz w:val="18"/>
                <w:szCs w:val="18"/>
                <w:u w:val="none"/>
              </w:rPr>
            </w:pPr>
          </w:p>
        </w:tc>
        <w:tc>
          <w:tcPr>
            <w:tcW w:w="1109" w:type="dxa"/>
            <w:tcBorders>
              <w:top w:val="nil"/>
              <w:left w:val="nil"/>
              <w:bottom w:val="single" w:color="000000" w:sz="8" w:space="0"/>
              <w:right w:val="single" w:color="000000" w:sz="8" w:space="0"/>
            </w:tcBorders>
            <w:shd w:val="clear" w:color="auto" w:fill="auto"/>
            <w:vAlign w:val="center"/>
          </w:tcPr>
          <w:p>
            <w:pPr>
              <w:snapToGrid w:val="0"/>
              <w:jc w:val="right"/>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07" w:type="dxa"/>
            <w:gridSpan w:val="2"/>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167.34</w:t>
            </w:r>
          </w:p>
        </w:tc>
        <w:tc>
          <w:tcPr>
            <w:tcW w:w="6598" w:type="dxa"/>
            <w:gridSpan w:val="5"/>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109"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9"/>
            <w:tcBorders>
              <w:top w:val="nil"/>
              <w:left w:val="nil"/>
              <w:bottom w:val="nil"/>
              <w:right w:val="nil"/>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注：本表反映单位本年度一般公共预算财政拨款基本支出明细情况。</w:t>
            </w:r>
          </w:p>
        </w:tc>
      </w:tr>
    </w:tbl>
    <w:p>
      <w:pPr>
        <w:rPr>
          <w:rFonts w:hint="eastAsia" w:ascii="仿宋_GB2312" w:hAnsi="宋体" w:eastAsia="仿宋_GB2312"/>
          <w:b/>
          <w:color w:val="auto"/>
          <w:kern w:val="0"/>
          <w:sz w:val="32"/>
          <w:szCs w:val="32"/>
          <w:highlight w:val="none"/>
        </w:rPr>
      </w:pPr>
    </w:p>
    <w:tbl>
      <w:tblPr>
        <w:tblStyle w:val="11"/>
        <w:tblW w:w="10480" w:type="dxa"/>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10480" w:type="dxa"/>
            <w:gridSpan w:val="9"/>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480" w:type="dxa"/>
            <w:gridSpan w:val="9"/>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040" w:type="dxa"/>
            <w:gridSpan w:val="3"/>
            <w:tcBorders>
              <w:top w:val="nil"/>
              <w:left w:val="nil"/>
              <w:bottom w:val="single" w:color="000000" w:themeColor="text1" w:sz="8" w:space="0"/>
              <w:right w:val="nil"/>
            </w:tcBorders>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单位（单位）：中国共产党无极县委员会宣传部(本级)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2552" w:type="dxa"/>
            <w:gridSpan w:val="3"/>
            <w:tcBorders>
              <w:top w:val="nil"/>
              <w:left w:val="nil"/>
              <w:bottom w:val="single" w:color="000000" w:themeColor="text1" w:sz="8" w:space="0"/>
              <w:right w:val="nil"/>
            </w:tcBorders>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888" w:type="dxa"/>
            <w:gridSpan w:val="3"/>
            <w:tcBorders>
              <w:top w:val="nil"/>
              <w:left w:val="nil"/>
              <w:bottom w:val="single" w:color="000000" w:themeColor="text1" w:sz="8" w:space="0"/>
              <w:right w:val="nil"/>
            </w:tcBorders>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30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3373"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2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47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2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14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7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4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7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4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124.63</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124.63</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124.63</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147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124.63</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124.63</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124.63</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147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124.63</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124.63</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124.63</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147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124.63</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124.63</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124.63</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480" w:type="dxa"/>
            <w:gridSpan w:val="9"/>
            <w:tcBorders>
              <w:top w:val="single" w:color="000000" w:themeColor="text1" w:sz="8" w:space="0"/>
              <w:left w:val="nil"/>
              <w:bottom w:val="nil"/>
              <w:right w:val="nil"/>
            </w:tcBorders>
            <w:vAlign w:val="center"/>
          </w:tcPr>
          <w:p>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428" w:type="dxa"/>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9428" w:type="dxa"/>
            <w:gridSpan w:val="9"/>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8" w:type="dxa"/>
            <w:gridSpan w:val="9"/>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724" w:type="dxa"/>
            <w:gridSpan w:val="2"/>
            <w:tcBorders>
              <w:top w:val="nil"/>
              <w:left w:val="nil"/>
              <w:bottom w:val="single" w:color="000000" w:themeColor="text1" w:sz="8" w:space="0"/>
              <w:right w:val="nil"/>
            </w:tcBorders>
            <w:vAlign w:val="bottom"/>
          </w:tcPr>
          <w:p>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单位（单位）：中国共产党无极县委员会宣传部(本级)</w:t>
            </w:r>
          </w:p>
        </w:tc>
        <w:tc>
          <w:tcPr>
            <w:tcW w:w="2680" w:type="dxa"/>
            <w:gridSpan w:val="4"/>
            <w:tcBorders>
              <w:top w:val="nil"/>
              <w:left w:val="nil"/>
              <w:bottom w:val="single" w:color="000000" w:themeColor="text1" w:sz="8" w:space="0"/>
              <w:right w:val="nil"/>
            </w:tcBorders>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024" w:type="dxa"/>
            <w:gridSpan w:val="3"/>
            <w:tcBorders>
              <w:top w:val="nil"/>
              <w:left w:val="nil"/>
              <w:bottom w:val="single" w:color="000000" w:themeColor="text1" w:sz="8" w:space="0"/>
              <w:right w:val="nil"/>
            </w:tcBorders>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20"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4408" w:type="dxa"/>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20"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4408" w:type="dxa"/>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99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202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133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1338"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1733" w:type="dxa"/>
            <w:vMerge w:val="restart"/>
            <w:tcBorders>
              <w:top w:val="single" w:color="000000" w:themeColor="text1" w:sz="8" w:space="0"/>
              <w:left w:val="single" w:color="000000" w:themeColor="text1" w:sz="8" w:space="0"/>
              <w:bottom w:val="single" w:color="000000" w:themeColor="text1" w:sz="8" w:space="0"/>
              <w:right w:val="single" w:color="000000" w:sz="4" w:space="0"/>
            </w:tcBorders>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99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2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3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38"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733" w:type="dxa"/>
            <w:vMerge w:val="continue"/>
            <w:tcBorders>
              <w:top w:val="single" w:color="000000" w:themeColor="text1" w:sz="8" w:space="0"/>
              <w:left w:val="single" w:color="000000" w:themeColor="text1" w:sz="8" w:space="0"/>
              <w:bottom w:val="single" w:color="000000" w:themeColor="text1" w:sz="8" w:space="0"/>
              <w:right w:val="single" w:color="000000" w:sz="4"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133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133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1743" w:type="dxa"/>
            <w:gridSpan w:val="2"/>
            <w:tcBorders>
              <w:top w:val="single" w:color="000000" w:themeColor="text1" w:sz="8" w:space="0"/>
              <w:left w:val="single" w:color="000000" w:themeColor="text1" w:sz="8" w:space="0"/>
              <w:bottom w:val="single" w:color="000000" w:themeColor="text1" w:sz="8" w:space="0"/>
              <w:right w:val="single" w:color="000000" w:sz="4" w:space="0"/>
            </w:tcBorders>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133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3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743" w:type="dxa"/>
            <w:gridSpan w:val="2"/>
            <w:tcBorders>
              <w:top w:val="single" w:color="000000" w:themeColor="text1" w:sz="8" w:space="0"/>
              <w:left w:val="single" w:color="000000" w:themeColor="text1" w:sz="8" w:space="0"/>
              <w:bottom w:val="single" w:color="000000" w:themeColor="text1" w:sz="8" w:space="0"/>
              <w:right w:val="single" w:color="000000" w:sz="4"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428" w:type="dxa"/>
            <w:gridSpan w:val="9"/>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w:t>
            </w:r>
            <w:r>
              <w:rPr>
                <w:rFonts w:hint="eastAsia" w:ascii="方正仿宋_GB2312" w:hAnsi="方正仿宋_GB2312" w:eastAsia="方正仿宋_GB2312" w:cs="方正仿宋_GB2312"/>
                <w:i w:val="0"/>
                <w:iCs w:val="0"/>
                <w:color w:val="000000"/>
                <w:sz w:val="20"/>
                <w:szCs w:val="20"/>
                <w:highlight w:val="none"/>
                <w:u w:val="none"/>
                <w:lang w:val="en-US" w:eastAsia="zh-CN"/>
              </w:rPr>
              <w:t>本表反映本单位本年度国有资本经营预算财政拨款支出情况。本单位本年度无相关支出情况，按要求以空表列示。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115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11596" w:type="dxa"/>
            <w:gridSpan w:val="14"/>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1596" w:type="dxa"/>
            <w:gridSpan w:val="14"/>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4492" w:type="dxa"/>
            <w:gridSpan w:val="5"/>
            <w:tcBorders>
              <w:top w:val="nil"/>
              <w:left w:val="nil"/>
              <w:bottom w:val="single" w:color="000000" w:themeColor="text1" w:sz="8" w:space="0"/>
              <w:right w:val="nil"/>
            </w:tcBorders>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单位（单位）：中国共产党无极县委员会宣传部(本级)</w:t>
            </w:r>
          </w:p>
        </w:tc>
        <w:tc>
          <w:tcPr>
            <w:tcW w:w="2166" w:type="dxa"/>
            <w:gridSpan w:val="3"/>
            <w:tcBorders>
              <w:top w:val="nil"/>
              <w:left w:val="nil"/>
              <w:bottom w:val="single" w:color="000000" w:themeColor="text1" w:sz="8" w:space="0"/>
              <w:right w:val="nil"/>
            </w:tcBorders>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4938" w:type="dxa"/>
            <w:gridSpan w:val="6"/>
            <w:tcBorders>
              <w:top w:val="nil"/>
              <w:left w:val="nil"/>
              <w:bottom w:val="single" w:color="000000" w:themeColor="text1" w:sz="8" w:space="0"/>
              <w:right w:val="nil"/>
            </w:tcBorders>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813"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5783"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9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12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2823"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77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85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113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261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11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9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12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77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85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113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9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12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7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8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113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9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3.00</w:t>
            </w:r>
          </w:p>
        </w:tc>
        <w:tc>
          <w:tcPr>
            <w:tcW w:w="12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3.00</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3.00</w:t>
            </w:r>
          </w:p>
        </w:tc>
        <w:tc>
          <w:tcPr>
            <w:tcW w:w="7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8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3.00</w:t>
            </w:r>
          </w:p>
        </w:tc>
        <w:tc>
          <w:tcPr>
            <w:tcW w:w="113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3.00</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3.00</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11596" w:type="dxa"/>
            <w:gridSpan w:val="14"/>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注：本表反映单位本年度财政拨款“三公”经费支出预决算情况。其中：预算数为“三公”经费全年预算数，反映按规定程序调整后的预算数；决算数是包括当年财政拨款和以前年度结转资金安排的实际支出。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247" w:right="1984" w:bottom="1247" w:left="2098" w:header="851" w:footer="992" w:gutter="0"/>
          <w:pgBorders>
            <w:top w:val="none" w:sz="0" w:space="0"/>
            <w:left w:val="none" w:sz="0" w:space="0"/>
            <w:bottom w:val="none" w:sz="0" w:space="0"/>
            <w:right w:val="none" w:sz="0" w:space="0"/>
          </w:pgBorders>
          <w:cols w:space="720" w:num="1"/>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决算情况说明</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本单位2025年度收、支总计（含结转和结余）均为423.60万元。与2024年度决算相比，收支各增加66.81万元，增长18.7%，主要原因是。</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本单位2025年度本年收入合计423.60万元，其中：财政拨款收入423.60万元，占100.0%；上级补助收入0万元，占0%；事业收入0万元，占0%；经营收入0万元，占0%；附属单位上缴收入0万元，占0%；其他收入0万元，占0%。</w:t>
      </w:r>
    </w:p>
    <w:p>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423.60万元，其中：基本支出219.07万元，占51.7%；项目支出204.53万元，占48.3%；经营支出0.00万元，占0.0%；上缴上级支出0万元，占0%；经营支出0万元，占0%；对附属单位补助支出0万元，占0%。</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本单位2025年度财政拨款收、支总计（含结转和结余）均为423.60万元。与2024年度相比，财政拨款收支各增加66.81万元，增长18.7%，主要原因</w:t>
      </w:r>
      <w:r>
        <w:rPr>
          <w:rFonts w:hint="eastAsia" w:ascii="Times New Roman" w:eastAsia="仿宋_GB2312"/>
          <w:b w:val="0"/>
          <w:sz w:val="32"/>
          <w:szCs w:val="32"/>
          <w:lang w:eastAsia="zh-CN"/>
        </w:rPr>
        <w:t>是受部分项目经费增加和人员经费减少等多重因素影响，收支增减相抵后，总体收入增加了</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本单位2025年度财政拨款本年收入423.60万元,比上年增加66.81万元，增长18.7%，主要原因是；本年支出423.60万元，比上年增加66.81万元，增长18.7%，主要原因是</w:t>
      </w:r>
      <w:r>
        <w:rPr>
          <w:rFonts w:hint="eastAsia" w:ascii="Times New Roman" w:eastAsia="仿宋_GB2312"/>
          <w:b w:val="0"/>
          <w:sz w:val="32"/>
          <w:szCs w:val="32"/>
          <w:lang w:eastAsia="zh-CN"/>
        </w:rPr>
        <w:t>受部分项目经费增加和人员经费减少等多重因素影响，收支增减相抵后，总体收入增加了</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一般公共预算财政拨款本年收入298.97万元,比上年减少57.82万元，降低16.2%，主要原因是；本年支出298.97万元，比上年减少57.82万元，降低16.2%，主要原因是</w:t>
      </w:r>
      <w:r>
        <w:rPr>
          <w:rFonts w:hint="eastAsia" w:ascii="Times New Roman" w:eastAsia="仿宋_GB2312"/>
          <w:b w:val="0"/>
          <w:sz w:val="32"/>
          <w:szCs w:val="32"/>
          <w:lang w:eastAsia="zh-CN"/>
        </w:rPr>
        <w:t>项目和人员经费减少</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政府性基金预算财政拨款本年收入124.63万元，比上年增加124.63万元，增长100.00%，主要原因是</w:t>
      </w:r>
      <w:r>
        <w:rPr>
          <w:rFonts w:hint="eastAsia" w:ascii="Times New Roman" w:eastAsia="仿宋_GB2312"/>
          <w:b w:val="0"/>
          <w:sz w:val="32"/>
          <w:szCs w:val="32"/>
          <w:lang w:eastAsia="zh-CN"/>
        </w:rPr>
        <w:t>全县统一增加了化债经费</w:t>
      </w:r>
      <w:r>
        <w:rPr>
          <w:rFonts w:ascii="Times New Roman" w:eastAsia="仿宋_GB2312"/>
          <w:b w:val="0"/>
          <w:sz w:val="32"/>
          <w:szCs w:val="32"/>
        </w:rPr>
        <w:t>；本年支出124.63万元，比上年增加124.63万元，增长100.00%，主要原因是</w:t>
      </w:r>
      <w:r>
        <w:rPr>
          <w:rFonts w:hint="eastAsia" w:ascii="Times New Roman" w:eastAsia="仿宋_GB2312"/>
          <w:b w:val="0"/>
          <w:sz w:val="32"/>
          <w:szCs w:val="32"/>
          <w:lang w:eastAsia="zh-CN"/>
        </w:rPr>
        <w:t>全县统一增加了化债经费</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w:t>
      </w:r>
      <w:r>
        <w:rPr>
          <w:rFonts w:hint="eastAsia" w:ascii="Times New Roman" w:eastAsia="仿宋_GB2312"/>
          <w:b w:val="0"/>
          <w:sz w:val="32"/>
          <w:szCs w:val="32"/>
          <w:lang w:val="en-US" w:eastAsia="zh-CN"/>
        </w:rPr>
        <w:t>0</w:t>
      </w:r>
      <w:r>
        <w:rPr>
          <w:rFonts w:ascii="Times New Roman" w:eastAsia="仿宋_GB2312"/>
          <w:b w:val="0"/>
          <w:sz w:val="32"/>
          <w:szCs w:val="32"/>
        </w:rPr>
        <w:t>万元，比上年增加0万元，增长0%，主要原因是；本年支出0万元，比上年增加0万元，增长0%，主要原因是</w:t>
      </w:r>
      <w:r>
        <w:rPr>
          <w:rFonts w:hint="eastAsia" w:ascii="仿宋_GB2312" w:hAnsi="Times New Roman" w:eastAsia="仿宋_GB2312" w:cs="DengXian-Regular"/>
          <w:sz w:val="32"/>
          <w:szCs w:val="32"/>
          <w:lang w:eastAsia="zh-CN"/>
        </w:rPr>
        <w:t>本单位不涉及国有资本</w:t>
      </w:r>
      <w:r>
        <w:rPr>
          <w:rFonts w:ascii="Times New Roman" w:eastAsia="仿宋_GB2312"/>
          <w:b w:val="0"/>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本单位2025年度财政拨款本年收入423.60万元，完成年初预算的146.5%，比年初预算增加134.55万元，决算数大于预算数主要原因是</w:t>
      </w:r>
      <w:r>
        <w:rPr>
          <w:rFonts w:hint="eastAsia" w:ascii="Times New Roman" w:eastAsia="仿宋_GB2312"/>
          <w:b w:val="0"/>
          <w:sz w:val="32"/>
          <w:szCs w:val="32"/>
          <w:lang w:eastAsia="zh-CN"/>
        </w:rPr>
        <w:t>县里统一安排了债务化解资金</w:t>
      </w:r>
      <w:r>
        <w:rPr>
          <w:rFonts w:ascii="Times New Roman" w:eastAsia="仿宋_GB2312"/>
          <w:b w:val="0"/>
          <w:sz w:val="32"/>
          <w:szCs w:val="32"/>
        </w:rPr>
        <w:t>；本年支出423.60万元，完成年初预算的124.2%，比年初预算增加82.67万元，决算数大于预算数主要原因</w:t>
      </w:r>
      <w:r>
        <w:rPr>
          <w:rFonts w:hint="eastAsia" w:ascii="Times New Roman" w:eastAsia="仿宋_GB2312"/>
          <w:b w:val="0"/>
          <w:sz w:val="32"/>
          <w:szCs w:val="32"/>
          <w:lang w:eastAsia="zh-CN"/>
        </w:rPr>
        <w:t>是县里统一安排了债务化解资金</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一般公共预算财政拨款本年收入完成年初预算的103.4%，比年初预算增加9.92万元，主要原因是</w:t>
      </w:r>
      <w:r>
        <w:rPr>
          <w:rFonts w:hint="eastAsia" w:ascii="Times New Roman" w:eastAsia="仿宋_GB2312"/>
          <w:b w:val="0"/>
          <w:sz w:val="32"/>
          <w:szCs w:val="32"/>
          <w:lang w:eastAsia="zh-CN"/>
        </w:rPr>
        <w:t>县里统一安排了债务化解资金</w:t>
      </w:r>
      <w:r>
        <w:rPr>
          <w:rFonts w:ascii="Times New Roman" w:eastAsia="仿宋_GB2312"/>
          <w:b w:val="0"/>
          <w:sz w:val="32"/>
          <w:szCs w:val="32"/>
        </w:rPr>
        <w:t>；支出完成年初预算的87.7%，比年初预算减少41.96万元，主要原因是</w:t>
      </w:r>
      <w:r>
        <w:rPr>
          <w:rFonts w:hint="eastAsia" w:ascii="Times New Roman" w:eastAsia="仿宋_GB2312"/>
          <w:b w:val="0"/>
          <w:sz w:val="32"/>
          <w:szCs w:val="32"/>
          <w:lang w:eastAsia="zh-CN"/>
        </w:rPr>
        <w:t>财政资金紧张</w:t>
      </w:r>
      <w:r>
        <w:rPr>
          <w:rFonts w:hint="eastAsia" w:ascii="Times New Roman" w:hAnsi="Times New Roman" w:eastAsia="仿宋_GB2312" w:cs="Times New Roman"/>
          <w:color w:val="auto"/>
          <w:kern w:val="2"/>
          <w:sz w:val="32"/>
          <w:szCs w:val="32"/>
          <w:lang w:val="zh-CN" w:eastAsia="zh-CN" w:bidi="ar-SA"/>
        </w:rPr>
        <w:t>部分项目未按计划拨款</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政府性基金预算财政拨款本年收入完成年初预算的0%，比年初预算增加124.63万元，主要原因是</w:t>
      </w:r>
      <w:r>
        <w:rPr>
          <w:rFonts w:hint="eastAsia" w:ascii="Times New Roman" w:eastAsia="仿宋_GB2312"/>
          <w:b w:val="0"/>
          <w:sz w:val="32"/>
          <w:szCs w:val="32"/>
          <w:lang w:eastAsia="zh-CN"/>
        </w:rPr>
        <w:t>县里统一安排了债务化解资金</w:t>
      </w:r>
      <w:r>
        <w:rPr>
          <w:rFonts w:ascii="Times New Roman" w:eastAsia="仿宋_GB2312"/>
          <w:b w:val="0"/>
          <w:sz w:val="32"/>
          <w:szCs w:val="32"/>
        </w:rPr>
        <w:t>；支出完成年初预算的0%，比年初预算增加124.63万元，主要原因是</w:t>
      </w:r>
      <w:r>
        <w:rPr>
          <w:rFonts w:hint="eastAsia" w:ascii="Times New Roman" w:eastAsia="仿宋_GB2312"/>
          <w:b w:val="0"/>
          <w:sz w:val="32"/>
          <w:szCs w:val="32"/>
          <w:lang w:eastAsia="zh-CN"/>
        </w:rPr>
        <w:t>县里统一安排了债务化解资金</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国有资本经营预算财政拨款本年收入完成年初预算的0%，比年初预算增加0万元，主要原因是</w:t>
      </w:r>
      <w:r>
        <w:rPr>
          <w:rFonts w:hint="eastAsia" w:ascii="仿宋_GB2312" w:hAnsi="Times New Roman" w:eastAsia="仿宋_GB2312" w:cs="DengXian-Regular"/>
          <w:sz w:val="32"/>
          <w:szCs w:val="32"/>
          <w:lang w:eastAsia="zh-CN"/>
        </w:rPr>
        <w:t>本单位不涉及国有资本</w:t>
      </w:r>
      <w:r>
        <w:rPr>
          <w:rFonts w:ascii="Times New Roman" w:eastAsia="仿宋_GB2312"/>
          <w:b w:val="0"/>
          <w:sz w:val="32"/>
          <w:szCs w:val="32"/>
        </w:rPr>
        <w:t>；支出完成年初预算的0%，比年初预算增加0万元，主要原因是</w:t>
      </w:r>
      <w:r>
        <w:rPr>
          <w:rFonts w:hint="eastAsia" w:ascii="仿宋_GB2312" w:hAnsi="Times New Roman" w:eastAsia="仿宋_GB2312" w:cs="DengXian-Regular"/>
          <w:sz w:val="32"/>
          <w:szCs w:val="32"/>
          <w:lang w:eastAsia="zh-CN"/>
        </w:rPr>
        <w:t>本单位不涉及国有资本</w:t>
      </w:r>
      <w:r>
        <w:rPr>
          <w:rFonts w:ascii="Times New Roman" w:eastAsia="仿宋_GB2312"/>
          <w:b w:val="0"/>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2025年度财政拨款支出423.60万元，主要用于以下方面：</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eastAsia="zh-CN"/>
        </w:rPr>
      </w:pPr>
      <w:r>
        <w:rPr>
          <w:rFonts w:ascii="Times New Roman" w:eastAsia="仿宋_GB2312"/>
          <w:b w:val="0"/>
          <w:sz w:val="32"/>
          <w:szCs w:val="32"/>
        </w:rPr>
        <w:t>一般公共服务（类）支出262.12万元，占61.9%，主要用于</w:t>
      </w:r>
      <w:r>
        <w:rPr>
          <w:rFonts w:hint="eastAsia" w:ascii="Times New Roman" w:eastAsia="仿宋_GB2312"/>
          <w:b w:val="0"/>
          <w:sz w:val="32"/>
          <w:szCs w:val="32"/>
          <w:lang w:eastAsia="zh-CN"/>
        </w:rPr>
        <w:t>部分项目和人员经费</w:t>
      </w:r>
      <w:r>
        <w:rPr>
          <w:rFonts w:ascii="Times New Roman" w:eastAsia="仿宋_GB2312"/>
          <w:b w:val="0"/>
          <w:sz w:val="32"/>
          <w:szCs w:val="32"/>
        </w:rPr>
        <w:t>等支出；社会保障和就业 （类）支出28.24万元，占6.7%，主要用于</w:t>
      </w:r>
      <w:r>
        <w:rPr>
          <w:rFonts w:hint="eastAsia" w:ascii="Times New Roman" w:eastAsia="仿宋_GB2312"/>
          <w:b w:val="0"/>
          <w:sz w:val="32"/>
          <w:szCs w:val="32"/>
          <w:lang w:eastAsia="zh-CN"/>
        </w:rPr>
        <w:t>养老保险、年金</w:t>
      </w:r>
      <w:r>
        <w:rPr>
          <w:rFonts w:ascii="Times New Roman" w:eastAsia="仿宋_GB2312"/>
          <w:b w:val="0"/>
          <w:sz w:val="32"/>
          <w:szCs w:val="32"/>
        </w:rPr>
        <w:t>等支出；卫生健康（类）支出8.61万元，占2.0%，主要用于</w:t>
      </w:r>
      <w:r>
        <w:rPr>
          <w:rFonts w:hint="eastAsia" w:ascii="Times New Roman" w:eastAsia="仿宋_GB2312"/>
          <w:b w:val="0"/>
          <w:sz w:val="32"/>
          <w:szCs w:val="32"/>
          <w:lang w:eastAsia="zh-CN"/>
        </w:rPr>
        <w:t>医疗保险</w:t>
      </w:r>
      <w:r>
        <w:rPr>
          <w:rFonts w:ascii="Times New Roman" w:eastAsia="仿宋_GB2312"/>
          <w:b w:val="0"/>
          <w:sz w:val="32"/>
          <w:szCs w:val="32"/>
        </w:rPr>
        <w:t>支出</w:t>
      </w:r>
      <w:r>
        <w:rPr>
          <w:rFonts w:hint="eastAsia" w:ascii="Times New Roman" w:eastAsia="仿宋_GB2312"/>
          <w:b w:val="0"/>
          <w:sz w:val="32"/>
          <w:szCs w:val="32"/>
          <w:lang w:eastAsia="zh-CN"/>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eastAsia="zh-CN"/>
        </w:rPr>
      </w:pPr>
      <w:r>
        <w:rPr>
          <w:rFonts w:ascii="Times New Roman" w:eastAsia="仿宋_GB2312"/>
          <w:b w:val="0"/>
          <w:sz w:val="32"/>
          <w:szCs w:val="32"/>
        </w:rPr>
        <w:t>其他（类）支出124.63万元，占29.4%，主要用于</w:t>
      </w:r>
      <w:r>
        <w:rPr>
          <w:rFonts w:hint="eastAsia" w:ascii="Times New Roman" w:eastAsia="仿宋_GB2312"/>
          <w:b w:val="0"/>
          <w:sz w:val="32"/>
          <w:szCs w:val="32"/>
          <w:lang w:eastAsia="zh-CN"/>
        </w:rPr>
        <w:t>化解往年债务</w:t>
      </w:r>
      <w:r>
        <w:rPr>
          <w:rFonts w:ascii="Times New Roman" w:eastAsia="仿宋_GB2312"/>
          <w:b w:val="0"/>
          <w:sz w:val="32"/>
          <w:szCs w:val="32"/>
        </w:rPr>
        <w:t>支出</w:t>
      </w:r>
      <w:r>
        <w:rPr>
          <w:rFonts w:hint="eastAsia" w:ascii="Times New Roman" w:eastAsia="仿宋_GB2312"/>
          <w:b w:val="0"/>
          <w:sz w:val="32"/>
          <w:szCs w:val="32"/>
          <w:lang w:eastAsia="zh-CN"/>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万元，占0%，主要用于等支出；外交（类）支出0万元，占0%，主要用于等支出；国防（类）支出0万元，占0%，主要用于等支出；公共安全（类）支出0万元，占0%，主要用于等支出；教育（类）支出0万元，占0%，主要用于等支出；科学技术（类）支出0万元，占0%，主要用于等支出；文化旅游体育与传媒（类）支出0万元，占0%，主要用于等支出；社会保障和就业 （类）支出0万元，占0%，主要用于等支出；卫生健康（类）支出0.00万元，占0%，主要用于等支出；节能环保（类）支出0万元，占0%，主要用于等支出；城乡社区（类）支出0万元，占0%，主要用于等支出；农林水（类）支出0万元，占0%，主要用于等支出；交通运输（类）支出0万元，占0%，主要用于等支出；资源勘探信息等（类）支出0万元，占0%，主要用于等支出；商业服务业等（类）支出0万元，占0%，主要用于等支出；金融（类）支出0万元，占0%，主要用于等支出；援助其他地区（类）支出0万元，占0%，主要用于等支出；自然资源海洋气象等（类）支出0万元，占0%，主要用于等支出；住房保障（类）支出0万元，占0%，主要用于等支出；粮油物资储备（类）支出0万元，占0%，主要用于等支出；国有资本经营预算支出0.00万元，占0.0%，主要用于等支出；害防治及应急管理（类）支出0万元，占0%，主要用于等支出；其他（类）支出0万元，占0%，主要用于等支出；债务还本（类）支出0万元，占0%，主要用于等支出；债务付息（类）支出0万元，占0%，主要用于等支出；抗疫特别国债安排的支出0万元，占0%，主要用于等支出。</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2025年度财政拨款基本支出219.07万元，其中：</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人员经费167.34万元，主要包括基本工资、津贴补贴、奖金、伙食补助费、绩效工资、机关事业</w:t>
      </w:r>
      <w:r>
        <w:rPr>
          <w:rFonts w:hint="eastAsia" w:ascii="Times New Roman" w:eastAsia="仿宋_GB2312"/>
          <w:b w:val="0"/>
          <w:sz w:val="32"/>
          <w:szCs w:val="32"/>
          <w:lang w:eastAsia="zh-CN"/>
        </w:rPr>
        <w:t>单位</w:t>
      </w:r>
      <w:r>
        <w:rPr>
          <w:rFonts w:ascii="Times New Roman" w:eastAsia="仿宋_GB2312"/>
          <w:b w:val="0"/>
          <w:sz w:val="32"/>
          <w:szCs w:val="32"/>
        </w:rPr>
        <w:t>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51.73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本单位2025年度“三公”经费财政拨款支出预算为3.00万元，支出决算为3.00万元，完成预算的100.0%，较预算增加</w:t>
      </w:r>
      <w:r>
        <w:rPr>
          <w:rFonts w:hint="eastAsia" w:ascii="Times New Roman" w:eastAsia="仿宋_GB2312"/>
          <w:b w:val="0"/>
          <w:sz w:val="32"/>
          <w:szCs w:val="32"/>
          <w:lang w:val="en-US" w:eastAsia="zh-CN"/>
        </w:rPr>
        <w:t>0</w:t>
      </w:r>
      <w:r>
        <w:rPr>
          <w:rFonts w:ascii="Times New Roman" w:eastAsia="仿宋_GB2312"/>
          <w:b w:val="0"/>
          <w:sz w:val="32"/>
          <w:szCs w:val="32"/>
        </w:rPr>
        <w:t>万元，增长0%，主要原因是；较2024年度决算增加0.26万元，增长9.5%，主要原因是</w:t>
      </w:r>
      <w:r>
        <w:rPr>
          <w:rFonts w:hint="eastAsia" w:ascii="Times New Roman" w:eastAsia="仿宋_GB2312"/>
          <w:b w:val="0"/>
          <w:sz w:val="32"/>
          <w:szCs w:val="32"/>
          <w:lang w:eastAsia="zh-CN"/>
        </w:rPr>
        <w:t>按需开支</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本单位2025年度因公出国（境）费支出预算为0万元,支出决算0万元。完成预算的0%。因公出国（境）费支出较预算增加0万元，增长0%,主要原因是</w:t>
      </w:r>
      <w:r>
        <w:rPr>
          <w:rFonts w:hint="eastAsia" w:ascii="Times New Roman" w:eastAsia="仿宋_GB2312"/>
          <w:b w:val="0"/>
          <w:sz w:val="32"/>
          <w:szCs w:val="32"/>
          <w:lang w:val="en-US" w:eastAsia="zh-CN"/>
        </w:rPr>
        <w:t>没有</w:t>
      </w:r>
      <w:r>
        <w:rPr>
          <w:rFonts w:ascii="Times New Roman" w:eastAsia="仿宋_GB2312"/>
          <w:b w:val="0"/>
          <w:sz w:val="32"/>
          <w:szCs w:val="32"/>
        </w:rPr>
        <w:t>因公出国（境）费支出；较上年增加0万元，增长0%,主要原因是</w:t>
      </w:r>
      <w:r>
        <w:rPr>
          <w:rFonts w:hint="eastAsia" w:ascii="Times New Roman" w:eastAsia="仿宋_GB2312"/>
          <w:b w:val="0"/>
          <w:sz w:val="32"/>
          <w:szCs w:val="32"/>
          <w:lang w:val="en-US" w:eastAsia="zh-CN"/>
        </w:rPr>
        <w:t>没有</w:t>
      </w:r>
      <w:r>
        <w:rPr>
          <w:rFonts w:ascii="Times New Roman" w:eastAsia="仿宋_GB2312"/>
          <w:b w:val="0"/>
          <w:sz w:val="32"/>
          <w:szCs w:val="32"/>
        </w:rPr>
        <w:t>因公出国（境）费支出。因公出国（境）团组0个、共0人、参加其他单位组织的因公出国（境）团组个、共人/无本</w:t>
      </w:r>
      <w:r>
        <w:rPr>
          <w:rFonts w:hint="eastAsia" w:ascii="Times New Roman" w:eastAsia="仿宋_GB2312"/>
          <w:b w:val="0"/>
          <w:sz w:val="32"/>
          <w:szCs w:val="32"/>
          <w:lang w:eastAsia="zh-CN"/>
        </w:rPr>
        <w:t>单位</w:t>
      </w:r>
      <w:r>
        <w:rPr>
          <w:rFonts w:ascii="Times New Roman" w:eastAsia="仿宋_GB2312"/>
          <w:b w:val="0"/>
          <w:sz w:val="32"/>
          <w:szCs w:val="32"/>
        </w:rPr>
        <w:t>组织的出国（境）团组。</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本单位2025年度公务用车购置及运行维护费预算为3.00万元，支出决算3.00万元，完成预算的100.0%,较预算增加0万元，增长0%,主要原因是；较上年增加0.26万元，增长9.5%,主要原因是</w:t>
      </w:r>
      <w:r>
        <w:rPr>
          <w:rFonts w:hint="eastAsia" w:ascii="Times New Roman" w:eastAsia="仿宋_GB2312"/>
          <w:b w:val="0"/>
          <w:sz w:val="32"/>
          <w:szCs w:val="32"/>
          <w:lang w:eastAsia="zh-CN"/>
        </w:rPr>
        <w:t>按需开支</w:t>
      </w:r>
      <w:r>
        <w:rPr>
          <w:rFonts w:ascii="Times New Roman" w:eastAsia="仿宋_GB2312"/>
          <w:b w:val="0"/>
          <w:sz w:val="32"/>
          <w:szCs w:val="32"/>
        </w:rPr>
        <w:t>。其中：</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w:t>
      </w:r>
      <w:r>
        <w:rPr>
          <w:rFonts w:hint="eastAsia" w:ascii="Times New Roman" w:eastAsia="仿宋_GB2312"/>
          <w:b w:val="0"/>
          <w:sz w:val="32"/>
          <w:szCs w:val="32"/>
          <w:lang w:val="en-US" w:eastAsia="zh-CN"/>
        </w:rPr>
        <w:t>0</w:t>
      </w:r>
      <w:r>
        <w:rPr>
          <w:rFonts w:ascii="Times New Roman" w:eastAsia="仿宋_GB2312"/>
          <w:b w:val="0"/>
          <w:sz w:val="32"/>
          <w:szCs w:val="32"/>
        </w:rPr>
        <w:t>万元。公务用车购置费支出较预算增加0万元，增长0%,主要原因是</w:t>
      </w:r>
      <w:r>
        <w:rPr>
          <w:rFonts w:hint="eastAsia" w:ascii="Times New Roman" w:eastAsia="仿宋_GB2312"/>
          <w:b w:val="0"/>
          <w:sz w:val="32"/>
          <w:szCs w:val="32"/>
          <w:lang w:eastAsia="zh-CN"/>
        </w:rPr>
        <w:t>本单位未购置新车辆</w:t>
      </w:r>
      <w:r>
        <w:rPr>
          <w:rFonts w:ascii="Times New Roman" w:eastAsia="仿宋_GB2312"/>
          <w:b w:val="0"/>
          <w:sz w:val="32"/>
          <w:szCs w:val="32"/>
        </w:rPr>
        <w:t>；较上年增加0万元，增长0%,主要原因是</w:t>
      </w:r>
      <w:r>
        <w:rPr>
          <w:rFonts w:hint="eastAsia" w:ascii="Times New Roman" w:eastAsia="仿宋_GB2312"/>
          <w:b w:val="0"/>
          <w:sz w:val="32"/>
          <w:szCs w:val="32"/>
          <w:lang w:eastAsia="zh-CN"/>
        </w:rPr>
        <w:t>本单位未购置新车辆</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公务用车运行维护费支出3.00万元：</w:t>
      </w:r>
      <w:r>
        <w:rPr>
          <w:rFonts w:ascii="Times New Roman" w:eastAsia="仿宋_GB2312"/>
          <w:b w:val="0"/>
          <w:sz w:val="32"/>
          <w:szCs w:val="32"/>
        </w:rPr>
        <w:t>本单位2025年度单位公务用车保有量1辆，发生运行维护费支出3.00万元。公车运行维护费支出较预算增加0万元，增长0%,主要原因是</w:t>
      </w:r>
      <w:r>
        <w:rPr>
          <w:rFonts w:hint="eastAsia" w:ascii="Times New Roman" w:eastAsia="仿宋_GB2312"/>
          <w:b w:val="0"/>
          <w:sz w:val="32"/>
          <w:szCs w:val="32"/>
          <w:lang w:eastAsia="zh-CN"/>
        </w:rPr>
        <w:t>按需开支</w:t>
      </w:r>
      <w:r>
        <w:rPr>
          <w:rFonts w:ascii="Times New Roman" w:eastAsia="仿宋_GB2312"/>
          <w:b w:val="0"/>
          <w:sz w:val="32"/>
          <w:szCs w:val="32"/>
        </w:rPr>
        <w:t>；较上年增加0.26万元，增长9.5%，主要原因是</w:t>
      </w:r>
      <w:r>
        <w:rPr>
          <w:rFonts w:hint="eastAsia" w:ascii="Times New Roman" w:eastAsia="仿宋_GB2312"/>
          <w:b w:val="0"/>
          <w:sz w:val="32"/>
          <w:szCs w:val="32"/>
          <w:lang w:eastAsia="zh-CN"/>
        </w:rPr>
        <w:t>按需开支</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w:t>
      </w:r>
      <w:r>
        <w:rPr>
          <w:rFonts w:hint="eastAsia" w:ascii="Times New Roman" w:eastAsia="仿宋_GB2312"/>
          <w:b w:val="0"/>
          <w:sz w:val="32"/>
          <w:szCs w:val="32"/>
          <w:lang w:val="en-US" w:eastAsia="zh-CN"/>
        </w:rPr>
        <w:t>5</w:t>
      </w:r>
      <w:r>
        <w:rPr>
          <w:rFonts w:ascii="Times New Roman" w:eastAsia="仿宋_GB2312"/>
          <w:b w:val="0"/>
          <w:sz w:val="32"/>
          <w:szCs w:val="32"/>
        </w:rPr>
        <w:t>年度公务接待费支出预算为0万元，支出决算0.00万元，完成预算的0.0%。公务接待费支出较预算增加0万元，增长0%,主要原因是</w:t>
      </w:r>
      <w:r>
        <w:rPr>
          <w:rFonts w:hint="eastAsia" w:ascii="Times New Roman" w:eastAsia="仿宋_GB2312"/>
          <w:b w:val="0"/>
          <w:sz w:val="32"/>
          <w:szCs w:val="32"/>
          <w:lang w:val="en-US" w:eastAsia="zh-CN"/>
        </w:rPr>
        <w:t>没有</w:t>
      </w:r>
      <w:r>
        <w:rPr>
          <w:rFonts w:ascii="Times New Roman" w:eastAsia="仿宋_GB2312"/>
          <w:b w:val="0"/>
          <w:sz w:val="32"/>
          <w:szCs w:val="32"/>
        </w:rPr>
        <w:t>公务接待费；较上年度增加0万元，增长0%,主要原因是</w:t>
      </w:r>
      <w:r>
        <w:rPr>
          <w:rFonts w:hint="eastAsia" w:ascii="Times New Roman" w:eastAsia="仿宋_GB2312"/>
          <w:b w:val="0"/>
          <w:sz w:val="32"/>
          <w:szCs w:val="32"/>
          <w:lang w:val="en-US" w:eastAsia="zh-CN"/>
        </w:rPr>
        <w:t>没有</w:t>
      </w:r>
      <w:r>
        <w:rPr>
          <w:rFonts w:ascii="Times New Roman" w:eastAsia="仿宋_GB2312"/>
          <w:b w:val="0"/>
          <w:sz w:val="32"/>
          <w:szCs w:val="32"/>
        </w:rPr>
        <w:t>公务接待费。本年度共发生公务接待0批次、0人次。</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本单位2025年度机关运行经费支出51.73万元，较2024年度减少103.86万元，降低66.8%。主要原因是</w:t>
      </w:r>
      <w:r>
        <w:rPr>
          <w:rFonts w:hint="eastAsia" w:ascii="Times New Roman" w:eastAsia="仿宋_GB2312"/>
          <w:b w:val="0"/>
          <w:sz w:val="32"/>
          <w:szCs w:val="32"/>
          <w:lang w:eastAsia="zh-CN"/>
        </w:rPr>
        <w:t>厉行节俭，按需开支</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0万元，从采购类型来看，政府采购货物支出0万元、政府采购工程支出0万元、政府采购服务支出0万元。授予中小企业合同金额0万元，占政府采购支出总额的0%，其中授予小微企业合同金额0万元，占政府采购支出总额的0%。</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截至2025年12月31日，本单位共有车辆1辆，比上年增加0辆，主要是</w:t>
      </w:r>
      <w:r>
        <w:rPr>
          <w:rFonts w:hint="eastAsia" w:ascii="Times New Roman" w:eastAsia="仿宋_GB2312"/>
          <w:b w:val="0"/>
          <w:sz w:val="32"/>
          <w:szCs w:val="32"/>
          <w:lang w:eastAsia="zh-CN"/>
        </w:rPr>
        <w:t>本单位未购置新车辆</w:t>
      </w:r>
      <w:r>
        <w:rPr>
          <w:rFonts w:ascii="Times New Roman" w:eastAsia="仿宋_GB2312"/>
          <w:b w:val="0"/>
          <w:sz w:val="32"/>
          <w:szCs w:val="32"/>
        </w:rPr>
        <w:t>。其中，副部（省）级及以上领导用车0辆，主要负责人用车0辆，机要通信用车0辆，应急保障用车1辆，执法执勤用车0辆，特种专业技术用车0辆，离退休干部用车0辆，其他用车0辆，其他用车主要是。单位价值100万元（含）以上设备（不含车辆）0台（套）。</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w:t>
      </w:r>
      <w:r>
        <w:rPr>
          <w:rFonts w:hint="eastAsia" w:ascii="Times New Roman" w:eastAsia="仿宋_GB2312"/>
          <w:b w:val="0"/>
          <w:sz w:val="32"/>
          <w:szCs w:val="32"/>
          <w:lang w:val="en-US" w:eastAsia="zh-CN"/>
        </w:rPr>
        <w:t>204.53</w:t>
      </w:r>
      <w:r>
        <w:rPr>
          <w:rFonts w:ascii="Times New Roman" w:eastAsia="仿宋_GB2312"/>
          <w:b w:val="0"/>
          <w:sz w:val="32"/>
          <w:szCs w:val="32"/>
        </w:rPr>
        <w:t>元。其中，一般公共预算项目</w:t>
      </w:r>
      <w:r>
        <w:rPr>
          <w:rFonts w:hint="eastAsia" w:ascii="Times New Roman" w:eastAsia="仿宋_GB2312"/>
          <w:b w:val="0"/>
          <w:sz w:val="32"/>
          <w:szCs w:val="32"/>
          <w:lang w:val="en-US" w:eastAsia="zh-CN"/>
        </w:rPr>
        <w:t>5</w:t>
      </w:r>
      <w:r>
        <w:rPr>
          <w:rFonts w:ascii="Times New Roman" w:eastAsia="仿宋_GB2312"/>
          <w:b w:val="0"/>
          <w:sz w:val="32"/>
          <w:szCs w:val="32"/>
        </w:rPr>
        <w:t>个，涉及资金</w:t>
      </w:r>
      <w:r>
        <w:rPr>
          <w:rFonts w:hint="eastAsia" w:ascii="Times New Roman" w:eastAsia="仿宋_GB2312"/>
          <w:b w:val="0"/>
          <w:sz w:val="32"/>
          <w:szCs w:val="32"/>
          <w:lang w:val="en-US" w:eastAsia="zh-CN"/>
        </w:rPr>
        <w:t>79.9</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2</w:t>
      </w:r>
      <w:r>
        <w:rPr>
          <w:rFonts w:ascii="Times New Roman" w:eastAsia="仿宋_GB2312"/>
          <w:b w:val="0"/>
          <w:sz w:val="32"/>
          <w:szCs w:val="32"/>
        </w:rPr>
        <w:t>个，涉及资金</w:t>
      </w:r>
      <w:r>
        <w:rPr>
          <w:rFonts w:hint="eastAsia" w:ascii="Times New Roman" w:eastAsia="仿宋_GB2312"/>
          <w:b w:val="0"/>
          <w:sz w:val="32"/>
          <w:szCs w:val="32"/>
          <w:lang w:val="en-US" w:eastAsia="zh-CN"/>
        </w:rPr>
        <w:t>124.63</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%；国有资本经营预算项目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万元，占国有资本经营预算项目支出总额的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w:t>
      </w:r>
      <w:r>
        <w:rPr>
          <w:rFonts w:hint="eastAsia" w:ascii="Times New Roman" w:eastAsia="仿宋_GB2312"/>
          <w:b w:val="0"/>
          <w:sz w:val="32"/>
          <w:szCs w:val="32"/>
          <w:lang w:val="en-US" w:eastAsia="zh-CN"/>
        </w:rPr>
        <w:t>1</w:t>
      </w:r>
      <w:r>
        <w:rPr>
          <w:rFonts w:ascii="Times New Roman" w:eastAsia="仿宋_GB2312"/>
          <w:b w:val="0"/>
          <w:sz w:val="32"/>
          <w:szCs w:val="32"/>
        </w:rPr>
        <w:t>个项目开展了</w:t>
      </w:r>
      <w:r>
        <w:rPr>
          <w:rFonts w:hint="eastAsia" w:ascii="Times New Roman" w:eastAsia="仿宋_GB2312"/>
          <w:b w:val="0"/>
          <w:sz w:val="32"/>
          <w:szCs w:val="32"/>
          <w:lang w:eastAsia="zh-CN"/>
        </w:rPr>
        <w:t>单位</w:t>
      </w:r>
      <w:r>
        <w:rPr>
          <w:rFonts w:ascii="Times New Roman" w:eastAsia="仿宋_GB2312"/>
          <w:b w:val="0"/>
          <w:sz w:val="32"/>
          <w:szCs w:val="32"/>
        </w:rPr>
        <w:t>重点评价，涉及一般公共预算支出</w:t>
      </w:r>
      <w:r>
        <w:rPr>
          <w:rFonts w:hint="eastAsia" w:ascii="Times New Roman" w:eastAsia="仿宋_GB2312"/>
          <w:b w:val="0"/>
          <w:sz w:val="32"/>
          <w:szCs w:val="32"/>
          <w:lang w:val="en-US" w:eastAsia="zh-CN"/>
        </w:rPr>
        <w:t>28</w:t>
      </w:r>
      <w:r>
        <w:rPr>
          <w:rFonts w:ascii="Times New Roman" w:eastAsia="仿宋_GB2312"/>
          <w:b w:val="0"/>
          <w:sz w:val="32"/>
          <w:szCs w:val="32"/>
        </w:rPr>
        <w:t>万元，政府性基金预算支出</w:t>
      </w:r>
      <w:r>
        <w:rPr>
          <w:rFonts w:hint="eastAsia" w:ascii="Times New Roman" w:eastAsia="仿宋_GB2312"/>
          <w:b w:val="0"/>
          <w:sz w:val="32"/>
          <w:szCs w:val="32"/>
          <w:lang w:val="en-US" w:eastAsia="zh-CN"/>
        </w:rPr>
        <w:t>0</w:t>
      </w:r>
      <w:r>
        <w:rPr>
          <w:rFonts w:ascii="Times New Roman" w:eastAsia="仿宋_GB2312"/>
          <w:b w:val="0"/>
          <w:sz w:val="32"/>
          <w:szCs w:val="32"/>
        </w:rPr>
        <w:t>万元，国有资本经营预算支出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万元，从评价情况来看，</w:t>
      </w:r>
      <w:r>
        <w:rPr>
          <w:rFonts w:hint="eastAsia" w:ascii="Times New Roman" w:eastAsia="仿宋_GB2312"/>
          <w:b w:val="0"/>
          <w:sz w:val="32"/>
          <w:szCs w:val="32"/>
          <w:lang w:val="en-US" w:eastAsia="zh-CN"/>
        </w:rPr>
        <w:t>支出良好</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w:t>
      </w:r>
      <w:r>
        <w:rPr>
          <w:rFonts w:hint="eastAsia" w:ascii="Times New Roman" w:eastAsia="仿宋_GB2312"/>
          <w:b/>
          <w:sz w:val="32"/>
          <w:szCs w:val="32"/>
          <w:lang w:eastAsia="zh-CN"/>
        </w:rPr>
        <w:t>单位</w:t>
      </w:r>
      <w:r>
        <w:rPr>
          <w:rFonts w:ascii="Times New Roman" w:eastAsia="仿宋_GB2312"/>
          <w:b/>
          <w:sz w:val="32"/>
          <w:szCs w:val="32"/>
        </w:rPr>
        <w:t>决算中项目绩效自评结果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w:t>
      </w:r>
      <w:r>
        <w:rPr>
          <w:rFonts w:hint="eastAsia" w:ascii="Times New Roman" w:eastAsia="仿宋_GB2312"/>
          <w:b w:val="0"/>
          <w:sz w:val="32"/>
          <w:szCs w:val="32"/>
          <w:lang w:eastAsia="zh-CN"/>
        </w:rPr>
        <w:t>单位</w:t>
      </w:r>
      <w:r>
        <w:rPr>
          <w:rFonts w:ascii="Times New Roman" w:eastAsia="仿宋_GB2312"/>
          <w:b w:val="0"/>
          <w:sz w:val="32"/>
          <w:szCs w:val="32"/>
        </w:rPr>
        <w:t>决算公开中反映</w:t>
      </w:r>
      <w:r>
        <w:rPr>
          <w:rFonts w:hint="eastAsia" w:ascii="Times New Roman" w:eastAsia="仿宋_GB2312"/>
          <w:b w:val="0"/>
          <w:sz w:val="32"/>
          <w:szCs w:val="32"/>
        </w:rPr>
        <w:t>电视台、报业合作经费</w:t>
      </w:r>
      <w:r>
        <w:rPr>
          <w:rFonts w:hint="eastAsia" w:ascii="Times New Roman" w:eastAsia="仿宋_GB2312"/>
          <w:b w:val="0"/>
          <w:sz w:val="32"/>
          <w:szCs w:val="32"/>
          <w:lang w:eastAsia="zh-CN"/>
        </w:rPr>
        <w:t>、对外宣传报道、《冀有好物》-无极、2025年软件正版化金山、无极县拖欠工程款置换项目、无极县630货物类、服务类拖欠账款</w:t>
      </w:r>
      <w:r>
        <w:rPr>
          <w:rFonts w:ascii="Times New Roman" w:eastAsia="仿宋_GB2312"/>
          <w:b w:val="0"/>
          <w:sz w:val="32"/>
          <w:szCs w:val="32"/>
        </w:rPr>
        <w:t>等</w:t>
      </w:r>
      <w:r>
        <w:rPr>
          <w:rFonts w:hint="eastAsia" w:ascii="Times New Roman" w:eastAsia="仿宋_GB2312"/>
          <w:b w:val="0"/>
          <w:sz w:val="32"/>
          <w:szCs w:val="32"/>
          <w:lang w:val="en-US" w:eastAsia="zh-CN"/>
        </w:rPr>
        <w:t>5</w:t>
      </w:r>
      <w:r>
        <w:rPr>
          <w:rFonts w:ascii="Times New Roman" w:eastAsia="仿宋_GB2312"/>
          <w:b w:val="0"/>
          <w:sz w:val="32"/>
          <w:szCs w:val="32"/>
        </w:rPr>
        <w:t>个项目绩效自评结果。</w:t>
      </w:r>
    </w:p>
    <w:p>
      <w:pPr>
        <w:widowControl/>
        <w:spacing w:before="0" w:beforeLines="0" w:beforeAutospacing="0" w:after="0" w:afterLines="0" w:afterAutospacing="0" w:line="360" w:lineRule="auto"/>
        <w:ind w:firstLine="640" w:firstLineChars="200"/>
        <w:jc w:val="left"/>
        <w:rPr>
          <w:rFonts w:hint="default" w:ascii="Times New Roman" w:hAnsi="Times New Roman" w:eastAsia="仿宋_GB2312" w:cs="Times New Roman"/>
          <w:color w:val="auto"/>
          <w:kern w:val="2"/>
          <w:sz w:val="32"/>
          <w:szCs w:val="32"/>
          <w:lang w:val="zh-CN" w:eastAsia="zh-CN" w:bidi="ar-SA"/>
        </w:rPr>
      </w:pP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分。全年预算数为</w:t>
      </w:r>
      <w:r>
        <w:rPr>
          <w:rFonts w:hint="eastAsia" w:ascii="Times New Roman" w:eastAsia="仿宋_GB2312"/>
          <w:b w:val="0"/>
          <w:sz w:val="32"/>
          <w:szCs w:val="32"/>
          <w:lang w:val="en-US" w:eastAsia="zh-CN"/>
        </w:rPr>
        <w:t>204.53</w:t>
      </w:r>
      <w:r>
        <w:rPr>
          <w:rFonts w:ascii="Times New Roman" w:eastAsia="仿宋_GB2312"/>
          <w:b w:val="0"/>
          <w:sz w:val="32"/>
          <w:szCs w:val="32"/>
        </w:rPr>
        <w:t>万元，执行数为</w:t>
      </w:r>
      <w:r>
        <w:rPr>
          <w:rFonts w:hint="eastAsia" w:ascii="Times New Roman" w:eastAsia="仿宋_GB2312"/>
          <w:b w:val="0"/>
          <w:sz w:val="32"/>
          <w:szCs w:val="32"/>
          <w:lang w:val="en-US" w:eastAsia="zh-CN"/>
        </w:rPr>
        <w:t>204.53</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w:t>
      </w:r>
      <w:r>
        <w:rPr>
          <w:rFonts w:hint="default" w:ascii="Times New Roman" w:hAnsi="Times New Roman" w:eastAsia="仿宋_GB2312" w:cs="Times New Roman"/>
          <w:color w:val="auto"/>
          <w:kern w:val="2"/>
          <w:sz w:val="32"/>
          <w:szCs w:val="32"/>
          <w:lang w:val="zh-CN" w:eastAsia="zh-CN" w:bidi="ar-SA"/>
        </w:rPr>
        <w:t>项目绩效目标完成情况：一是</w:t>
      </w:r>
      <w:r>
        <w:rPr>
          <w:rFonts w:hint="eastAsia" w:ascii="仿宋" w:hAnsi="仿宋" w:eastAsia="仿宋"/>
          <w:sz w:val="32"/>
          <w:szCs w:val="32"/>
          <w:lang w:val="en-US" w:eastAsia="zh-CN"/>
        </w:rPr>
        <w:t>明确绩效评价的内容和范围。确定四个方面的评价内容和此次绩效评价的范围</w:t>
      </w:r>
      <w:r>
        <w:rPr>
          <w:rFonts w:hint="default" w:ascii="Times New Roman" w:hAnsi="Times New Roman" w:eastAsia="仿宋_GB2312" w:cs="Times New Roman"/>
          <w:color w:val="auto"/>
          <w:kern w:val="2"/>
          <w:sz w:val="32"/>
          <w:szCs w:val="32"/>
          <w:lang w:val="zh-CN" w:eastAsia="zh-CN" w:bidi="ar-SA"/>
        </w:rPr>
        <w:t>；二是</w:t>
      </w:r>
      <w:r>
        <w:rPr>
          <w:rFonts w:hint="eastAsia" w:ascii="仿宋" w:hAnsi="仿宋" w:eastAsia="仿宋"/>
          <w:sz w:val="32"/>
          <w:szCs w:val="32"/>
          <w:lang w:val="en-US" w:eastAsia="zh-CN"/>
        </w:rPr>
        <w:t>为进一步弘扬社会主义核心价值观，更好展示城乡经济社会发展风貌，做好宣传工作</w:t>
      </w:r>
      <w:r>
        <w:rPr>
          <w:rFonts w:hint="default" w:ascii="Times New Roman" w:hAnsi="Times New Roman" w:eastAsia="仿宋_GB2312" w:cs="Times New Roman"/>
          <w:color w:val="auto"/>
          <w:kern w:val="2"/>
          <w:sz w:val="32"/>
          <w:szCs w:val="32"/>
          <w:lang w:val="zh-CN" w:eastAsia="zh-CN" w:bidi="ar-SA"/>
        </w:rPr>
        <w:t>。发现的主要问题及原因是：一是</w:t>
      </w:r>
      <w:r>
        <w:rPr>
          <w:rFonts w:hint="eastAsia" w:ascii="仿宋" w:hAnsi="仿宋" w:eastAsia="仿宋" w:cs="仿宋"/>
          <w:sz w:val="32"/>
          <w:szCs w:val="32"/>
          <w:lang w:val="en-US" w:eastAsia="zh-CN"/>
        </w:rPr>
        <w:t>项目规划设计精细度略有不足</w:t>
      </w:r>
      <w:r>
        <w:rPr>
          <w:rFonts w:hint="default" w:ascii="Times New Roman" w:hAnsi="Times New Roman" w:eastAsia="仿宋_GB2312" w:cs="Times New Roman"/>
          <w:color w:val="auto"/>
          <w:kern w:val="2"/>
          <w:sz w:val="32"/>
          <w:szCs w:val="32"/>
          <w:lang w:val="zh-CN" w:eastAsia="zh-CN" w:bidi="ar-SA"/>
        </w:rPr>
        <w:t>；二是</w:t>
      </w:r>
      <w:r>
        <w:rPr>
          <w:rFonts w:hint="eastAsia" w:ascii="仿宋" w:hAnsi="仿宋" w:eastAsia="仿宋" w:cs="仿宋"/>
          <w:sz w:val="32"/>
          <w:szCs w:val="32"/>
          <w:lang w:val="en-US" w:eastAsia="zh-CN"/>
        </w:rPr>
        <w:t>项目前期工作细度不够</w:t>
      </w:r>
      <w:r>
        <w:rPr>
          <w:rFonts w:hint="default" w:ascii="Times New Roman" w:hAnsi="Times New Roman" w:eastAsia="仿宋_GB2312" w:cs="Times New Roman"/>
          <w:color w:val="auto"/>
          <w:kern w:val="2"/>
          <w:sz w:val="32"/>
          <w:szCs w:val="32"/>
          <w:lang w:val="zh-CN" w:eastAsia="zh-CN" w:bidi="ar-SA"/>
        </w:rPr>
        <w:t>。下一步改进措施：一是</w:t>
      </w:r>
      <w:r>
        <w:rPr>
          <w:rFonts w:hint="eastAsia" w:ascii="仿宋" w:hAnsi="仿宋" w:eastAsia="仿宋" w:cs="仿宋"/>
          <w:sz w:val="32"/>
          <w:szCs w:val="32"/>
        </w:rPr>
        <w:t>制定完善了预算绩效管理制度、资金管理办法、工作保障制度等，为全年预算绩效目标的实现奠定制度基础</w:t>
      </w:r>
      <w:r>
        <w:rPr>
          <w:rFonts w:hint="default" w:ascii="Times New Roman" w:hAnsi="Times New Roman" w:eastAsia="仿宋_GB2312" w:cs="Times New Roman"/>
          <w:color w:val="auto"/>
          <w:kern w:val="2"/>
          <w:sz w:val="32"/>
          <w:szCs w:val="32"/>
          <w:lang w:val="zh-CN" w:eastAsia="zh-CN" w:bidi="ar-SA"/>
        </w:rPr>
        <w:t>；二是</w:t>
      </w:r>
      <w:r>
        <w:rPr>
          <w:rFonts w:hint="eastAsia" w:ascii="仿宋" w:hAnsi="仿宋" w:eastAsia="仿宋" w:cs="仿宋"/>
          <w:sz w:val="32"/>
          <w:szCs w:val="32"/>
        </w:rPr>
        <w:t>加强内部监督制度建设，对绩效运行情况、重大支出决策、对外投资、资产处置及其他重要经济业务事项的决策和执行进行督导</w:t>
      </w:r>
      <w:r>
        <w:rPr>
          <w:rFonts w:hint="default" w:ascii="Times New Roman" w:hAnsi="Times New Roman" w:eastAsia="仿宋_GB2312" w:cs="Times New Roman"/>
          <w:color w:val="auto"/>
          <w:kern w:val="2"/>
          <w:sz w:val="32"/>
          <w:szCs w:val="32"/>
          <w:lang w:val="zh-CN" w:eastAsia="zh-CN" w:bidi="ar-SA"/>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w:t>
      </w:r>
      <w:r>
        <w:rPr>
          <w:rFonts w:hint="eastAsia" w:ascii="Times New Roman" w:eastAsia="仿宋_GB2312"/>
          <w:b/>
          <w:sz w:val="32"/>
          <w:szCs w:val="32"/>
          <w:lang w:eastAsia="zh-CN"/>
        </w:rPr>
        <w:t>单位</w:t>
      </w:r>
      <w:r>
        <w:rPr>
          <w:rFonts w:ascii="Times New Roman" w:eastAsia="仿宋_GB2312"/>
          <w:b/>
          <w:sz w:val="32"/>
          <w:szCs w:val="32"/>
        </w:rPr>
        <w:t>评价项目绩效评价结果（如有）</w:t>
      </w:r>
    </w:p>
    <w:tbl>
      <w:tblPr>
        <w:tblStyle w:val="11"/>
        <w:tblW w:w="10860" w:type="dxa"/>
        <w:tblInd w:w="-7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5"/>
        <w:gridCol w:w="2313"/>
        <w:gridCol w:w="1332"/>
        <w:gridCol w:w="855"/>
        <w:gridCol w:w="1145"/>
        <w:gridCol w:w="1705"/>
        <w:gridCol w:w="1155"/>
        <w:gridCol w:w="15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10860"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县级单位预算项目绩效自评表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 w:hRule="atLeast"/>
        </w:trPr>
        <w:tc>
          <w:tcPr>
            <w:tcW w:w="10860" w:type="dxa"/>
            <w:gridSpan w:val="8"/>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6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2313"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332"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85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14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70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15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590" w:type="dxa"/>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76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一、</w:t>
            </w:r>
            <w:r>
              <w:rPr>
                <w:rFonts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基本情况</w:t>
            </w:r>
          </w:p>
        </w:tc>
        <w:tc>
          <w:tcPr>
            <w:tcW w:w="2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项目名称</w:t>
            </w:r>
          </w:p>
        </w:tc>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《冀有好物》-无极</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实施(主管）单位</w:t>
            </w:r>
          </w:p>
        </w:tc>
        <w:tc>
          <w:tcPr>
            <w:tcW w:w="44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无极县委宣传部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trPr>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二、预算执行情况</w:t>
            </w:r>
          </w:p>
        </w:tc>
        <w:tc>
          <w:tcPr>
            <w:tcW w:w="36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预算安排情况（调整后）</w:t>
            </w:r>
          </w:p>
        </w:tc>
        <w:tc>
          <w:tcPr>
            <w:tcW w:w="2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资金到位情况</w:t>
            </w:r>
          </w:p>
        </w:tc>
        <w:tc>
          <w:tcPr>
            <w:tcW w:w="28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资金执行情况</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2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预算数：</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28</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到位数：</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28</w:t>
            </w: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执行数：</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28</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7" w:hRule="atLeast"/>
        </w:trPr>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2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  财政资金</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28</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                   财政资金</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28</w:t>
            </w: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                财政资金</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28</w:t>
            </w: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2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Calibri" w:hAnsi="Calibri" w:eastAsia="宋体" w:cs="Calibri"/>
                <w:i w:val="0"/>
                <w:iCs w:val="0"/>
                <w:color w:val="000000"/>
                <w:sz w:val="16"/>
                <w:szCs w:val="16"/>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6" w:hRule="atLeast"/>
        </w:trPr>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三、目标完成情况</w:t>
            </w:r>
          </w:p>
        </w:tc>
        <w:tc>
          <w:tcPr>
            <w:tcW w:w="45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年度预期目标</w:t>
            </w:r>
          </w:p>
        </w:tc>
        <w:tc>
          <w:tcPr>
            <w:tcW w:w="40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具体完成情况</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450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促进对外宣传报道</w:t>
            </w:r>
          </w:p>
        </w:tc>
        <w:tc>
          <w:tcPr>
            <w:tcW w:w="400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促进对外宣传报道</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45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400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45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400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765" w:type="dxa"/>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四、</w:t>
            </w:r>
            <w:r>
              <w:rPr>
                <w:rFonts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年度绩效指标完成情况</w:t>
            </w:r>
          </w:p>
        </w:tc>
        <w:tc>
          <w:tcPr>
            <w:tcW w:w="2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一级指标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二级指标</w:t>
            </w:r>
          </w:p>
        </w:tc>
        <w:tc>
          <w:tcPr>
            <w:tcW w:w="2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三级指标</w:t>
            </w: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预期指标值</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实际完成值</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76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2313"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产出指标（40）</w:t>
            </w:r>
          </w:p>
        </w:tc>
        <w:tc>
          <w:tcPr>
            <w:tcW w:w="1332"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数量指标</w:t>
            </w:r>
          </w:p>
        </w:tc>
        <w:tc>
          <w:tcPr>
            <w:tcW w:w="2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完成率</w:t>
            </w:r>
          </w:p>
        </w:tc>
        <w:tc>
          <w:tcPr>
            <w:tcW w:w="170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≥95</w:t>
            </w:r>
          </w:p>
        </w:tc>
        <w:tc>
          <w:tcPr>
            <w:tcW w:w="115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95%</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76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2313"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质量指标</w:t>
            </w:r>
          </w:p>
        </w:tc>
        <w:tc>
          <w:tcPr>
            <w:tcW w:w="2000" w:type="dxa"/>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完成率</w:t>
            </w:r>
          </w:p>
        </w:tc>
        <w:tc>
          <w:tcPr>
            <w:tcW w:w="17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≥98</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98%</w:t>
            </w:r>
          </w:p>
        </w:tc>
        <w:tc>
          <w:tcPr>
            <w:tcW w:w="159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76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2313"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时效指标</w:t>
            </w:r>
          </w:p>
        </w:tc>
        <w:tc>
          <w:tcPr>
            <w:tcW w:w="2000" w:type="dxa"/>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时效指标</w:t>
            </w:r>
          </w:p>
        </w:tc>
        <w:tc>
          <w:tcPr>
            <w:tcW w:w="17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≥96</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96%</w:t>
            </w:r>
          </w:p>
        </w:tc>
        <w:tc>
          <w:tcPr>
            <w:tcW w:w="159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76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2313"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成本指标</w:t>
            </w:r>
          </w:p>
        </w:tc>
        <w:tc>
          <w:tcPr>
            <w:tcW w:w="2000" w:type="dxa"/>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成本控制率(%)</w:t>
            </w:r>
          </w:p>
        </w:tc>
        <w:tc>
          <w:tcPr>
            <w:tcW w:w="17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≥96</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96%</w:t>
            </w:r>
          </w:p>
        </w:tc>
        <w:tc>
          <w:tcPr>
            <w:tcW w:w="159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76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2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预算执行率指标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（10分）</w:t>
            </w:r>
          </w:p>
        </w:tc>
        <w:tc>
          <w:tcPr>
            <w:tcW w:w="13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预算执行率</w:t>
            </w:r>
          </w:p>
        </w:tc>
        <w:tc>
          <w:tcPr>
            <w:tcW w:w="2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70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100%</w:t>
            </w:r>
          </w:p>
        </w:tc>
        <w:tc>
          <w:tcPr>
            <w:tcW w:w="115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76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2313" w:type="dxa"/>
            <w:vMerge w:val="restart"/>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效益指标（40）</w:t>
            </w:r>
          </w:p>
        </w:tc>
        <w:tc>
          <w:tcPr>
            <w:tcW w:w="133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经济效益指标</w:t>
            </w:r>
          </w:p>
        </w:tc>
        <w:tc>
          <w:tcPr>
            <w:tcW w:w="2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经济效益提升%</w:t>
            </w: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≥98</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98%</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76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2313" w:type="dxa"/>
            <w:vMerge w:val="continue"/>
            <w:tcBorders>
              <w:top w:val="nil"/>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3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社会效益指标</w:t>
            </w:r>
          </w:p>
        </w:tc>
        <w:tc>
          <w:tcPr>
            <w:tcW w:w="2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社会效益提升%</w:t>
            </w: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≥98</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98%</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76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2313" w:type="dxa"/>
            <w:vMerge w:val="continue"/>
            <w:tcBorders>
              <w:top w:val="nil"/>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3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生态效益指标</w:t>
            </w:r>
          </w:p>
        </w:tc>
        <w:tc>
          <w:tcPr>
            <w:tcW w:w="2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生态效益提升值%</w:t>
            </w: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≥97</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97%</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76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2313" w:type="dxa"/>
            <w:vMerge w:val="continue"/>
            <w:tcBorders>
              <w:top w:val="nil"/>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3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可持续影响指标</w:t>
            </w:r>
          </w:p>
        </w:tc>
        <w:tc>
          <w:tcPr>
            <w:tcW w:w="2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可持续性</w:t>
            </w: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≥95</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95%</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trPr>
        <w:tc>
          <w:tcPr>
            <w:tcW w:w="76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2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满意度指标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（10分）</w:t>
            </w:r>
          </w:p>
        </w:tc>
        <w:tc>
          <w:tcPr>
            <w:tcW w:w="133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满意度指标</w:t>
            </w:r>
          </w:p>
        </w:tc>
        <w:tc>
          <w:tcPr>
            <w:tcW w:w="20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满意率</w:t>
            </w: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≥98</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98%</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76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5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总分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1" w:hRule="atLeast"/>
        </w:trPr>
        <w:tc>
          <w:tcPr>
            <w:tcW w:w="76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w:t>
            </w:r>
            <w:r>
              <w:rPr>
                <w:rFonts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存在问题、原因及下一步整改措施</w:t>
            </w:r>
          </w:p>
        </w:tc>
        <w:tc>
          <w:tcPr>
            <w:tcW w:w="1009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无</w:t>
            </w:r>
          </w:p>
        </w:tc>
      </w:tr>
    </w:tbl>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w:t>
      </w:r>
      <w:r>
        <w:rPr>
          <w:rFonts w:hint="eastAsia" w:ascii="Times New Roman" w:eastAsia="仿宋_GB2312"/>
          <w:b w:val="0"/>
          <w:sz w:val="32"/>
          <w:szCs w:val="32"/>
          <w:lang w:eastAsia="zh-CN"/>
        </w:rPr>
        <w:t>单位</w:t>
      </w:r>
      <w:r>
        <w:rPr>
          <w:rFonts w:ascii="Times New Roman" w:eastAsia="仿宋_GB2312"/>
          <w:b w:val="0"/>
          <w:sz w:val="32"/>
          <w:szCs w:val="32"/>
        </w:rPr>
        <w:t>取得的财政预算资金。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w:t>
      </w:r>
      <w:r>
        <w:rPr>
          <w:rFonts w:hint="eastAsia" w:ascii="Times New Roman" w:eastAsia="仿宋_GB2312"/>
          <w:b w:val="0"/>
          <w:sz w:val="32"/>
          <w:szCs w:val="32"/>
          <w:lang w:eastAsia="zh-CN"/>
        </w:rPr>
        <w:t>单位</w:t>
      </w:r>
      <w:r>
        <w:rPr>
          <w:rFonts w:ascii="Times New Roman" w:eastAsia="仿宋_GB2312"/>
          <w:b w:val="0"/>
          <w:sz w:val="32"/>
          <w:szCs w:val="32"/>
        </w:rPr>
        <w:t>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w:t>
      </w:r>
      <w:r>
        <w:rPr>
          <w:rFonts w:hint="eastAsia" w:ascii="Times New Roman" w:eastAsia="仿宋_GB2312"/>
          <w:b w:val="0"/>
          <w:sz w:val="32"/>
          <w:szCs w:val="32"/>
          <w:lang w:eastAsia="zh-CN"/>
        </w:rPr>
        <w:t>单位</w:t>
      </w:r>
      <w:r>
        <w:rPr>
          <w:rFonts w:ascii="Times New Roman" w:eastAsia="仿宋_GB2312"/>
          <w:b w:val="0"/>
          <w:sz w:val="32"/>
          <w:szCs w:val="32"/>
        </w:rPr>
        <w:t>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w:t>
      </w:r>
      <w:r>
        <w:rPr>
          <w:rFonts w:hint="eastAsia" w:ascii="Times New Roman" w:eastAsia="仿宋_GB2312"/>
          <w:b w:val="0"/>
          <w:sz w:val="32"/>
          <w:szCs w:val="32"/>
          <w:lang w:eastAsia="zh-CN"/>
        </w:rPr>
        <w:t>单位</w:t>
      </w:r>
      <w:r>
        <w:rPr>
          <w:rFonts w:ascii="Times New Roman" w:eastAsia="仿宋_GB2312"/>
          <w:b w:val="0"/>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26AD5D6A-8DC6-4626-A8FF-8EC6D4DFE194}"/>
  </w:font>
  <w:font w:name="黑体">
    <w:panose1 w:val="02010609060101010101"/>
    <w:charset w:val="86"/>
    <w:family w:val="auto"/>
    <w:pitch w:val="default"/>
    <w:sig w:usb0="800002BF" w:usb1="38CF7CFA" w:usb2="00000016" w:usb3="00000000" w:csb0="00040001" w:csb1="00000000"/>
    <w:embedRegular r:id="rId2" w:fontKey="{304E6B8C-205C-48C1-98BD-DBFD6314ADD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3" w:fontKey="{FBA66A3A-4B01-4BE9-BD04-D5C53FFA6773}"/>
  </w:font>
  <w:font w:name="仿宋">
    <w:panose1 w:val="02010609060101010101"/>
    <w:charset w:val="86"/>
    <w:family w:val="modern"/>
    <w:pitch w:val="default"/>
    <w:sig w:usb0="800002BF" w:usb1="38CF7CFA" w:usb2="00000016" w:usb3="00000000" w:csb0="00040001" w:csb1="00000000"/>
    <w:embedRegular r:id="rId4" w:fontKey="{CBD243F4-BDE9-4010-881A-B6443FF0F4C7}"/>
  </w:font>
  <w:font w:name="Calibri Light">
    <w:altName w:val="Calibri"/>
    <w:panose1 w:val="020F0302020204030204"/>
    <w:charset w:val="00"/>
    <w:family w:val="auto"/>
    <w:pitch w:val="default"/>
    <w:sig w:usb0="00000000" w:usb1="00000000"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7A0929C1-CB7A-4468-AF6F-10FC037B08B2}"/>
  </w:font>
  <w:font w:name="楷体_GB2312">
    <w:panose1 w:val="02010609030101010101"/>
    <w:charset w:val="86"/>
    <w:family w:val="auto"/>
    <w:pitch w:val="default"/>
    <w:sig w:usb0="00000001" w:usb1="080E0000" w:usb2="00000000" w:usb3="00000000" w:csb0="00040000" w:csb1="00000000"/>
    <w:embedRegular r:id="rId6" w:fontKey="{9907036C-84C0-47EC-A225-536E4C068728}"/>
  </w:font>
  <w:font w:name="微软雅黑">
    <w:panose1 w:val="020B0503020204020204"/>
    <w:charset w:val="86"/>
    <w:family w:val="auto"/>
    <w:pitch w:val="default"/>
    <w:sig w:usb0="80000287" w:usb1="280F3C52" w:usb2="00000016" w:usb3="00000000" w:csb0="0004001F" w:csb1="00000000"/>
    <w:embedRegular r:id="rId7" w:fontKey="{31E2B8F5-B809-4C5C-B197-F215862244E7}"/>
  </w:font>
  <w:font w:name="方正小标宋_GBK">
    <w:panose1 w:val="02000000000000000000"/>
    <w:charset w:val="86"/>
    <w:family w:val="script"/>
    <w:pitch w:val="default"/>
    <w:sig w:usb0="A00002BF" w:usb1="38CF7CFA" w:usb2="00082016" w:usb3="00000000" w:csb0="00040001" w:csb1="00000000"/>
    <w:embedRegular r:id="rId8" w:fontKey="{D4CB586B-129D-45B3-BBA6-14C7B17C730D}"/>
  </w:font>
  <w:font w:name="仿宋_GB2312">
    <w:panose1 w:val="02010609030101010101"/>
    <w:charset w:val="86"/>
    <w:family w:val="auto"/>
    <w:pitch w:val="default"/>
    <w:sig w:usb0="00000001" w:usb1="080E0000" w:usb2="00000000" w:usb3="00000000" w:csb0="00040000" w:csb1="00000000"/>
    <w:embedRegular r:id="rId9" w:fontKey="{78D5A19D-0CC7-451F-938C-5B7B3AF7E6C0}"/>
  </w:font>
  <w:font w:name="ArialUnicodeMS">
    <w:altName w:val="Malgun Gothic"/>
    <w:panose1 w:val="00000000000000000000"/>
    <w:charset w:val="81"/>
    <w:family w:val="auto"/>
    <w:pitch w:val="default"/>
    <w:sig w:usb0="00000000" w:usb1="00000000" w:usb2="00000010" w:usb3="00000000" w:csb0="00080001" w:csb1="00000000"/>
    <w:embedRegular r:id="rId10" w:fontKey="{65597342-DCB1-4515-8549-E6EE285E717F}"/>
  </w:font>
  <w:font w:name="DengXian-Regular">
    <w:altName w:val="宋体"/>
    <w:panose1 w:val="00000000000000000000"/>
    <w:charset w:val="86"/>
    <w:family w:val="auto"/>
    <w:pitch w:val="default"/>
    <w:sig w:usb0="00000000" w:usb1="00000000" w:usb2="00000010" w:usb3="00000000" w:csb0="00040001" w:csb1="00000000"/>
    <w:embedRegular r:id="rId11" w:fontKey="{2C42D17D-F64E-498B-805B-A8AAC5105601}"/>
  </w:font>
  <w:font w:name="Malgun Gothic">
    <w:panose1 w:val="020B0503020000020004"/>
    <w:charset w:val="81"/>
    <w:family w:val="auto"/>
    <w:pitch w:val="default"/>
    <w:sig w:usb0="900002AF" w:usb1="01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5F47F4E"/>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677722"/>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2E55A1C"/>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2534F"/>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423.6</c:v>
                </c:pt>
                <c:pt idx="1">
                  <c:v>356.79</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4236041.01</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2190741.01</c:v>
                </c:pt>
                <c:pt idx="1">
                  <c:v>2045300</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356.79</c:v>
                </c:pt>
                <c:pt idx="1">
                  <c:v>356.79</c:v>
                </c:pt>
                <c:pt idx="2">
                  <c:v>356.79</c:v>
                </c:pt>
                <c:pt idx="3">
                  <c:v>356.79</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423.6</c:v>
                </c:pt>
                <c:pt idx="1">
                  <c:v>423.6</c:v>
                </c:pt>
                <c:pt idx="2">
                  <c:v>298.97</c:v>
                </c:pt>
                <c:pt idx="3">
                  <c:v>298.97</c:v>
                </c:pt>
                <c:pt idx="4">
                  <c:v>124.63</c:v>
                </c:pt>
                <c:pt idx="5">
                  <c:v>124.63</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289.05</c:v>
                </c:pt>
                <c:pt idx="1">
                  <c:v>340.93</c:v>
                </c:pt>
                <c:pt idx="2">
                  <c:v>289.05</c:v>
                </c:pt>
                <c:pt idx="3">
                  <c:v>340.93</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423.6</c:v>
                </c:pt>
                <c:pt idx="1">
                  <c:v>423.6</c:v>
                </c:pt>
                <c:pt idx="2">
                  <c:v>298.97</c:v>
                </c:pt>
                <c:pt idx="3">
                  <c:v>298.97</c:v>
                </c:pt>
                <c:pt idx="4">
                  <c:v>124.63</c:v>
                </c:pt>
                <c:pt idx="5">
                  <c:v>124.63</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29</Pages>
  <Words>1660</Words>
  <Characters>6225</Characters>
  <Lines>86</Lines>
  <Paragraphs>24</Paragraphs>
  <TotalTime>27</TotalTime>
  <ScaleCrop>false</ScaleCrop>
  <LinksUpToDate>false</LinksUpToDate>
  <CharactersWithSpaces>6550</CharactersWithSpaces>
  <Application>WPS Office_11.8.2.12080_F1E327BC-269C-435d-A152-05C5408002CA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Administrator</cp:lastModifiedBy>
  <cp:lastPrinted>2023-08-04T01:00:00Z</cp:lastPrinted>
  <dcterms:modified xsi:type="dcterms:W3CDTF">2026-09-22T01:43:18Z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2052-11.8.2.12080</vt:lpwstr>
  </property>
  <property fmtid="{D5CDD505-2E9C-101B-9397-08002B2CF9AE}" pid="3" name="ICV">
    <vt:lpwstr>5C01B4D6DD244AE1B738D48247BCACD3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