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bookmarkStart w:id="0" w:name="_GoBack"/>
      <w:bookmarkEnd w:id="0"/>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中国共产党无极县委员会宣传部(本级)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211001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中国共产党无极县委员会宣传部(本级)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部门</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中国共产党无极县委员会宣传部(本级)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部门</w:t>
      </w:r>
      <w:r>
        <w:rPr>
          <w:rFonts w:ascii="Times New Roman" w:eastAsia="黑体"/>
          <w:b w:val="0"/>
          <w:sz w:val="32"/>
          <w:szCs w:val="32"/>
        </w:rPr>
        <w:t>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部门</w:t>
      </w:r>
      <w:r>
        <w:rPr>
          <w:rFonts w:ascii="Times New Roman" w:eastAsia="仿宋_GB2312"/>
          <w:b w:val="0"/>
          <w:sz w:val="32"/>
          <w:szCs w:val="32"/>
        </w:rPr>
        <w:t>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部门</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部门</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部门</w:t>
      </w:r>
      <w:r>
        <w:rPr>
          <w:rFonts w:ascii="Times New Roman" w:eastAsia="黑体"/>
          <w:b w:val="0"/>
          <w:sz w:val="44"/>
          <w:szCs w:val="44"/>
        </w:rPr>
        <w:t>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部门</w:t>
      </w:r>
      <w:r>
        <w:rPr>
          <w:rFonts w:ascii="Times New Roman" w:eastAsia="黑体"/>
          <w:b w:val="0"/>
          <w:sz w:val="32"/>
          <w:szCs w:val="32"/>
        </w:rPr>
        <w:t>职责</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根据《中共石家庄市委办公厅、石家庄市人民政府办公厅关于印发&lt;无极县机构改革方案&gt;的通知》（石办字〔2018〕71号），制定本规定。</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中共无极县委宣传部（简称县委宣传部）为县委主管意识形态方面工作的职能</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，机构规格为正科级，加挂县精神文明建设委员会办公室、县政府新闻办公室、县新闻出版局（县版权局）牌子。主要职责如下：</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一、拟订全县宣传思想文化工作重大方针政策和事业发展总体规划，统筹协调推进宣传思想文化领域法治建设，按照县委统一部署，协调宣传思想文化系统各</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之间的工作。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二、统筹协调全县党的意识形态工作，贯彻落实县委关于意识形态工作决策部署，组织协调意识形态工作责任制落实和日常监督检查。</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三、统筹指导协调全县理论研究、理论学习、理论宣传工作，组织推动理论武装工作，推动落实马克思主义理论研究和建设工程任务，负责县委理论学习中心组理论学习的有关工作。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四、负责规划组织全县全局性思想政治工作任务，组织对先进典型的学习推广。配合县委组织部做好基层党员教育工作，指导协调编写党员教育教材，会同有关</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研究和改进群众思想教育工作。负责指导协调全县爱国主义教育基地的建设、管理、使用。负责全县国防教育工作。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五、统筹分析研判和引导全县社会舆论，指导协调县直各新闻</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的工作，组织全县突发公共事件应急新闻工作。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六、拟订全县新闻出版业的管理政策并督促落实，管理新闻出版行政事务，统筹规划和指导协调新闻出版事业、产业发展，监督管理出版物内容和质量，监督管理印刷业，管理著作权，管理出版物进出口等。组织指导协调全县“扫黄打非”工作。负责全县新闻记者证的发放等相关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七、从宏观上统筹指导协调全县互联网宣传和信息内容管理工作。统筹数字新媒体的建设和管理。</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八、从宏观上统筹指导协调推动全县精神文化产品的创作和生产，协调组织中华优秀传统文化传承发展有关工作，指导协调推动群众文化建设。</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九、负责管理全县电影行政事务，指导监管电影制片、发行、放映工作，组织对电影内容进行审查，指导协调全县性重大电影活动。</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十、对全县新闻出版、广播影视、文化艺术业改革发展研究提出政策性建议，统筹指导协调文化体制改革和文化事业、文化产业及旅游业发展，负责县级文化企业国有资产监督管理。</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十一、统筹指导全县舆情信息工作，组织协调开展县内外舆情信息收集分析研判工作，跟踪了解、研究掌握宣传舆情动态。</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十二、统筹研究拟订有关全县精神文明建设的方针、政策。规划部署全县精神文明建设工作，组织指导全县群众性精神文明创建活动。</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十三、统筹协调全县对外宣传工作。指导协调有关</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研究拟订全县对外宣传事业发展规划，组织协调我县对外宣传文化交流工作，会同有关</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做好境外记者采访事务方面工作。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十四、统筹协调组织开展新闻发布工作。承担县委新闻发布有关组织协调工作，负责县政府新闻发布组织实施工作。指导协调县政府各</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和各乡（镇）的新闻发布工作，推动新闻发言人制度落实。</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十五、统筹指导协调全县哲学社会科学发展工作。组织制定发展战略、中长期规划和专项计划。负责组织社会科学课题项目评审和成果转化应用等工作。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十六、受县委委托，会同县委组织部管理新闻、文化、社会科学研究和互联网信息等方面县直宣传思想文化</w:t>
      </w:r>
      <w:r>
        <w:rPr>
          <w:rFonts w:hint="eastAsia" w:ascii="Times New Roman" w:hAnsi="Times New Roman" w:eastAsia="仿宋" w:cs="仿宋"/>
          <w:sz w:val="32"/>
          <w:szCs w:val="32"/>
          <w:lang w:eastAsia="zh-CN"/>
        </w:rPr>
        <w:t>部门</w:t>
      </w:r>
      <w:r>
        <w:rPr>
          <w:rFonts w:hint="eastAsia" w:ascii="Times New Roman" w:hAnsi="Times New Roman" w:eastAsia="仿宋" w:cs="仿宋"/>
          <w:sz w:val="32"/>
          <w:szCs w:val="32"/>
        </w:rPr>
        <w:t>的领导干部。对各乡（镇）党委宣传委员的任免提出意见。负责有关重要宣传舆论阵地和重要岗位领导干部管理工作。统筹组织开展宣传思想文化系统干部教育培训和人才工作。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hAnsi="Times New Roman" w:eastAsia="仿宋" w:cs="仿宋"/>
          <w:sz w:val="32"/>
          <w:szCs w:val="32"/>
        </w:rPr>
        <w:t>十</w:t>
      </w:r>
      <w:r>
        <w:rPr>
          <w:rFonts w:hint="eastAsia" w:ascii="Times New Roman" w:hAnsi="Times New Roman" w:eastAsia="仿宋" w:cs="仿宋"/>
          <w:sz w:val="32"/>
          <w:szCs w:val="32"/>
          <w:lang w:eastAsia="zh-CN"/>
        </w:rPr>
        <w:t>七</w:t>
      </w:r>
      <w:r>
        <w:rPr>
          <w:rFonts w:hint="eastAsia" w:ascii="Times New Roman" w:hAnsi="Times New Roman" w:eastAsia="仿宋" w:cs="仿宋"/>
          <w:sz w:val="32"/>
          <w:szCs w:val="32"/>
        </w:rPr>
        <w:t>、完成县委交办的其他任务。</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w:t>
      </w:r>
      <w:r>
        <w:rPr>
          <w:rFonts w:hint="eastAsia" w:ascii="Times New Roman" w:eastAsia="仿宋_GB2312"/>
          <w:b w:val="0"/>
          <w:sz w:val="32"/>
          <w:szCs w:val="32"/>
          <w:lang w:eastAsia="zh-CN"/>
        </w:rPr>
        <w:t>部门</w:t>
      </w:r>
      <w:r>
        <w:rPr>
          <w:rFonts w:ascii="Times New Roman" w:eastAsia="仿宋_GB2312"/>
          <w:b w:val="0"/>
          <w:sz w:val="32"/>
          <w:szCs w:val="32"/>
        </w:rPr>
        <w:t>构成看，纳入2025年度本</w:t>
      </w:r>
      <w:r>
        <w:rPr>
          <w:rFonts w:hint="eastAsia" w:ascii="Times New Roman" w:eastAsia="仿宋_GB2312"/>
          <w:b w:val="0"/>
          <w:sz w:val="32"/>
          <w:szCs w:val="32"/>
          <w:lang w:eastAsia="zh-CN"/>
        </w:rPr>
        <w:t>部门</w:t>
      </w:r>
      <w:r>
        <w:rPr>
          <w:rFonts w:ascii="Times New Roman" w:eastAsia="仿宋_GB2312"/>
          <w:b w:val="0"/>
          <w:sz w:val="32"/>
          <w:szCs w:val="32"/>
        </w:rPr>
        <w:t>决算汇编范围的独立核算</w:t>
      </w:r>
      <w:r>
        <w:rPr>
          <w:rFonts w:hint="eastAsia" w:ascii="Times New Roman" w:eastAsia="仿宋_GB2312"/>
          <w:b w:val="0"/>
          <w:sz w:val="32"/>
          <w:szCs w:val="32"/>
          <w:lang w:eastAsia="zh-CN"/>
        </w:rPr>
        <w:t>部门</w:t>
      </w:r>
      <w:r>
        <w:rPr>
          <w:rFonts w:ascii="Times New Roman" w:eastAsia="仿宋_GB2312"/>
          <w:b w:val="0"/>
          <w:sz w:val="32"/>
          <w:szCs w:val="32"/>
        </w:rPr>
        <w:t>（以下简称“</w:t>
      </w:r>
      <w:r>
        <w:rPr>
          <w:rFonts w:hint="eastAsia" w:ascii="Times New Roman" w:eastAsia="仿宋_GB2312"/>
          <w:b w:val="0"/>
          <w:sz w:val="32"/>
          <w:szCs w:val="32"/>
          <w:lang w:eastAsia="zh-CN"/>
        </w:rPr>
        <w:t>部门</w:t>
      </w:r>
      <w:r>
        <w:rPr>
          <w:rFonts w:ascii="Times New Roman" w:eastAsia="仿宋_GB2312"/>
          <w:b w:val="0"/>
          <w:sz w:val="32"/>
          <w:szCs w:val="32"/>
        </w:rPr>
        <w:t>”）共个，具体情况如下：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中国共产党无极县委员会宣传部(本级)</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rPr>
              <w:t>行政</w:t>
            </w:r>
            <w:r>
              <w:rPr>
                <w:rFonts w:hint="eastAsia" w:ascii="仿宋_GB2312" w:hAnsi="Calibri" w:eastAsia="仿宋_GB2312" w:cs="ArialUnicodeMS"/>
                <w:kern w:val="0"/>
                <w:sz w:val="28"/>
                <w:szCs w:val="28"/>
                <w:lang w:eastAsia="zh-CN"/>
              </w:rPr>
              <w:t>部门</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部门</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部门（部门）：中国共产党无极县委员会宣传部(本级)</w:t>
            </w:r>
          </w:p>
        </w:tc>
        <w:tc>
          <w:tcPr>
            <w:tcW w:w="2945" w:type="dxa"/>
            <w:gridSpan w:val="2"/>
            <w:tcBorders>
              <w:top w:val="nil"/>
              <w:left w:val="nil"/>
              <w:bottom w:val="single" w:color="000000" w:themeColor="text1" w:sz="8" w:space="0"/>
              <w:right w:val="nil"/>
            </w:tcBorders>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1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298.97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3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124.63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3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七、附属部门上缴收入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9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9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6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1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15"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87"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8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2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0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1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0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rPr>
          <w:rFonts w:hint="eastAsia" w:ascii="仿宋_GB2312" w:hAnsi="宋体" w:eastAsia="仿宋_GB2312"/>
          <w:b/>
          <w:color w:val="auto"/>
          <w:kern w:val="0"/>
          <w:sz w:val="32"/>
          <w:szCs w:val="32"/>
          <w:highlight w:val="none"/>
        </w:rPr>
      </w:pPr>
    </w:p>
    <w:tbl>
      <w:tblPr>
        <w:tblStyle w:val="11"/>
        <w:tblW w:w="113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3"/>
        <w:gridCol w:w="293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303" w:type="dxa"/>
            <w:gridSpan w:val="10"/>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303"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10" w:type="dxa"/>
            <w:gridSpan w:val="3"/>
            <w:tcBorders>
              <w:top w:val="nil"/>
              <w:left w:val="nil"/>
              <w:bottom w:val="single" w:color="000000" w:themeColor="text1" w:sz="8" w:space="0"/>
              <w:right w:val="nil"/>
            </w:tcBorders>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部门（部门）：中国共产党无极县委员会宣传部(本级)                                                                                                         </w:t>
            </w:r>
          </w:p>
        </w:tc>
        <w:tc>
          <w:tcPr>
            <w:tcW w:w="3405" w:type="dxa"/>
            <w:gridSpan w:val="4"/>
            <w:tcBorders>
              <w:top w:val="nil"/>
              <w:left w:val="nil"/>
              <w:bottom w:val="single" w:color="000000" w:themeColor="text1" w:sz="8" w:space="0"/>
              <w:right w:val="nil"/>
            </w:tcBorders>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附属部门上缴收入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9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宣传事务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2013302</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2013304</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宣传管理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2013399</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其他宣传事务支出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303"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5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2"/>
        <w:gridCol w:w="3840"/>
        <w:gridCol w:w="375"/>
        <w:gridCol w:w="675"/>
        <w:gridCol w:w="1050"/>
        <w:gridCol w:w="898"/>
        <w:gridCol w:w="122"/>
        <w:gridCol w:w="1005"/>
        <w:gridCol w:w="1035"/>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542"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542"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677"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部门（部门）：中国共产党无极县委员会宣传部(本级)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4"/>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0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0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0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对附属部门补助支出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38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219.07</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204.53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2013302</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2013304</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宣传管理</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2013399</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其他宣传事务支出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机关事业部门职业年金缴费支出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542"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6"/>
        <w:gridCol w:w="525"/>
        <w:gridCol w:w="960"/>
        <w:gridCol w:w="1723"/>
        <w:gridCol w:w="917"/>
        <w:gridCol w:w="604"/>
        <w:gridCol w:w="146"/>
        <w:gridCol w:w="1125"/>
        <w:gridCol w:w="1020"/>
        <w:gridCol w:w="1077"/>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部门（部门）：中国共产党无极县委员会宣传部(本级)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2"/>
            <w:tcBorders>
              <w:top w:val="nil"/>
              <w:left w:val="nil"/>
              <w:bottom w:val="single" w:color="000000" w:themeColor="text1" w:sz="8" w:space="0"/>
              <w:right w:val="nil"/>
            </w:tcBorders>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5"/>
            <w:tcBorders>
              <w:top w:val="nil"/>
              <w:left w:val="nil"/>
              <w:bottom w:val="single" w:color="000000" w:themeColor="text1" w:sz="8" w:space="0"/>
              <w:right w:val="nil"/>
            </w:tcBorders>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971"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738"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48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    目</w:t>
            </w:r>
          </w:p>
        </w:tc>
        <w:tc>
          <w:tcPr>
            <w:tcW w:w="52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9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13"/>
                <w:szCs w:val="13"/>
                <w:highlight w:val="none"/>
                <w:u w:val="none"/>
                <w:lang w:val="en-US" w:eastAsia="zh-CN"/>
              </w:rPr>
            </w:pPr>
            <w:r>
              <w:rPr>
                <w:rFonts w:hint="eastAsia" w:ascii="方正仿宋_GB2312" w:hAnsi="方正仿宋_GB2312" w:eastAsia="方正仿宋_GB2312" w:cs="方正仿宋_GB2312"/>
                <w:i w:val="0"/>
                <w:iCs w:val="0"/>
                <w:color w:val="000000"/>
                <w:sz w:val="13"/>
                <w:szCs w:val="13"/>
                <w:highlight w:val="none"/>
                <w:u w:val="none"/>
                <w:lang w:val="en-US" w:eastAsia="zh-CN"/>
              </w:rPr>
              <w:t>金额</w:t>
            </w:r>
          </w:p>
        </w:tc>
        <w:tc>
          <w:tcPr>
            <w:tcW w:w="264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7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112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合计</w:t>
            </w:r>
          </w:p>
        </w:tc>
        <w:tc>
          <w:tcPr>
            <w:tcW w:w="102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一般公共预算财政拨款</w:t>
            </w:r>
          </w:p>
        </w:tc>
        <w:tc>
          <w:tcPr>
            <w:tcW w:w="10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政府性基金预算财政拨款</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48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5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9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264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11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02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0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栏    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栏    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298.97</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一、一般公共服务支出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262.12</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262.12</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二、政府性基金预算财政拨款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二、外交支出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三、国有资本经营预算财政拨款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三、国防支出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四、公共安全支出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五、教育支出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六、科学技术支出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七、文化旅游体育与传媒支出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八、社会保障和就业支出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28.24</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28.24</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九、卫生健康支出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8.61</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8.61</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十、节能环保支出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十一、城乡社区支出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十二、农林水支出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十三、交通运输支出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十四、资源勘探工业信息等支出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十五、商业服务业等支出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十六、金融支出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十七、援助其他地区支出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十八、自然资源海洋气象等支出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十九、住房保障支出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二十、粮油物资储备支出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二十一、国有资本经营预算支出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二十二、灾害防治及应急管理支出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二十三、其他支出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二十四、债务还本支出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二十五、债务付息支出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二十六、抗疫特别国债安排的支出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本年收入合计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本年支出合计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298.97</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年初财政拨款结转和结余</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年末财政拨款结转和结余</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二、政府性基金预算财政拨款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三、国有资本经营预算财政拨款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总计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总计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cs="Times New Roman"/>
                <w:sz w:val="16"/>
                <w:szCs w:val="16"/>
                <w:highlight w:val="none"/>
              </w:rPr>
            </w:pPr>
          </w:p>
          <w:p>
            <w:pPr>
              <w:jc w:val="right"/>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298.97</w:t>
            </w:r>
          </w:p>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注：本表反映部门本年度一般公共预算财政拨款、政府性基金预算财政拨款和国有资本经营预算财政拨款的总收支和年末结转结余情况。</w:t>
            </w:r>
          </w:p>
        </w:tc>
      </w:tr>
    </w:tbl>
    <w:p>
      <w:pPr>
        <w:rPr>
          <w:rFonts w:hint="eastAsia" w:ascii="仿宋_GB2312" w:hAnsi="宋体" w:eastAsia="仿宋_GB2312"/>
          <w:b/>
          <w:color w:val="auto"/>
          <w:kern w:val="0"/>
          <w:sz w:val="32"/>
          <w:szCs w:val="32"/>
          <w:highlight w:val="none"/>
        </w:rPr>
      </w:pPr>
    </w:p>
    <w:tbl>
      <w:tblPr>
        <w:tblStyle w:val="11"/>
        <w:tblW w:w="10995" w:type="dxa"/>
        <w:tblInd w:w="-162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60"/>
        <w:gridCol w:w="2095"/>
        <w:gridCol w:w="1135"/>
        <w:gridCol w:w="1545"/>
        <w:gridCol w:w="133"/>
        <w:gridCol w:w="2177"/>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10995"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995"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4055" w:type="dxa"/>
            <w:gridSpan w:val="2"/>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部门（部门）：中国共产党无极县委员会宣传部(本级)</w:t>
            </w:r>
          </w:p>
        </w:tc>
        <w:tc>
          <w:tcPr>
            <w:tcW w:w="281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127"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805" w:type="dxa"/>
            <w:gridSpan w:val="4"/>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960"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23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54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31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950"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960"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23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31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950"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960"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23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31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950"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298.97</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219.07</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2013302</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2013304</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宣传管理</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2013399</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其他宣传事务支出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机关事业部门职业年金缴费支出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995"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2641"/>
        <w:gridCol w:w="587"/>
        <w:gridCol w:w="666"/>
        <w:gridCol w:w="1972"/>
        <w:gridCol w:w="857"/>
        <w:gridCol w:w="666"/>
        <w:gridCol w:w="2437"/>
        <w:gridCol w:w="1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32" w:type="dxa"/>
            <w:gridSpan w:val="5"/>
            <w:tcBorders>
              <w:top w:val="nil"/>
              <w:left w:val="nil"/>
              <w:bottom w:val="single" w:color="000000" w:sz="8" w:space="0"/>
              <w:right w:val="nil"/>
            </w:tcBorders>
            <w:shd w:val="clear" w:color="auto" w:fill="auto"/>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部门（部门）：中国共产党无极县委员会宣传部(本级) </w:t>
            </w:r>
            <w:r>
              <w:rPr>
                <w:rFonts w:hint="eastAsia" w:ascii="宋体" w:hAnsi="宋体" w:eastAsia="宋体" w:cs="宋体"/>
                <w:i w:val="0"/>
                <w:iCs w:val="0"/>
                <w:color w:val="000000"/>
                <w:kern w:val="0"/>
                <w:sz w:val="18"/>
                <w:szCs w:val="18"/>
                <w:u w:val="none"/>
                <w:lang w:val="en-US" w:eastAsia="zh-CN" w:bidi="ar"/>
              </w:rPr>
              <w:t xml:space="preserve">                                                                   </w:t>
            </w:r>
          </w:p>
        </w:tc>
        <w:tc>
          <w:tcPr>
            <w:tcW w:w="857" w:type="dxa"/>
            <w:tcBorders>
              <w:top w:val="nil"/>
              <w:left w:val="nil"/>
              <w:bottom w:val="single" w:color="000000" w:sz="8" w:space="0"/>
              <w:right w:val="nil"/>
            </w:tcBorders>
            <w:shd w:val="clear" w:color="auto" w:fill="auto"/>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6"/>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58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972"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5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43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109"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147.81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55.99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机关事业部门基本养老保险缴费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9.37</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2437" w:type="dxa"/>
            <w:tcBorders>
              <w:top w:val="nil"/>
              <w:left w:val="nil"/>
              <w:bottom w:val="single" w:color="000000" w:sz="8" w:space="0"/>
              <w:right w:val="single" w:color="000000" w:sz="8" w:space="0"/>
            </w:tcBorders>
            <w:shd w:val="clear" w:color="auto" w:fill="auto"/>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109" w:type="dxa"/>
            <w:tcBorders>
              <w:top w:val="nil"/>
              <w:left w:val="nil"/>
              <w:bottom w:val="single" w:color="000000" w:sz="8" w:space="0"/>
              <w:right w:val="single" w:color="000000" w:sz="8"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07"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167.34</w:t>
            </w:r>
          </w:p>
        </w:tc>
        <w:tc>
          <w:tcPr>
            <w:tcW w:w="6598" w:type="dxa"/>
            <w:gridSpan w:val="5"/>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rPr>
          <w:rFonts w:hint="eastAsia" w:ascii="仿宋_GB2312" w:hAnsi="宋体" w:eastAsia="仿宋_GB2312"/>
          <w:b/>
          <w:color w:val="auto"/>
          <w:kern w:val="0"/>
          <w:sz w:val="32"/>
          <w:szCs w:val="32"/>
          <w:highlight w:val="none"/>
        </w:rPr>
      </w:pP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部门（部门）：中国共产党无极县委员会宣传部(本级)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24" w:type="dxa"/>
            <w:gridSpan w:val="2"/>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部门（部门）：中国共产党无极县委员会宣传部(本级)</w:t>
            </w:r>
          </w:p>
        </w:tc>
        <w:tc>
          <w:tcPr>
            <w:tcW w:w="2680"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w:t>
            </w:r>
            <w:r>
              <w:rPr>
                <w:rFonts w:hint="eastAsia" w:ascii="方正仿宋_GB2312" w:hAnsi="方正仿宋_GB2312" w:eastAsia="方正仿宋_GB2312" w:cs="方正仿宋_GB2312"/>
                <w:i w:val="0"/>
                <w:iCs w:val="0"/>
                <w:color w:val="000000"/>
                <w:sz w:val="20"/>
                <w:szCs w:val="20"/>
                <w:highlight w:val="none"/>
                <w:u w:val="none"/>
                <w:lang w:val="en-US" w:eastAsia="zh-CN"/>
              </w:rPr>
              <w:t>本表反映本部门本年度国有资本经营预算财政拨款支出情况。本部门本年度无相关支出情况，按要求以空表列示。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部门（部门）：中国共产党无极县委员会宣传部(本级)</w:t>
            </w:r>
          </w:p>
        </w:tc>
        <w:tc>
          <w:tcPr>
            <w:tcW w:w="2166"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247" w:right="1984" w:bottom="1247"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部门</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2025年度收、支总计（含结转和结余）均为423.60万元。与2024年度决算相比，收支各增加66.81万元，增长18.7%，主要原因是。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2025年度本年收入合计423.60万元，其中：财政拨款收入423.60万元，占100.0%；上级补助收入0万元，占0%；事业收入0万元，占0%；经营收入0万元，占0%；附属</w:t>
      </w:r>
      <w:r>
        <w:rPr>
          <w:rFonts w:hint="eastAsia" w:ascii="Times New Roman" w:eastAsia="仿宋_GB2312"/>
          <w:b w:val="0"/>
          <w:sz w:val="32"/>
          <w:szCs w:val="32"/>
          <w:lang w:eastAsia="zh-CN"/>
        </w:rPr>
        <w:t>部门</w:t>
      </w:r>
      <w:r>
        <w:rPr>
          <w:rFonts w:ascii="Times New Roman" w:eastAsia="仿宋_GB2312"/>
          <w:b w:val="0"/>
          <w:sz w:val="32"/>
          <w:szCs w:val="32"/>
        </w:rPr>
        <w:t>上缴收入0万元，占0%；其他收入0万元，占0%。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2025年度本年支出合计423.60万元，其中：基本支出219.07万元，占51.7%；项目支出204.53万元，占48.3%；经营支出0.00万元，占0.0%；上缴上级支出0万元，占0%；经营支出0万元，占0%；对附属</w:t>
      </w:r>
      <w:r>
        <w:rPr>
          <w:rFonts w:hint="eastAsia" w:ascii="Times New Roman" w:eastAsia="仿宋_GB2312"/>
          <w:b w:val="0"/>
          <w:sz w:val="32"/>
          <w:szCs w:val="32"/>
          <w:lang w:eastAsia="zh-CN"/>
        </w:rPr>
        <w:t>部门</w:t>
      </w:r>
      <w:r>
        <w:rPr>
          <w:rFonts w:ascii="Times New Roman" w:eastAsia="仿宋_GB2312"/>
          <w:b w:val="0"/>
          <w:sz w:val="32"/>
          <w:szCs w:val="32"/>
        </w:rPr>
        <w:t>补助支出0万元，占0%。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2025年度财政拨款收、支总计（含结转和结余）均为423.60万元。与2024年度相比，财政拨款收支各增加66.81万元，增长18.7%，主要原因</w:t>
      </w:r>
      <w:r>
        <w:rPr>
          <w:rFonts w:hint="eastAsia" w:ascii="Times New Roman" w:eastAsia="仿宋_GB2312"/>
          <w:b w:val="0"/>
          <w:sz w:val="32"/>
          <w:szCs w:val="32"/>
          <w:lang w:eastAsia="zh-CN"/>
        </w:rPr>
        <w:t>是受部分项目经费增加和人员经费减少等多重因素影响，收支增减相抵后，总体收入增加了</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2025年度财政拨款本年收入423.60万元,比上年增加66.81万元，增长18.7%，主要原因是；本年支出423.60万元，比上年增加66.81万元，增长18.7%，主要原因是</w:t>
      </w:r>
      <w:r>
        <w:rPr>
          <w:rFonts w:hint="eastAsia" w:ascii="Times New Roman" w:eastAsia="仿宋_GB2312"/>
          <w:b w:val="0"/>
          <w:sz w:val="32"/>
          <w:szCs w:val="32"/>
          <w:lang w:eastAsia="zh-CN"/>
        </w:rPr>
        <w:t>受部分项目经费增加和人员经费减少等多重因素影响，收支增减相抵后，总体收入增加了</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一般公共预算财政拨款本年收入298.97万元,比上年减少57.82万元，降低16.2%，主要原因是；本年支出298.97万元，比上年减少57.82万元，降低16.2%，主要原因是</w:t>
      </w:r>
      <w:r>
        <w:rPr>
          <w:rFonts w:hint="eastAsia" w:ascii="Times New Roman" w:eastAsia="仿宋_GB2312"/>
          <w:b w:val="0"/>
          <w:sz w:val="32"/>
          <w:szCs w:val="32"/>
          <w:lang w:eastAsia="zh-CN"/>
        </w:rPr>
        <w:t>项目和人员经费减少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政府性基金预算财政拨款本年收入124.63万元，比上年增加124.63万元，增长100.00%，主要原因是</w:t>
      </w:r>
      <w:r>
        <w:rPr>
          <w:rFonts w:hint="eastAsia" w:ascii="Times New Roman" w:eastAsia="仿宋_GB2312"/>
          <w:b w:val="0"/>
          <w:sz w:val="32"/>
          <w:szCs w:val="32"/>
          <w:lang w:eastAsia="zh-CN"/>
        </w:rPr>
        <w:t>全县统一增加了化债经费</w:t>
      </w:r>
      <w:r>
        <w:rPr>
          <w:rFonts w:ascii="Times New Roman" w:eastAsia="仿宋_GB2312"/>
          <w:b w:val="0"/>
          <w:sz w:val="32"/>
          <w:szCs w:val="32"/>
        </w:rPr>
        <w:t>；本年支出124.63万元，比上年增加124.63万元，增长100.00%，主要原因是</w:t>
      </w:r>
      <w:r>
        <w:rPr>
          <w:rFonts w:hint="eastAsia" w:ascii="Times New Roman" w:eastAsia="仿宋_GB2312"/>
          <w:b w:val="0"/>
          <w:sz w:val="32"/>
          <w:szCs w:val="32"/>
          <w:lang w:eastAsia="zh-CN"/>
        </w:rPr>
        <w:t>全县统一增加了化债经费</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万元，比上年增加0万元，增长0%，主要原因是；本年支出0万元，比上年增加0万元，增长0%，主要原因是</w:t>
      </w:r>
      <w:r>
        <w:rPr>
          <w:rFonts w:hint="eastAsia" w:ascii="仿宋_GB2312" w:hAnsi="Times New Roman" w:eastAsia="仿宋_GB2312" w:cs="DengXian-Regular"/>
          <w:sz w:val="32"/>
          <w:szCs w:val="32"/>
          <w:lang w:eastAsia="zh-CN"/>
        </w:rPr>
        <w:t>本部门不涉及国有资本</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2025年度财政拨款本年收入423.60万元，完成年初预算的146.5%，比年初预算增加134.55万元，决算数大于预算数主要原因是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；本年支出423.60万元，完成年初预算的124.2%，比年初预算增加82.67万元，决算数大于预算数主要原因</w:t>
      </w:r>
      <w:r>
        <w:rPr>
          <w:rFonts w:hint="eastAsia" w:ascii="Times New Roman" w:eastAsia="仿宋_GB2312"/>
          <w:b w:val="0"/>
          <w:sz w:val="32"/>
          <w:szCs w:val="32"/>
          <w:lang w:eastAsia="zh-CN"/>
        </w:rPr>
        <w:t>是县里统一安排了债务化解资金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一般公共预算财政拨款本年收入完成年初预算的103.4%，比年初预算增加9.92万元，主要原因是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；支出完成年初预算的87.7%，比年初预算减少41.96万元，主要原因是</w:t>
      </w:r>
      <w:r>
        <w:rPr>
          <w:rFonts w:hint="eastAsia" w:ascii="Times New Roman" w:eastAsia="仿宋_GB2312"/>
          <w:b w:val="0"/>
          <w:sz w:val="32"/>
          <w:szCs w:val="32"/>
          <w:lang w:eastAsia="zh-CN"/>
        </w:rPr>
        <w:t>财政资金紧张</w:t>
      </w:r>
      <w:r>
        <w:rPr>
          <w:rFonts w:hint="eastAsia" w:ascii="Times New Roman" w:hAnsi="Times New Roman" w:eastAsia="仿宋_GB2312" w:cs="Times New Roman"/>
          <w:color w:val="auto"/>
          <w:kern w:val="2"/>
          <w:sz w:val="32"/>
          <w:szCs w:val="32"/>
          <w:lang w:val="zh-CN" w:eastAsia="zh-CN" w:bidi="ar-SA"/>
        </w:rPr>
        <w:t>部分项目未按计划拨款</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政府性基金预算财政拨款本年收入完成年初预算的0%，比年初预算增加124.63万元，主要原因是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；支出完成年初预算的0%，比年初预算增加124.63万元，主要原因是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国有资本经营预算财政拨款本年收入完成年初预算的0%，比年初预算增加0万元，主要原因是</w:t>
      </w:r>
      <w:r>
        <w:rPr>
          <w:rFonts w:hint="eastAsia" w:ascii="仿宋_GB2312" w:hAnsi="Times New Roman" w:eastAsia="仿宋_GB2312" w:cs="DengXian-Regular"/>
          <w:sz w:val="32"/>
          <w:szCs w:val="32"/>
          <w:lang w:eastAsia="zh-CN"/>
        </w:rPr>
        <w:t>本部门不涉及国有资本</w:t>
      </w:r>
      <w:r>
        <w:rPr>
          <w:rFonts w:ascii="Times New Roman" w:eastAsia="仿宋_GB2312"/>
          <w:b w:val="0"/>
          <w:sz w:val="32"/>
          <w:szCs w:val="32"/>
        </w:rPr>
        <w:t>；支出完成年初预算的0%，比年初预算增加0万元，主要原因是</w:t>
      </w:r>
      <w:r>
        <w:rPr>
          <w:rFonts w:hint="eastAsia" w:ascii="仿宋_GB2312" w:hAnsi="Times New Roman" w:eastAsia="仿宋_GB2312" w:cs="DengXian-Regular"/>
          <w:sz w:val="32"/>
          <w:szCs w:val="32"/>
          <w:lang w:eastAsia="zh-CN"/>
        </w:rPr>
        <w:t>本部门不涉及国有资本</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2025年度财政拨款支出423.60万元，主要用于以下方面：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一般公共服务（类）支出262.12万元，占61.9%，主要用于</w:t>
      </w:r>
      <w:r>
        <w:rPr>
          <w:rFonts w:hint="eastAsia" w:ascii="Times New Roman" w:eastAsia="仿宋_GB2312"/>
          <w:b w:val="0"/>
          <w:sz w:val="32"/>
          <w:szCs w:val="32"/>
          <w:lang w:eastAsia="zh-CN"/>
        </w:rPr>
        <w:t>部分项目和人员经费</w:t>
      </w:r>
      <w:r>
        <w:rPr>
          <w:rFonts w:ascii="Times New Roman" w:eastAsia="仿宋_GB2312"/>
          <w:b w:val="0"/>
          <w:sz w:val="32"/>
          <w:szCs w:val="32"/>
        </w:rPr>
        <w:t>等支出；社会保障和就业 （类）支出28.24万元，占6.7%，主要用于</w:t>
      </w:r>
      <w:r>
        <w:rPr>
          <w:rFonts w:hint="eastAsia" w:ascii="Times New Roman" w:eastAsia="仿宋_GB2312"/>
          <w:b w:val="0"/>
          <w:sz w:val="32"/>
          <w:szCs w:val="32"/>
          <w:lang w:eastAsia="zh-CN"/>
        </w:rPr>
        <w:t>养老保险、年金</w:t>
      </w:r>
      <w:r>
        <w:rPr>
          <w:rFonts w:ascii="Times New Roman" w:eastAsia="仿宋_GB2312"/>
          <w:b w:val="0"/>
          <w:sz w:val="32"/>
          <w:szCs w:val="32"/>
        </w:rPr>
        <w:t>等支出；卫生健康（类）支出8.61万元，占2.0%，主要用于</w:t>
      </w:r>
      <w:r>
        <w:rPr>
          <w:rFonts w:hint="eastAsia" w:ascii="Times New Roman" w:eastAsia="仿宋_GB2312"/>
          <w:b w:val="0"/>
          <w:sz w:val="32"/>
          <w:szCs w:val="32"/>
          <w:lang w:eastAsia="zh-CN"/>
        </w:rPr>
        <w:t>医疗保险</w:t>
      </w:r>
      <w:r>
        <w:rPr>
          <w:rFonts w:ascii="Times New Roman" w:eastAsia="仿宋_GB2312"/>
          <w:b w:val="0"/>
          <w:sz w:val="32"/>
          <w:szCs w:val="32"/>
        </w:rPr>
        <w:t>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其他（类）支出124.63万元，占29.4%，主要用于</w:t>
      </w:r>
      <w:r>
        <w:rPr>
          <w:rFonts w:hint="eastAsia" w:ascii="Times New Roman" w:eastAsia="仿宋_GB2312"/>
          <w:b w:val="0"/>
          <w:sz w:val="32"/>
          <w:szCs w:val="32"/>
          <w:lang w:eastAsia="zh-CN"/>
        </w:rPr>
        <w:t>化解往年债务</w:t>
      </w:r>
      <w:r>
        <w:rPr>
          <w:rFonts w:ascii="Times New Roman" w:eastAsia="仿宋_GB2312"/>
          <w:b w:val="0"/>
          <w:sz w:val="32"/>
          <w:szCs w:val="32"/>
        </w:rPr>
        <w:t>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万元，占0%，主要用于等支出；外交（类）支出0万元，占0%，主要用于等支出；国防（类）支出0万元，占0%，主要用于等支出；公共安全（类）支出0万元，占0%，主要用于等支出；教育（类）支出0万元，占0%，主要用于等支出；科学技术（类）支出0万元，占0%，主要用于等支出；文化旅游体育与传媒（类）支出0万元，占0%，主要用于等支出；社会保障和就业 （类）支出0万元，占0%，主要用于等支出；卫生健康（类）支出0.00万元，占0%，主要用于等支出；节能环保（类）支出0万元，占0%，主要用于等支出；城乡社区（类）支出0万元，占0%，主要用于等支出；农林水（类）支出0万元，占0%，主要用于等支出；交通运输（类）支出0万元，占0%，主要用于等支出；资源勘探信息等（类）支出0万元，占0%，主要用于等支出；商业服务业等（类）支出0万元，占0%，主要用于等支出；金融（类）支出0万元，占0%，主要用于等支出；援助其他地区（类）支出0万元，占0%，主要用于等支出；自然资源海洋气象等（类）支出0万元，占0%，主要用于等支出；住房保障（类）支出0万元，占0%，主要用于等支出；粮油物资储备（类）支出0万元，占0%，主要用于等支出；国有资本经营预算支出0.00万元，占0.0%，主要用于等支出；害防治及应急管理（类）支出0万元，占0%，主要用于等支出；其他（类）支出0万元，占0%，主要用于等支出；债务还本（类）支出0万元，占0%，主要用于等支出；债务付息（类）支出0万元，占0%，主要用于等支出；抗疫特别国债安排的支出0万元，占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2025年度财政拨款基本支出219.07万元，其中：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人员经费167.34万元，主要包括基本工资、津贴补贴、奖金、伙食补助费、绩效工资、机关事业</w:t>
      </w:r>
      <w:r>
        <w:rPr>
          <w:rFonts w:hint="eastAsia" w:ascii="Times New Roman" w:eastAsia="仿宋_GB2312"/>
          <w:b w:val="0"/>
          <w:sz w:val="32"/>
          <w:szCs w:val="32"/>
          <w:lang w:eastAsia="zh-CN"/>
        </w:rPr>
        <w:t>部门</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51.73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2025年度“三公”经费财政拨款支出预算为3.00万元，支出决算为3.00万元，完成预算的100.0%，较预算增加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万元，增长0%，主要原因是；较2024年度决算增加0.26万元，增长9.5%，主要原因是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2025年度因公出国（境）费支出预算为0万元,支出决算0万元。完成预算的0%。因公出国（境）费支出较预算增加0万元，增长0%,主要原因是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因公出国（境）费支出；较上年增加0万元，增长0%,主要原因是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因公出国（境）费支出。因公出国（境）团组0个、共0人、参加其他</w:t>
      </w:r>
      <w:r>
        <w:rPr>
          <w:rFonts w:hint="eastAsia" w:ascii="Times New Roman" w:eastAsia="仿宋_GB2312"/>
          <w:b w:val="0"/>
          <w:sz w:val="32"/>
          <w:szCs w:val="32"/>
          <w:lang w:eastAsia="zh-CN"/>
        </w:rPr>
        <w:t>部门</w:t>
      </w:r>
      <w:r>
        <w:rPr>
          <w:rFonts w:ascii="Times New Roman" w:eastAsia="仿宋_GB2312"/>
          <w:b w:val="0"/>
          <w:sz w:val="32"/>
          <w:szCs w:val="32"/>
        </w:rPr>
        <w:t>组织的因公出国（境）团组个、共人/无本</w:t>
      </w:r>
      <w:r>
        <w:rPr>
          <w:rFonts w:hint="eastAsia" w:ascii="Times New Roman" w:eastAsia="仿宋_GB2312"/>
          <w:b w:val="0"/>
          <w:sz w:val="32"/>
          <w:szCs w:val="32"/>
          <w:lang w:eastAsia="zh-CN"/>
        </w:rPr>
        <w:t>部门</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2025年度公务用车购置及运行维护费预算为3.00万元，支出决算3.00万元，完成预算的100.0%,较预算增加0万元，增长0%,主要原因是；较上年增加0.26万元，增长9.5%,主要原因是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2025年度公务用车购置量0辆，发生“公务用车购置”经费支出</w:t>
      </w:r>
      <w:r>
        <w:rPr>
          <w:rFonts w:hint="eastAsia" w:ascii="Times New Roman" w:eastAsia="仿宋_GB2312"/>
          <w:b w:val="0"/>
          <w:sz w:val="32"/>
          <w:szCs w:val="32"/>
          <w:lang w:val="en-US" w:eastAsia="zh-CN"/>
        </w:rPr>
        <w:t>0</w:t>
      </w:r>
      <w:r>
        <w:rPr>
          <w:rFonts w:ascii="Times New Roman" w:eastAsia="仿宋_GB2312"/>
          <w:b w:val="0"/>
          <w:sz w:val="32"/>
          <w:szCs w:val="32"/>
        </w:rPr>
        <w:t>万元。公务用车购置费支出较预算增加0万元，增长0%,主要原因是</w:t>
      </w:r>
      <w:r>
        <w:rPr>
          <w:rFonts w:hint="eastAsia" w:ascii="Times New Roman" w:eastAsia="仿宋_GB2312"/>
          <w:b w:val="0"/>
          <w:sz w:val="32"/>
          <w:szCs w:val="32"/>
          <w:lang w:eastAsia="zh-CN"/>
        </w:rPr>
        <w:t>本部门未购置新车辆</w:t>
      </w:r>
      <w:r>
        <w:rPr>
          <w:rFonts w:ascii="Times New Roman" w:eastAsia="仿宋_GB2312"/>
          <w:b w:val="0"/>
          <w:sz w:val="32"/>
          <w:szCs w:val="32"/>
        </w:rPr>
        <w:t>；较上年增加0万元，增长0%,主要原因是</w:t>
      </w:r>
      <w:r>
        <w:rPr>
          <w:rFonts w:hint="eastAsia" w:ascii="Times New Roman" w:eastAsia="仿宋_GB2312"/>
          <w:b w:val="0"/>
          <w:sz w:val="32"/>
          <w:szCs w:val="32"/>
          <w:lang w:eastAsia="zh-CN"/>
        </w:rPr>
        <w:t>本部门未购置新车辆</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公务用车运行维护费支出3.00万元：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w:t>
      </w:r>
      <w:r>
        <w:rPr>
          <w:rFonts w:hint="eastAsia" w:ascii="Times New Roman" w:eastAsia="仿宋_GB2312"/>
          <w:b w:val="0"/>
          <w:sz w:val="32"/>
          <w:szCs w:val="32"/>
          <w:lang w:eastAsia="zh-CN"/>
        </w:rPr>
        <w:t>部门</w:t>
      </w:r>
      <w:r>
        <w:rPr>
          <w:rFonts w:ascii="Times New Roman" w:eastAsia="仿宋_GB2312"/>
          <w:b w:val="0"/>
          <w:sz w:val="32"/>
          <w:szCs w:val="32"/>
        </w:rPr>
        <w:t>公务用车保有量1辆，发生运行维护费支出3.00万元。公车运行维护费支出较预算增加0万元，增长0%,主要原因是</w:t>
      </w:r>
      <w:r>
        <w:rPr>
          <w:rFonts w:hint="eastAsia" w:ascii="Times New Roman" w:eastAsia="仿宋_GB2312"/>
          <w:b w:val="0"/>
          <w:sz w:val="32"/>
          <w:szCs w:val="32"/>
          <w:lang w:eastAsia="zh-CN"/>
        </w:rPr>
        <w:t>按需开支</w:t>
      </w:r>
      <w:r>
        <w:rPr>
          <w:rFonts w:ascii="Times New Roman" w:eastAsia="仿宋_GB2312"/>
          <w:b w:val="0"/>
          <w:sz w:val="32"/>
          <w:szCs w:val="32"/>
        </w:rPr>
        <w:t>；较上年增加0.26万元，增长9.5%，主要原因是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年度公务接待费支出预算为0万元，支出决算0.00万元，完成预算的0.0%。公务接待费支出较预算增加0万元，增长0%,主要原因是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公务接待费；较上年度增加0万元，增长0%,主要原因是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公务接待费。本年度共发生公务接待0批次、0人次。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2025年度机关运行经费支出51.73万元，较2024年度减少103.86万元，降低66.8%。主要原因是</w:t>
      </w:r>
      <w:r>
        <w:rPr>
          <w:rFonts w:hint="eastAsia" w:ascii="Times New Roman" w:eastAsia="仿宋_GB2312"/>
          <w:b w:val="0"/>
          <w:sz w:val="32"/>
          <w:szCs w:val="32"/>
          <w:lang w:eastAsia="zh-CN"/>
        </w:rPr>
        <w:t>厉行节俭，按需开支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共有车辆1辆，比上年增加0辆，主要是</w:t>
      </w:r>
      <w:r>
        <w:rPr>
          <w:rFonts w:hint="eastAsia" w:ascii="Times New Roman" w:eastAsia="仿宋_GB2312"/>
          <w:b w:val="0"/>
          <w:sz w:val="32"/>
          <w:szCs w:val="32"/>
          <w:lang w:eastAsia="zh-CN"/>
        </w:rPr>
        <w:t>本部门未购置新车辆</w:t>
      </w:r>
      <w:r>
        <w:rPr>
          <w:rFonts w:ascii="Times New Roman" w:eastAsia="仿宋_GB2312"/>
          <w:b w:val="0"/>
          <w:sz w:val="32"/>
          <w:szCs w:val="32"/>
        </w:rPr>
        <w:t>。其中，副部（省）级及以上领导用车0辆，主要负责人用车0辆，机要通信用车0辆，应急保障用车1辆，执法执勤用车0辆，特种专业技术用车0辆，离退休干部用车0辆，其他用车0辆，其他用车主要是。</w:t>
      </w:r>
      <w:r>
        <w:rPr>
          <w:rFonts w:hint="eastAsia" w:ascii="Times New Roman" w:eastAsia="仿宋_GB2312"/>
          <w:b w:val="0"/>
          <w:sz w:val="32"/>
          <w:szCs w:val="32"/>
          <w:lang w:eastAsia="zh-CN"/>
        </w:rPr>
        <w:t>部门</w:t>
      </w:r>
      <w:r>
        <w:rPr>
          <w:rFonts w:ascii="Times New Roman" w:eastAsia="仿宋_GB2312"/>
          <w:b w:val="0"/>
          <w:sz w:val="32"/>
          <w:szCs w:val="32"/>
        </w:rPr>
        <w:t>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204.53</w:t>
      </w:r>
      <w:r>
        <w:rPr>
          <w:rFonts w:ascii="Times New Roman" w:eastAsia="仿宋_GB2312"/>
          <w:b w:val="0"/>
          <w:sz w:val="32"/>
          <w:szCs w:val="32"/>
        </w:rPr>
        <w:t>元。其中，一般公共预算项目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eastAsia" w:ascii="Times New Roman" w:eastAsia="仿宋_GB2312"/>
          <w:b w:val="0"/>
          <w:sz w:val="32"/>
          <w:szCs w:val="32"/>
          <w:lang w:val="en-US" w:eastAsia="zh-CN"/>
        </w:rPr>
        <w:t>79.9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124.63</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1</w:t>
      </w:r>
      <w:r>
        <w:rPr>
          <w:rFonts w:ascii="Times New Roman" w:eastAsia="仿宋_GB2312"/>
          <w:b w:val="0"/>
          <w:sz w:val="32"/>
          <w:szCs w:val="32"/>
        </w:rPr>
        <w:t>个项目开展了</w:t>
      </w:r>
      <w:r>
        <w:rPr>
          <w:rFonts w:hint="eastAsia" w:ascii="Times New Roman" w:eastAsia="仿宋_GB2312"/>
          <w:b w:val="0"/>
          <w:sz w:val="32"/>
          <w:szCs w:val="32"/>
          <w:lang w:eastAsia="zh-CN"/>
        </w:rPr>
        <w:t>部门</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28</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支出良好</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部门</w:t>
      </w:r>
      <w:r>
        <w:rPr>
          <w:rFonts w:ascii="Times New Roman" w:eastAsia="仿宋_GB2312"/>
          <w:b/>
          <w:sz w:val="32"/>
          <w:szCs w:val="32"/>
        </w:rPr>
        <w:t>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在今年</w:t>
      </w:r>
      <w:r>
        <w:rPr>
          <w:rFonts w:hint="eastAsia" w:ascii="Times New Roman" w:eastAsia="仿宋_GB2312"/>
          <w:b w:val="0"/>
          <w:sz w:val="32"/>
          <w:szCs w:val="32"/>
          <w:lang w:eastAsia="zh-CN"/>
        </w:rPr>
        <w:t>部门</w:t>
      </w:r>
      <w:r>
        <w:rPr>
          <w:rFonts w:ascii="Times New Roman" w:eastAsia="仿宋_GB2312"/>
          <w:b w:val="0"/>
          <w:sz w:val="32"/>
          <w:szCs w:val="32"/>
        </w:rPr>
        <w:t>决算公开中反映</w:t>
      </w:r>
      <w:r>
        <w:rPr>
          <w:rFonts w:hint="eastAsia" w:ascii="Times New Roman" w:eastAsia="仿宋_GB2312"/>
          <w:b w:val="0"/>
          <w:sz w:val="32"/>
          <w:szCs w:val="32"/>
        </w:rPr>
        <w:t>电视台、报业合作经费</w:t>
      </w:r>
      <w:r>
        <w:rPr>
          <w:rFonts w:hint="eastAsia" w:ascii="Times New Roman" w:eastAsia="仿宋_GB2312"/>
          <w:b w:val="0"/>
          <w:sz w:val="32"/>
          <w:szCs w:val="32"/>
          <w:lang w:eastAsia="zh-CN"/>
        </w:rPr>
        <w:t>、对外宣传报道、《冀有好物》-无极、2025年软件正版化金山、无极县拖欠工程款置换项目、无极县630货物类、服务类拖欠账款</w:t>
      </w:r>
      <w:r>
        <w:rPr>
          <w:rFonts w:ascii="Times New Roman" w:eastAsia="仿宋_GB2312"/>
          <w:b w:val="0"/>
          <w:sz w:val="32"/>
          <w:szCs w:val="32"/>
        </w:rPr>
        <w:t>等</w:t>
      </w:r>
      <w:r>
        <w:rPr>
          <w:rFonts w:hint="eastAsia" w:ascii="Times New Roman" w:eastAsia="仿宋_GB2312"/>
          <w:b w:val="0"/>
          <w:sz w:val="32"/>
          <w:szCs w:val="32"/>
          <w:lang w:val="en-US" w:eastAsia="zh-CN"/>
        </w:rPr>
        <w:t>5</w:t>
      </w:r>
      <w:r>
        <w:rPr>
          <w:rFonts w:ascii="Times New Roman" w:eastAsia="仿宋_GB2312"/>
          <w:b w:val="0"/>
          <w:sz w:val="32"/>
          <w:szCs w:val="32"/>
        </w:rPr>
        <w:t>个项目绩效自评结果。</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2"/>
          <w:sz w:val="32"/>
          <w:szCs w:val="32"/>
          <w:lang w:val="zh-CN" w:eastAsia="zh-CN" w:bidi="ar-SA"/>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分。全年预算数为</w:t>
      </w:r>
      <w:r>
        <w:rPr>
          <w:rFonts w:hint="eastAsia" w:ascii="Times New Roman" w:eastAsia="仿宋_GB2312"/>
          <w:b w:val="0"/>
          <w:sz w:val="32"/>
          <w:szCs w:val="32"/>
          <w:lang w:val="en-US" w:eastAsia="zh-CN"/>
        </w:rPr>
        <w:t>204.53</w:t>
      </w:r>
      <w:r>
        <w:rPr>
          <w:rFonts w:ascii="Times New Roman" w:eastAsia="仿宋_GB2312"/>
          <w:b w:val="0"/>
          <w:sz w:val="32"/>
          <w:szCs w:val="32"/>
        </w:rPr>
        <w:t>万元，执行数为</w:t>
      </w:r>
      <w:r>
        <w:rPr>
          <w:rFonts w:hint="eastAsia" w:ascii="Times New Roman" w:eastAsia="仿宋_GB2312"/>
          <w:b w:val="0"/>
          <w:sz w:val="32"/>
          <w:szCs w:val="32"/>
          <w:lang w:val="en-US" w:eastAsia="zh-CN"/>
        </w:rPr>
        <w:t>204.53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default" w:ascii="Times New Roman" w:hAnsi="Times New Roman" w:eastAsia="仿宋_GB2312" w:cs="Times New Roman"/>
          <w:color w:val="auto"/>
          <w:kern w:val="2"/>
          <w:sz w:val="32"/>
          <w:szCs w:val="32"/>
          <w:lang w:val="zh-CN" w:eastAsia="zh-CN" w:bidi="ar-SA"/>
        </w:rPr>
        <w:t>项目绩效目标完成情况：一是</w:t>
      </w:r>
      <w:r>
        <w:rPr>
          <w:rFonts w:hint="eastAsia" w:ascii="仿宋" w:hAnsi="仿宋" w:eastAsia="仿宋"/>
          <w:sz w:val="32"/>
          <w:szCs w:val="32"/>
          <w:lang w:val="en-US" w:eastAsia="zh-CN"/>
        </w:rPr>
        <w:t>明确绩效评价的内容和范围。确定四个方面的评价内容和此次绩效评价的范围</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sz w:val="32"/>
          <w:szCs w:val="32"/>
          <w:lang w:val="en-US" w:eastAsia="zh-CN"/>
        </w:rPr>
        <w:t>为进一步弘扬社会主义核心价值观，更好展示城乡经济社会发展风貌，做好宣传工作</w:t>
      </w:r>
      <w:r>
        <w:rPr>
          <w:rFonts w:hint="default" w:ascii="Times New Roman" w:hAnsi="Times New Roman" w:eastAsia="仿宋_GB2312" w:cs="Times New Roman"/>
          <w:color w:val="auto"/>
          <w:kern w:val="2"/>
          <w:sz w:val="32"/>
          <w:szCs w:val="32"/>
          <w:lang w:val="zh-CN" w:eastAsia="zh-CN" w:bidi="ar-SA"/>
        </w:rPr>
        <w:t>。发现的主要问题及原因是：一是</w:t>
      </w:r>
      <w:r>
        <w:rPr>
          <w:rFonts w:hint="eastAsia" w:ascii="仿宋" w:hAnsi="仿宋" w:eastAsia="仿宋" w:cs="仿宋"/>
          <w:sz w:val="32"/>
          <w:szCs w:val="32"/>
          <w:lang w:val="en-US" w:eastAsia="zh-CN"/>
        </w:rPr>
        <w:t>项目规划设计精细度略有不足</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cs="仿宋"/>
          <w:sz w:val="32"/>
          <w:szCs w:val="32"/>
          <w:lang w:val="en-US" w:eastAsia="zh-CN"/>
        </w:rPr>
        <w:t>项目前期工作细度不够</w:t>
      </w:r>
      <w:r>
        <w:rPr>
          <w:rFonts w:hint="default" w:ascii="Times New Roman" w:hAnsi="Times New Roman" w:eastAsia="仿宋_GB2312" w:cs="Times New Roman"/>
          <w:color w:val="auto"/>
          <w:kern w:val="2"/>
          <w:sz w:val="32"/>
          <w:szCs w:val="32"/>
          <w:lang w:val="zh-CN" w:eastAsia="zh-CN" w:bidi="ar-SA"/>
        </w:rPr>
        <w:t>。下一步改进措施：一是</w:t>
      </w:r>
      <w:r>
        <w:rPr>
          <w:rFonts w:hint="eastAsia" w:ascii="仿宋" w:hAnsi="仿宋" w:eastAsia="仿宋" w:cs="仿宋"/>
          <w:sz w:val="32"/>
          <w:szCs w:val="32"/>
        </w:rPr>
        <w:t>制定完善了预算绩效管理制度、资金管理办法、工作保障制度等，为全年预算绩效目标的实现奠定制度基础</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cs="仿宋"/>
          <w:sz w:val="32"/>
          <w:szCs w:val="32"/>
        </w:rPr>
        <w:t>加强内部监督制度建设，对绩效运行情况、重大支出决策、对外投资、资产处置及其他重要经济业务事项的决策和执行进行督导</w:t>
      </w:r>
      <w:r>
        <w:rPr>
          <w:rFonts w:hint="default" w:ascii="Times New Roman" w:hAnsi="Times New Roman" w:eastAsia="仿宋_GB2312" w:cs="Times New Roman"/>
          <w:color w:val="auto"/>
          <w:kern w:val="2"/>
          <w:sz w:val="32"/>
          <w:szCs w:val="32"/>
          <w:lang w:val="zh-CN" w:eastAsia="zh-CN" w:bidi="ar-SA"/>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部门</w:t>
      </w:r>
      <w:r>
        <w:rPr>
          <w:rFonts w:ascii="Times New Roman" w:eastAsia="仿宋_GB2312"/>
          <w:b/>
          <w:sz w:val="32"/>
          <w:szCs w:val="32"/>
        </w:rPr>
        <w:t>评价项目绩效评价结果（如有）</w:t>
      </w:r>
    </w:p>
    <w:tbl>
      <w:tblPr>
        <w:tblStyle w:val="11"/>
        <w:tblW w:w="10860" w:type="dxa"/>
        <w:tblInd w:w="-7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313"/>
        <w:gridCol w:w="1332"/>
        <w:gridCol w:w="855"/>
        <w:gridCol w:w="1145"/>
        <w:gridCol w:w="1705"/>
        <w:gridCol w:w="1155"/>
        <w:gridCol w:w="1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086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086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6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313"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4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70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9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7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《冀有好物》-无极</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实施(主管）部门</w:t>
            </w:r>
          </w:p>
        </w:tc>
        <w:tc>
          <w:tcPr>
            <w:tcW w:w="4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无极县委宣传部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3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16"/>
                <w:szCs w:val="16"/>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40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促进对外宣传报道</w:t>
            </w:r>
          </w:p>
        </w:tc>
        <w:tc>
          <w:tcPr>
            <w:tcW w:w="40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促进对外宣传报道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76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33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完成率</w:t>
            </w:r>
          </w:p>
        </w:tc>
        <w:tc>
          <w:tcPr>
            <w:tcW w:w="170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c>
          <w:tcPr>
            <w:tcW w:w="11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成本控制率(%)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70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11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经济效益提升%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社会效益提升%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生态效益提升值%</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97%</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可持续性</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5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trPr>
        <w:tc>
          <w:tcPr>
            <w:tcW w:w="76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100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从同级财政</w:t>
      </w:r>
      <w:r>
        <w:rPr>
          <w:rFonts w:hint="eastAsia" w:ascii="Times New Roman" w:eastAsia="仿宋_GB2312"/>
          <w:b w:val="0"/>
          <w:sz w:val="32"/>
          <w:szCs w:val="32"/>
          <w:lang w:eastAsia="zh-CN"/>
        </w:rPr>
        <w:t>部门</w:t>
      </w:r>
      <w:r>
        <w:rPr>
          <w:rFonts w:ascii="Times New Roman" w:eastAsia="仿宋_GB2312"/>
          <w:b w:val="0"/>
          <w:sz w:val="32"/>
          <w:szCs w:val="32"/>
        </w:rPr>
        <w:t>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取得的除上述收入以外的各项收入。主要是事业</w:t>
      </w:r>
      <w:r>
        <w:rPr>
          <w:rFonts w:hint="eastAsia" w:ascii="Times New Roman" w:eastAsia="仿宋_GB2312"/>
          <w:b w:val="0"/>
          <w:sz w:val="32"/>
          <w:szCs w:val="32"/>
          <w:lang w:eastAsia="zh-CN"/>
        </w:rPr>
        <w:t>部门</w:t>
      </w:r>
      <w:r>
        <w:rPr>
          <w:rFonts w:ascii="Times New Roman" w:eastAsia="仿宋_GB2312"/>
          <w:b w:val="0"/>
          <w:sz w:val="32"/>
          <w:szCs w:val="32"/>
        </w:rPr>
        <w:t>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部门</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部门</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用财政拨款安排的因公出国（境）费、公务用车购置及运行费和公务接待费。其中，因公出国（境）费反映</w:t>
      </w:r>
      <w:r>
        <w:rPr>
          <w:rFonts w:hint="eastAsia" w:ascii="Times New Roman" w:eastAsia="仿宋_GB2312"/>
          <w:b w:val="0"/>
          <w:sz w:val="32"/>
          <w:szCs w:val="32"/>
          <w:lang w:eastAsia="zh-CN"/>
        </w:rPr>
        <w:t>部门</w:t>
      </w:r>
      <w:r>
        <w:rPr>
          <w:rFonts w:ascii="Times New Roman" w:eastAsia="仿宋_GB2312"/>
          <w:b w:val="0"/>
          <w:sz w:val="32"/>
          <w:szCs w:val="32"/>
        </w:rPr>
        <w:t>公务出国（境）的国际旅费、国外城市间交通费、住宿费、伙食费、培训费、公杂费等支出；公务用车购置及运行费反映</w:t>
      </w:r>
      <w:r>
        <w:rPr>
          <w:rFonts w:hint="eastAsia" w:ascii="Times New Roman" w:eastAsia="仿宋_GB2312"/>
          <w:b w:val="0"/>
          <w:sz w:val="32"/>
          <w:szCs w:val="32"/>
          <w:lang w:eastAsia="zh-CN"/>
        </w:rPr>
        <w:t>部门</w:t>
      </w:r>
      <w:r>
        <w:rPr>
          <w:rFonts w:ascii="Times New Roman" w:eastAsia="仿宋_GB2312"/>
          <w:b w:val="0"/>
          <w:sz w:val="32"/>
          <w:szCs w:val="32"/>
        </w:rPr>
        <w:t>公务用车购置支出（含车辆购置税、牌照费）及按规定保留的公务用车燃料费、维修费、过桥过路费、保险费、安全奖励费用等支出；公务接待费反映</w:t>
      </w:r>
      <w:r>
        <w:rPr>
          <w:rFonts w:hint="eastAsia" w:ascii="Times New Roman" w:eastAsia="仿宋_GB2312"/>
          <w:b w:val="0"/>
          <w:sz w:val="32"/>
          <w:szCs w:val="32"/>
          <w:lang w:eastAsia="zh-CN"/>
        </w:rPr>
        <w:t>部门</w:t>
      </w:r>
      <w:r>
        <w:rPr>
          <w:rFonts w:ascii="Times New Roman" w:eastAsia="仿宋_GB2312"/>
          <w:b w:val="0"/>
          <w:sz w:val="32"/>
          <w:szCs w:val="32"/>
        </w:rPr>
        <w:t>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w:t>
      </w:r>
      <w:r>
        <w:rPr>
          <w:rFonts w:hint="eastAsia" w:ascii="Times New Roman" w:eastAsia="仿宋_GB2312"/>
          <w:b w:val="0"/>
          <w:sz w:val="32"/>
          <w:szCs w:val="32"/>
          <w:lang w:eastAsia="zh-CN"/>
        </w:rPr>
        <w:t>部门</w:t>
      </w:r>
      <w:r>
        <w:rPr>
          <w:rFonts w:ascii="Times New Roman" w:eastAsia="仿宋_GB2312"/>
          <w:b w:val="0"/>
          <w:sz w:val="32"/>
          <w:szCs w:val="32"/>
        </w:rPr>
        <w:t>（包括参照公务员法管理的事业</w:t>
      </w:r>
      <w:r>
        <w:rPr>
          <w:rFonts w:hint="eastAsia" w:ascii="Times New Roman" w:eastAsia="仿宋_GB2312"/>
          <w:b w:val="0"/>
          <w:sz w:val="32"/>
          <w:szCs w:val="32"/>
          <w:lang w:eastAsia="zh-CN"/>
        </w:rPr>
        <w:t>部门</w:t>
      </w:r>
      <w:r>
        <w:rPr>
          <w:rFonts w:ascii="Times New Roman" w:eastAsia="仿宋_GB2312"/>
          <w:b w:val="0"/>
          <w:sz w:val="32"/>
          <w:szCs w:val="32"/>
        </w:rPr>
        <w:t>）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3038955-E720-44A7-927E-309386B692D6}"/>
  </w:font>
  <w:font w:name="黑体">
    <w:panose1 w:val="02010609060101010101"/>
    <w:charset w:val="86"/>
    <w:family w:val="auto"/>
    <w:pitch w:val="default"/>
    <w:sig w:usb0="800002BF" w:usb1="38CF7CFA" w:usb2="00000016" w:usb3="00000000" w:csb0="00040001" w:csb1="00000000"/>
    <w:embedRegular r:id="rId2" w:fontKey="{C44D8DCA-86D7-4A06-961E-EC785BE31BC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D4CA26CE-9B12-4F81-9FCB-5C8F6C5B186B}"/>
  </w:font>
  <w:font w:name="仿宋">
    <w:panose1 w:val="02010609060101010101"/>
    <w:charset w:val="86"/>
    <w:family w:val="modern"/>
    <w:pitch w:val="default"/>
    <w:sig w:usb0="800002BF" w:usb1="38CF7CFA" w:usb2="00000016" w:usb3="00000000" w:csb0="00040001" w:csb1="00000000"/>
    <w:embedRegular r:id="rId4" w:fontKey="{2342F8F1-4DAA-4878-81FB-D72D361C2B55}"/>
  </w:font>
  <w:font w:name="Calibri Light">
    <w:altName w:val="Calibri"/>
    <w:panose1 w:val="020F0302020204030204"/>
    <w:charset w:val="00"/>
    <w:family w:val="auto"/>
    <w:pitch w:val="default"/>
    <w:sig w:usb0="00000000" w:usb1="00000000"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ABC2C303-9A9B-4E57-A1F7-967A71280E94}"/>
  </w:font>
  <w:font w:name="楷体_GB2312">
    <w:panose1 w:val="02010609030101010101"/>
    <w:charset w:val="86"/>
    <w:family w:val="auto"/>
    <w:pitch w:val="default"/>
    <w:sig w:usb0="00000001" w:usb1="080E0000" w:usb2="00000000" w:usb3="00000000" w:csb0="00040000" w:csb1="00000000"/>
    <w:embedRegular r:id="rId6" w:fontKey="{82AA4C83-5026-4971-BF3A-57E4A33E93A1}"/>
  </w:font>
  <w:font w:name="微软雅黑">
    <w:panose1 w:val="020B0503020204020204"/>
    <w:charset w:val="86"/>
    <w:family w:val="auto"/>
    <w:pitch w:val="default"/>
    <w:sig w:usb0="80000287" w:usb1="280F3C52" w:usb2="00000016" w:usb3="00000000" w:csb0="0004001F" w:csb1="00000000"/>
    <w:embedRegular r:id="rId7" w:fontKey="{EDC1FCA0-DC2F-4A7C-B161-90B5588552C2}"/>
  </w:font>
  <w:font w:name="方正小标宋_GBK">
    <w:panose1 w:val="02000000000000000000"/>
    <w:charset w:val="86"/>
    <w:family w:val="script"/>
    <w:pitch w:val="default"/>
    <w:sig w:usb0="A00002BF" w:usb1="38CF7CFA" w:usb2="00082016" w:usb3="00000000" w:csb0="00040001" w:csb1="00000000"/>
    <w:embedRegular r:id="rId8" w:fontKey="{A49FE634-313D-4F12-9595-B5D46755007B}"/>
  </w:font>
  <w:font w:name="仿宋_GB2312">
    <w:panose1 w:val="02010609030101010101"/>
    <w:charset w:val="86"/>
    <w:family w:val="auto"/>
    <w:pitch w:val="default"/>
    <w:sig w:usb0="00000001" w:usb1="080E0000" w:usb2="00000000" w:usb3="00000000" w:csb0="00040000" w:csb1="00000000"/>
    <w:embedRegular r:id="rId9" w:fontKey="{14DE290F-B1F9-4D72-A365-4CE70BE8E071}"/>
  </w:font>
  <w:font w:name="ArialUnicodeMS">
    <w:altName w:val="Malgun Gothic"/>
    <w:panose1 w:val="00000000000000000000"/>
    <w:charset w:val="81"/>
    <w:family w:val="auto"/>
    <w:pitch w:val="default"/>
    <w:sig w:usb0="00000000" w:usb1="00000000" w:usb2="00000010" w:usb3="00000000" w:csb0="00080001" w:csb1="00000000"/>
    <w:embedRegular r:id="rId10" w:fontKey="{E441F423-5A8F-425B-ACE2-85F981A1C2C5}"/>
  </w:font>
  <w:font w:name="DengXian-Regular">
    <w:altName w:val="宋体"/>
    <w:panose1 w:val="00000000000000000000"/>
    <w:charset w:val="86"/>
    <w:family w:val="auto"/>
    <w:pitch w:val="default"/>
    <w:sig w:usb0="00000000" w:usb1="00000000" w:usb2="00000010" w:usb3="00000000" w:csb0="00040001" w:csb1="00000000"/>
    <w:embedRegular r:id="rId11" w:fontKey="{9AC4C80B-3420-4894-9DEA-ED36C66C2B82}"/>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5F47F4E"/>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F85399"/>
    <w:rsid w:val="0F0E7284"/>
    <w:rsid w:val="0F28110F"/>
    <w:rsid w:val="0F37083F"/>
    <w:rsid w:val="0F4351D1"/>
    <w:rsid w:val="0F7470AF"/>
    <w:rsid w:val="0F8751F8"/>
    <w:rsid w:val="0F891DB8"/>
    <w:rsid w:val="0F8D3287"/>
    <w:rsid w:val="0FAA3B86"/>
    <w:rsid w:val="10191346"/>
    <w:rsid w:val="102A01A6"/>
    <w:rsid w:val="105A290D"/>
    <w:rsid w:val="10677722"/>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E55A1C"/>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2534F"/>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423.6</c:v>
                </c:pt>
                <c:pt idx="1">
                  <c:v>356.79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4236041.01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2190741.01</c:v>
                </c:pt>
                <c:pt idx="1">
                  <c:v>2045300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356.79</c:v>
                </c:pt>
                <c:pt idx="1">
                  <c:v>356.79</c:v>
                </c:pt>
                <c:pt idx="2">
                  <c:v>356.79</c:v>
                </c:pt>
                <c:pt idx="3">
                  <c:v>356.79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423.6</c:v>
                </c:pt>
                <c:pt idx="1">
                  <c:v>423.6</c:v>
                </c:pt>
                <c:pt idx="2">
                  <c:v>298.97</c:v>
                </c:pt>
                <c:pt idx="3">
                  <c:v>298.97</c:v>
                </c:pt>
                <c:pt idx="4">
                  <c:v>124.63</c:v>
                </c:pt>
                <c:pt idx="5">
                  <c:v>124.63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289.05</c:v>
                </c:pt>
                <c:pt idx="1">
                  <c:v>340.93</c:v>
                </c:pt>
                <c:pt idx="2">
                  <c:v>289.05</c:v>
                </c:pt>
                <c:pt idx="3">
                  <c:v>340.93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423.6</c:v>
                </c:pt>
                <c:pt idx="1">
                  <c:v>423.6</c:v>
                </c:pt>
                <c:pt idx="2">
                  <c:v>298.97</c:v>
                </c:pt>
                <c:pt idx="3">
                  <c:v>298.97</c:v>
                </c:pt>
                <c:pt idx="4">
                  <c:v>124.63</c:v>
                </c:pt>
                <c:pt idx="5">
                  <c:v>124.63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28</TotalTime>
  <ScaleCrop>false</ScaleCrop>
  <LinksUpToDate>false</LinksUpToDate>
  <CharactersWithSpaces>6550</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2026-09-22T01:45:57Z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8473A387E04B46DE8EA1F1B385F6B84B</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