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A00" w:rsidRDefault="00B456B2">
      <w:pPr>
        <w:jc w:val="center"/>
        <w:rPr>
          <w:rFonts w:ascii="楷体_GB2312" w:eastAsia="楷体_GB2312" w:hAnsi="楷体_GB2312" w:cs="楷体_GB2312"/>
          <w:b/>
          <w:bCs/>
          <w:color w:val="0D0D0D" w:themeColor="text1" w:themeTint="F2"/>
          <w:kern w:val="2"/>
          <w:sz w:val="48"/>
          <w:szCs w:val="56"/>
        </w:rPr>
      </w:pPr>
      <w:r>
        <w:rPr>
          <w:rFonts w:hint="eastAsia"/>
          <w:noProof/>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8"/>
                    <a:srcRect/>
                    <a:stretch>
                      <a:fillRect/>
                    </a:stretch>
                  </pic:blipFill>
                  <pic:spPr>
                    <a:xfrm>
                      <a:off x="0" y="0"/>
                      <a:ext cx="7569835" cy="10692130"/>
                    </a:xfrm>
                    <a:prstGeom prst="rect">
                      <a:avLst/>
                    </a:prstGeom>
                  </pic:spPr>
                </pic:pic>
              </a:graphicData>
            </a:graphic>
          </wp:anchor>
        </w:drawing>
      </w:r>
      <w:r w:rsidR="00314A00" w:rsidRPr="00314A00">
        <w:pict>
          <v:shapetype id="_x0000_t202" coordsize="21600,21600" o:spt="202" path="m,l,21600r21600,l21600,xe">
            <v:stroke joinstyle="miter"/>
            <v:path gradientshapeok="t" o:connecttype="rect"/>
          </v:shapetype>
          <v:shape id="_x0000_s1026" type="#_x0000_t202" alt="7b0a2020202022776f7264617274223a20227b5c2269645c223a32353030323136362c5c227469645c223a5c225c227d220a7d0a" style="position:absolute;left:0;text-align:left;margin-left:-37.2pt;margin-top:-1.35pt;width:506.4pt;height:225.4pt;z-index:251659264;mso-position-horizontal-relative:text;mso-position-vertical-relative:text"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10;" filled="f" stroked="f">
            <v:textbox>
              <w:txbxContent>
                <w:p w:rsidR="00314A00" w:rsidRDefault="00B456B2">
                  <w:pPr>
                    <w:pStyle w:val="a7"/>
                    <w:spacing w:beforeAutospacing="0" w:afterAutospacing="0" w:line="1400" w:lineRule="exact"/>
                    <w:rPr>
                      <w:rFonts w:ascii="微软雅黑" w:eastAsia="微软雅黑" w:hAnsi="微软雅黑" w:cs="微软雅黑"/>
                      <w:b/>
                      <w:color w:val="FFFFFF" w:themeColor="background1"/>
                      <w:kern w:val="2"/>
                      <w:sz w:val="96"/>
                      <w:szCs w:val="96"/>
                    </w:rPr>
                  </w:pPr>
                  <w:r>
                    <w:rPr>
                      <w:rFonts w:ascii="微软雅黑" w:eastAsia="微软雅黑" w:hAnsi="微软雅黑" w:cs="微软雅黑" w:hint="eastAsia"/>
                      <w:b/>
                      <w:color w:val="FFFFFF" w:themeColor="background1"/>
                      <w:kern w:val="2"/>
                      <w:sz w:val="96"/>
                      <w:szCs w:val="96"/>
                    </w:rPr>
                    <w:t>202</w:t>
                  </w:r>
                  <w:r>
                    <w:rPr>
                      <w:rFonts w:ascii="微软雅黑" w:eastAsia="微软雅黑" w:hAnsi="微软雅黑" w:cs="微软雅黑" w:hint="eastAsia"/>
                      <w:b/>
                      <w:color w:val="FFFFFF" w:themeColor="background1"/>
                      <w:kern w:val="2"/>
                      <w:sz w:val="96"/>
                      <w:szCs w:val="96"/>
                    </w:rPr>
                    <w:t>5</w:t>
                  </w:r>
                  <w:r>
                    <w:rPr>
                      <w:rFonts w:ascii="微软雅黑" w:eastAsia="微软雅黑" w:hAnsi="微软雅黑" w:cs="微软雅黑" w:hint="eastAsia"/>
                      <w:b/>
                      <w:color w:val="FFFFFF" w:themeColor="background1"/>
                      <w:kern w:val="2"/>
                      <w:sz w:val="96"/>
                      <w:szCs w:val="96"/>
                    </w:rPr>
                    <w:t>年度</w:t>
                  </w:r>
                </w:p>
                <w:p w:rsidR="00314A00" w:rsidRDefault="00B456B2">
                  <w:pPr>
                    <w:pStyle w:val="a7"/>
                    <w:spacing w:beforeAutospacing="0" w:afterAutospacing="0" w:line="1400" w:lineRule="exact"/>
                    <w:rPr>
                      <w:rFonts w:ascii="微软雅黑" w:eastAsia="微软雅黑" w:hAnsi="微软雅黑" w:cs="微软雅黑"/>
                      <w:b/>
                      <w:color w:val="FFFFFF" w:themeColor="background1"/>
                      <w:kern w:val="2"/>
                      <w:sz w:val="96"/>
                      <w:szCs w:val="96"/>
                    </w:rPr>
                  </w:pPr>
                  <w:r>
                    <w:rPr>
                      <w:rFonts w:ascii="微软雅黑" w:eastAsia="微软雅黑" w:hAnsi="微软雅黑" w:cs="微软雅黑" w:hint="eastAsia"/>
                      <w:b/>
                      <w:color w:val="FFFFFF" w:themeColor="background1"/>
                      <w:kern w:val="2"/>
                      <w:sz w:val="96"/>
                      <w:szCs w:val="96"/>
                    </w:rPr>
                    <w:t>部门决算公开文本</w:t>
                  </w:r>
                </w:p>
              </w:txbxContent>
            </v:textbox>
          </v:shape>
        </w:pict>
      </w:r>
    </w:p>
    <w:p w:rsidR="00314A00" w:rsidRDefault="00314A00">
      <w:pPr>
        <w:spacing w:line="600" w:lineRule="auto"/>
        <w:rPr>
          <w:rFonts w:ascii="楷体_GB2312" w:eastAsia="楷体_GB2312" w:hAnsi="楷体_GB2312" w:cs="楷体_GB2312"/>
          <w:color w:val="000000"/>
          <w:sz w:val="40"/>
          <w:szCs w:val="40"/>
        </w:rPr>
      </w:pPr>
    </w:p>
    <w:p w:rsidR="00314A00" w:rsidRDefault="00314A00">
      <w:pPr>
        <w:spacing w:line="600" w:lineRule="auto"/>
        <w:rPr>
          <w:rFonts w:ascii="楷体_GB2312" w:eastAsia="楷体_GB2312" w:hAnsi="楷体_GB2312" w:cs="楷体_GB2312"/>
          <w:color w:val="000000"/>
          <w:sz w:val="40"/>
          <w:szCs w:val="40"/>
        </w:rPr>
      </w:pPr>
    </w:p>
    <w:p w:rsidR="00314A00" w:rsidRDefault="00314A00">
      <w:pPr>
        <w:spacing w:line="600" w:lineRule="auto"/>
        <w:rPr>
          <w:rFonts w:ascii="楷体_GB2312" w:eastAsia="楷体_GB2312" w:hAnsi="楷体_GB2312" w:cs="楷体_GB2312"/>
          <w:color w:val="000000"/>
          <w:sz w:val="40"/>
          <w:szCs w:val="40"/>
        </w:rPr>
      </w:pPr>
    </w:p>
    <w:p w:rsidR="00314A00" w:rsidRDefault="00314A00">
      <w:pPr>
        <w:spacing w:line="600" w:lineRule="auto"/>
        <w:rPr>
          <w:rFonts w:ascii="楷体_GB2312" w:eastAsia="楷体_GB2312" w:hAnsi="楷体_GB2312" w:cs="楷体_GB2312"/>
          <w:color w:val="000000"/>
          <w:sz w:val="40"/>
          <w:szCs w:val="40"/>
        </w:rPr>
      </w:pPr>
    </w:p>
    <w:p w:rsidR="00314A00" w:rsidRDefault="00314A00">
      <w:pPr>
        <w:spacing w:line="600" w:lineRule="auto"/>
        <w:rPr>
          <w:rFonts w:ascii="楷体_GB2312" w:eastAsia="楷体_GB2312" w:hAnsi="楷体_GB2312" w:cs="楷体_GB2312"/>
          <w:color w:val="000000"/>
          <w:sz w:val="40"/>
          <w:szCs w:val="40"/>
        </w:rPr>
      </w:pPr>
    </w:p>
    <w:p w:rsidR="00314A00" w:rsidRDefault="00314A00">
      <w:pPr>
        <w:spacing w:line="600" w:lineRule="auto"/>
        <w:rPr>
          <w:rFonts w:ascii="楷体_GB2312" w:eastAsia="楷体_GB2312" w:hAnsi="楷体_GB2312" w:cs="楷体_GB2312"/>
          <w:color w:val="000000"/>
          <w:sz w:val="40"/>
          <w:szCs w:val="40"/>
        </w:rPr>
      </w:pPr>
    </w:p>
    <w:p w:rsidR="00314A00" w:rsidRDefault="00314A00">
      <w:pPr>
        <w:spacing w:line="600" w:lineRule="auto"/>
        <w:rPr>
          <w:rFonts w:ascii="楷体_GB2312" w:eastAsia="楷体_GB2312" w:hAnsi="楷体_GB2312" w:cs="楷体_GB2312"/>
          <w:color w:val="000000"/>
          <w:sz w:val="40"/>
          <w:szCs w:val="40"/>
        </w:rPr>
      </w:pPr>
    </w:p>
    <w:p w:rsidR="00314A00" w:rsidRDefault="00314A00">
      <w:pPr>
        <w:jc w:val="center"/>
        <w:rPr>
          <w:rFonts w:ascii="楷体_GB2312" w:eastAsia="楷体_GB2312" w:hAnsi="楷体_GB2312" w:cs="楷体_GB2312"/>
          <w:b/>
          <w:bCs/>
          <w:color w:val="0D0D0D" w:themeColor="text1" w:themeTint="F2"/>
          <w:kern w:val="2"/>
          <w:sz w:val="48"/>
          <w:szCs w:val="56"/>
        </w:rPr>
      </w:pPr>
    </w:p>
    <w:p w:rsidR="00314A00" w:rsidRDefault="00314A00">
      <w:pPr>
        <w:jc w:val="center"/>
        <w:rPr>
          <w:rFonts w:ascii="楷体_GB2312" w:eastAsia="楷体_GB2312" w:hAnsi="楷体_GB2312" w:cs="楷体_GB2312"/>
          <w:b/>
          <w:bCs/>
          <w:color w:val="0D0D0D" w:themeColor="text1" w:themeTint="F2"/>
          <w:kern w:val="2"/>
          <w:sz w:val="48"/>
          <w:szCs w:val="56"/>
        </w:rPr>
      </w:pPr>
    </w:p>
    <w:p w:rsidR="00314A00" w:rsidRDefault="00314A00">
      <w:pPr>
        <w:jc w:val="center"/>
        <w:rPr>
          <w:rFonts w:ascii="楷体_GB2312" w:eastAsia="楷体_GB2312" w:hAnsi="楷体_GB2312" w:cs="楷体_GB2312"/>
          <w:b/>
          <w:bCs/>
          <w:color w:val="0D0D0D" w:themeColor="text1" w:themeTint="F2"/>
          <w:kern w:val="2"/>
          <w:sz w:val="48"/>
          <w:szCs w:val="56"/>
        </w:rPr>
      </w:pPr>
    </w:p>
    <w:p w:rsidR="00314A00" w:rsidRDefault="00314A00">
      <w:pPr>
        <w:jc w:val="center"/>
        <w:rPr>
          <w:rFonts w:ascii="楷体_GB2312" w:eastAsia="楷体_GB2312" w:hAnsi="楷体_GB2312" w:cs="楷体_GB2312"/>
          <w:b/>
          <w:bCs/>
          <w:color w:val="0D0D0D" w:themeColor="text1" w:themeTint="F2"/>
          <w:kern w:val="2"/>
          <w:sz w:val="48"/>
          <w:szCs w:val="56"/>
        </w:rPr>
      </w:pPr>
    </w:p>
    <w:p w:rsidR="00314A00" w:rsidRDefault="00314A00">
      <w:pPr>
        <w:rPr>
          <w:rFonts w:ascii="楷体_GB2312" w:eastAsia="楷体_GB2312" w:hAnsi="楷体_GB2312" w:cs="楷体_GB2312"/>
          <w:b/>
          <w:bCs/>
          <w:color w:val="0D0D0D" w:themeColor="text1" w:themeTint="F2"/>
          <w:kern w:val="2"/>
          <w:sz w:val="48"/>
          <w:szCs w:val="56"/>
        </w:rPr>
      </w:pPr>
    </w:p>
    <w:p w:rsidR="00314A00" w:rsidRDefault="00B456B2">
      <w:pPr>
        <w:jc w:val="center"/>
        <w:rPr>
          <w:rFonts w:ascii="楷体_GB2312" w:eastAsia="楷体_GB2312" w:hAnsi="楷体_GB2312" w:cs="楷体_GB2312"/>
          <w:b/>
          <w:bCs/>
          <w:color w:val="0D0D0D" w:themeColor="text1" w:themeTint="F2"/>
          <w:kern w:val="2"/>
          <w:sz w:val="48"/>
          <w:szCs w:val="56"/>
        </w:rPr>
      </w:pPr>
      <w:r>
        <w:rPr>
          <w:rFonts w:ascii="楷体_GB2312" w:eastAsia="楷体_GB2312" w:hAnsi="楷体_GB2312" w:cs="楷体_GB2312" w:hint="eastAsia"/>
          <w:b/>
          <w:bCs/>
          <w:color w:val="0D0D0D" w:themeColor="text1" w:themeTint="F2"/>
          <w:kern w:val="2"/>
          <w:sz w:val="48"/>
          <w:szCs w:val="56"/>
        </w:rPr>
        <w:t>中国共产党无极县纪律检查委员会</w:t>
      </w:r>
    </w:p>
    <w:p w:rsidR="00314A00" w:rsidRDefault="00B456B2">
      <w:pPr>
        <w:jc w:val="center"/>
        <w:rPr>
          <w:rFonts w:ascii="楷体_GB2312" w:eastAsia="楷体_GB2312" w:hAnsi="楷体_GB2312" w:cs="楷体_GB2312"/>
          <w:b/>
          <w:bCs/>
          <w:color w:val="0D0D0D" w:themeColor="text1" w:themeTint="F2"/>
          <w:kern w:val="2"/>
          <w:sz w:val="48"/>
          <w:szCs w:val="56"/>
        </w:rPr>
      </w:pPr>
      <w:r>
        <w:rPr>
          <w:rFonts w:ascii="楷体_GB2312" w:eastAsia="楷体_GB2312" w:hAnsi="楷体_GB2312" w:cs="楷体_GB2312" w:hint="eastAsia"/>
          <w:b/>
          <w:bCs/>
          <w:color w:val="0D0D0D" w:themeColor="text1" w:themeTint="F2"/>
          <w:kern w:val="2"/>
          <w:sz w:val="48"/>
          <w:szCs w:val="56"/>
        </w:rPr>
        <w:t>预算代码：</w:t>
      </w:r>
      <w:r>
        <w:rPr>
          <w:rFonts w:ascii="楷体_GB2312" w:eastAsia="楷体_GB2312" w:hAnsi="楷体_GB2312" w:cs="楷体_GB2312" w:hint="eastAsia"/>
          <w:b/>
          <w:bCs/>
          <w:color w:val="0D0D0D" w:themeColor="text1" w:themeTint="F2"/>
          <w:kern w:val="2"/>
          <w:sz w:val="48"/>
          <w:szCs w:val="56"/>
        </w:rPr>
        <w:t>222</w:t>
      </w:r>
    </w:p>
    <w:p w:rsidR="00314A00" w:rsidRDefault="00314A00">
      <w:pPr>
        <w:jc w:val="center"/>
        <w:rPr>
          <w:rFonts w:ascii="楷体_GB2312" w:eastAsia="楷体_GB2312" w:hAnsi="楷体_GB2312" w:cs="楷体_GB2312"/>
          <w:b/>
          <w:bCs/>
          <w:color w:val="0D0D0D" w:themeColor="text1" w:themeTint="F2"/>
          <w:sz w:val="48"/>
          <w:szCs w:val="56"/>
        </w:rPr>
      </w:pPr>
    </w:p>
    <w:p w:rsidR="00314A00" w:rsidRDefault="00B456B2">
      <w:pPr>
        <w:jc w:val="center"/>
        <w:rPr>
          <w:rFonts w:ascii="楷体_GB2312" w:eastAsia="楷体_GB2312" w:hAnsi="楷体_GB2312" w:cs="楷体_GB2312"/>
          <w:b/>
          <w:bCs/>
          <w:color w:val="0D0D0D" w:themeColor="text1" w:themeTint="F2"/>
          <w:sz w:val="48"/>
          <w:szCs w:val="56"/>
        </w:rPr>
      </w:pPr>
      <w:r>
        <w:rPr>
          <w:rFonts w:ascii="楷体_GB2312" w:eastAsia="楷体_GB2312" w:hAnsi="楷体_GB2312" w:cs="楷体_GB2312" w:hint="eastAsia"/>
          <w:b/>
          <w:bCs/>
          <w:color w:val="0D0D0D" w:themeColor="text1" w:themeTint="F2"/>
          <w:sz w:val="48"/>
          <w:szCs w:val="56"/>
        </w:rPr>
        <w:t>二〇二六年八月</w:t>
      </w:r>
    </w:p>
    <w:p w:rsidR="00314A00" w:rsidRDefault="00314A00">
      <w:pPr>
        <w:spacing w:line="600" w:lineRule="auto"/>
        <w:rPr>
          <w:rFonts w:ascii="楷体_GB2312" w:eastAsia="楷体_GB2312" w:hAnsi="楷体_GB2312" w:cs="楷体_GB2312"/>
          <w:color w:val="000000"/>
          <w:sz w:val="40"/>
          <w:szCs w:val="40"/>
        </w:rPr>
        <w:sectPr w:rsidR="00314A00">
          <w:footerReference w:type="default" r:id="rId9"/>
          <w:pgSz w:w="11906" w:h="16838"/>
          <w:pgMar w:top="2098" w:right="1417" w:bottom="1871" w:left="1417" w:header="851" w:footer="992" w:gutter="0"/>
          <w:cols w:space="720"/>
          <w:docGrid w:type="lines" w:linePitch="312"/>
        </w:sectPr>
      </w:pPr>
    </w:p>
    <w:p w:rsidR="00314A00" w:rsidRDefault="00314A00">
      <w:pPr>
        <w:spacing w:line="600" w:lineRule="auto"/>
        <w:jc w:val="center"/>
        <w:rPr>
          <w:rFonts w:ascii="楷体_GB2312" w:eastAsia="楷体_GB2312" w:hAnsi="楷体_GB2312" w:cs="楷体_GB2312"/>
          <w:color w:val="000000"/>
          <w:sz w:val="40"/>
          <w:szCs w:val="40"/>
        </w:rPr>
      </w:pPr>
    </w:p>
    <w:p w:rsidR="00314A00" w:rsidRDefault="00314A00">
      <w:pPr>
        <w:rPr>
          <w:rFonts w:ascii="黑体" w:eastAsia="黑体" w:hAnsi="黑体" w:cs="黑体"/>
          <w:b/>
          <w:bCs/>
          <w:sz w:val="32"/>
          <w:szCs w:val="36"/>
          <w:highlight w:val="yellow"/>
        </w:rPr>
      </w:pPr>
    </w:p>
    <w:p w:rsidR="00314A00" w:rsidRDefault="00B456B2">
      <w:pPr>
        <w:widowControl/>
        <w:spacing w:line="360" w:lineRule="auto"/>
        <w:jc w:val="center"/>
        <w:rPr>
          <w:rFonts w:ascii="Times New Roman" w:eastAsia="方正小标宋_GBK"/>
          <w:sz w:val="72"/>
          <w:szCs w:val="72"/>
        </w:rPr>
      </w:pPr>
      <w:r>
        <w:rPr>
          <w:rFonts w:ascii="Times New Roman" w:eastAsia="方正小标宋_GBK"/>
          <w:sz w:val="72"/>
          <w:szCs w:val="72"/>
        </w:rPr>
        <w:t>中国共产党无极县纪律检查委员会</w:t>
      </w:r>
    </w:p>
    <w:p w:rsidR="00314A00" w:rsidRDefault="00B456B2">
      <w:pPr>
        <w:widowControl/>
        <w:spacing w:line="360" w:lineRule="auto"/>
        <w:jc w:val="center"/>
        <w:rPr>
          <w:rFonts w:ascii="Times New Roman" w:eastAsia="方正小标宋_GBK"/>
          <w:sz w:val="72"/>
          <w:szCs w:val="72"/>
        </w:rPr>
      </w:pPr>
      <w:r>
        <w:rPr>
          <w:rFonts w:ascii="Times New Roman" w:eastAsia="仿宋_GB2312"/>
          <w:sz w:val="72"/>
          <w:szCs w:val="72"/>
        </w:rPr>
        <w:t>2025</w:t>
      </w:r>
      <w:r>
        <w:rPr>
          <w:rFonts w:ascii="Times New Roman" w:eastAsia="方正小标宋_GBK"/>
          <w:sz w:val="72"/>
          <w:szCs w:val="72"/>
        </w:rPr>
        <w:t>年度部门决算公开文本</w:t>
      </w:r>
    </w:p>
    <w:p w:rsidR="00314A00" w:rsidRDefault="00314A00">
      <w:pPr>
        <w:spacing w:line="360" w:lineRule="auto"/>
        <w:jc w:val="center"/>
        <w:rPr>
          <w:rFonts w:ascii="黑体" w:eastAsia="黑体" w:hAnsi="黑体" w:cs="黑体"/>
          <w:sz w:val="56"/>
          <w:szCs w:val="72"/>
        </w:rPr>
      </w:pPr>
    </w:p>
    <w:p w:rsidR="00314A00" w:rsidRDefault="00314A00">
      <w:pPr>
        <w:spacing w:line="480" w:lineRule="auto"/>
        <w:rPr>
          <w:rFonts w:ascii="黑体" w:eastAsia="黑体" w:hAnsi="黑体" w:cs="黑体"/>
          <w:sz w:val="56"/>
          <w:szCs w:val="72"/>
        </w:rPr>
      </w:pPr>
    </w:p>
    <w:p w:rsidR="00314A00" w:rsidRDefault="00B456B2">
      <w:pPr>
        <w:widowControl/>
        <w:spacing w:line="360" w:lineRule="auto"/>
        <w:jc w:val="center"/>
        <w:rPr>
          <w:rFonts w:ascii="Times New Roman" w:eastAsia="楷体_GB2312"/>
          <w:sz w:val="44"/>
          <w:szCs w:val="44"/>
        </w:rPr>
      </w:pPr>
      <w:r>
        <w:rPr>
          <w:rFonts w:ascii="Times New Roman" w:eastAsia="楷体_GB2312"/>
          <w:sz w:val="44"/>
          <w:szCs w:val="44"/>
        </w:rPr>
        <w:t>中国共产党无极县纪律检查委员会</w:t>
      </w:r>
    </w:p>
    <w:p w:rsidR="00314A00" w:rsidRDefault="00B456B2">
      <w:pPr>
        <w:widowControl/>
        <w:jc w:val="center"/>
        <w:rPr>
          <w:rFonts w:ascii="Times New Roman" w:eastAsia="楷体_GB2312"/>
          <w:sz w:val="44"/>
          <w:szCs w:val="44"/>
        </w:rPr>
      </w:pPr>
      <w:r>
        <w:rPr>
          <w:rFonts w:ascii="Times New Roman" w:eastAsia="楷体_GB2312"/>
          <w:sz w:val="44"/>
          <w:szCs w:val="44"/>
        </w:rPr>
        <w:t>(</w:t>
      </w:r>
      <w:r>
        <w:rPr>
          <w:rFonts w:ascii="Times New Roman" w:eastAsia="楷体_GB2312"/>
          <w:sz w:val="44"/>
          <w:szCs w:val="44"/>
        </w:rPr>
        <w:t>加盖公章）</w:t>
      </w:r>
    </w:p>
    <w:p w:rsidR="00314A00" w:rsidRDefault="00B456B2">
      <w:pPr>
        <w:widowControl/>
        <w:spacing w:line="360" w:lineRule="auto"/>
        <w:jc w:val="center"/>
        <w:rPr>
          <w:rFonts w:ascii="Times New Roman" w:eastAsia="楷体_GB2312"/>
          <w:sz w:val="44"/>
          <w:szCs w:val="44"/>
        </w:rPr>
      </w:pPr>
      <w:r>
        <w:rPr>
          <w:rFonts w:ascii="Times New Roman" w:eastAsia="楷体_GB2312"/>
          <w:sz w:val="44"/>
          <w:szCs w:val="44"/>
        </w:rPr>
        <w:t>二〇二六年八月</w:t>
      </w:r>
    </w:p>
    <w:p w:rsidR="00314A00" w:rsidRDefault="00B456B2">
      <w:pPr>
        <w:rPr>
          <w:rFonts w:ascii="楷体_GB2312" w:eastAsia="楷体_GB2312" w:hAnsi="楷体_GB2312" w:cs="楷体_GB2312"/>
          <w:color w:val="000000" w:themeColor="text1"/>
          <w:sz w:val="44"/>
          <w:szCs w:val="44"/>
        </w:rPr>
      </w:pPr>
      <w:r>
        <w:rPr>
          <w:rFonts w:ascii="楷体_GB2312" w:eastAsia="楷体_GB2312" w:hAnsi="楷体_GB2312" w:cs="楷体_GB2312"/>
          <w:color w:val="000000" w:themeColor="text1"/>
          <w:sz w:val="44"/>
          <w:szCs w:val="44"/>
        </w:rPr>
        <w:br w:type="page"/>
      </w:r>
    </w:p>
    <w:p w:rsidR="00314A00" w:rsidRDefault="00314A00">
      <w:pPr>
        <w:snapToGrid w:val="0"/>
        <w:jc w:val="left"/>
        <w:rPr>
          <w:rFonts w:ascii="楷体_GB2312" w:eastAsia="楷体_GB2312" w:hAnsi="楷体_GB2312" w:cs="楷体_GB2312"/>
          <w:color w:val="000000" w:themeColor="text1"/>
          <w:sz w:val="44"/>
          <w:szCs w:val="44"/>
        </w:rPr>
        <w:sectPr w:rsidR="00314A00">
          <w:footerReference w:type="default" r:id="rId10"/>
          <w:pgSz w:w="11906" w:h="16838"/>
          <w:pgMar w:top="1531" w:right="1984" w:bottom="1531" w:left="2098" w:header="851" w:footer="992" w:gutter="0"/>
          <w:pgNumType w:start="1"/>
          <w:cols w:space="720"/>
          <w:docGrid w:type="lines" w:linePitch="312"/>
        </w:sectPr>
      </w:pPr>
    </w:p>
    <w:p w:rsidR="00314A00" w:rsidRDefault="00B456B2">
      <w:pPr>
        <w:widowControl/>
        <w:spacing w:line="360" w:lineRule="auto"/>
        <w:jc w:val="center"/>
        <w:outlineLvl w:val="0"/>
        <w:rPr>
          <w:rFonts w:ascii="Times New Roman" w:eastAsia="黑体"/>
          <w:sz w:val="44"/>
          <w:szCs w:val="44"/>
        </w:rPr>
      </w:pPr>
      <w:r>
        <w:rPr>
          <w:rFonts w:ascii="Times New Roman" w:eastAsia="黑体"/>
          <w:sz w:val="44"/>
          <w:szCs w:val="44"/>
        </w:rPr>
        <w:lastRenderedPageBreak/>
        <w:t>目</w:t>
      </w:r>
      <w:r>
        <w:rPr>
          <w:rFonts w:ascii="Times New Roman" w:eastAsia="黑体"/>
          <w:sz w:val="44"/>
          <w:szCs w:val="44"/>
        </w:rPr>
        <w:t xml:space="preserve">  </w:t>
      </w:r>
      <w:r>
        <w:rPr>
          <w:rFonts w:ascii="Times New Roman" w:eastAsia="黑体"/>
          <w:sz w:val="44"/>
          <w:szCs w:val="44"/>
        </w:rPr>
        <w:t>录</w:t>
      </w:r>
    </w:p>
    <w:p w:rsidR="00314A00" w:rsidRDefault="00314A00">
      <w:pPr>
        <w:widowControl/>
        <w:spacing w:after="160" w:line="580" w:lineRule="exact"/>
        <w:ind w:firstLineChars="200" w:firstLine="640"/>
        <w:rPr>
          <w:rFonts w:ascii="Times New Roman" w:eastAsia="黑体" w:hAnsi="Times New Roman" w:cs="Times New Roman"/>
          <w:sz w:val="32"/>
          <w:szCs w:val="32"/>
        </w:rPr>
      </w:pPr>
    </w:p>
    <w:p w:rsidR="00314A00" w:rsidRDefault="00B456B2">
      <w:pPr>
        <w:widowControl/>
        <w:spacing w:line="360" w:lineRule="auto"/>
        <w:jc w:val="left"/>
        <w:rPr>
          <w:rFonts w:ascii="Times New Roman" w:eastAsia="黑体"/>
          <w:sz w:val="32"/>
          <w:szCs w:val="32"/>
        </w:rPr>
      </w:pPr>
      <w:r>
        <w:rPr>
          <w:rFonts w:ascii="Times New Roman" w:eastAsia="黑体"/>
          <w:sz w:val="32"/>
          <w:szCs w:val="32"/>
        </w:rPr>
        <w:t>第一部分部门概况</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一、部门职责</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二、机构设置</w:t>
      </w:r>
    </w:p>
    <w:p w:rsidR="00314A00" w:rsidRDefault="00B456B2">
      <w:pPr>
        <w:widowControl/>
        <w:spacing w:line="360" w:lineRule="auto"/>
        <w:jc w:val="left"/>
        <w:outlineLvl w:val="0"/>
        <w:rPr>
          <w:rFonts w:ascii="Times New Roman" w:eastAsia="黑体"/>
          <w:sz w:val="32"/>
          <w:szCs w:val="32"/>
        </w:rPr>
      </w:pPr>
      <w:r>
        <w:rPr>
          <w:rFonts w:ascii="Times New Roman" w:eastAsia="黑体"/>
          <w:sz w:val="32"/>
          <w:szCs w:val="32"/>
        </w:rPr>
        <w:t>第二部分</w:t>
      </w:r>
      <w:r>
        <w:rPr>
          <w:rFonts w:ascii="Times New Roman" w:eastAsia="黑体"/>
          <w:sz w:val="32"/>
          <w:szCs w:val="32"/>
        </w:rPr>
        <w:t xml:space="preserve"> 2025</w:t>
      </w:r>
      <w:r>
        <w:rPr>
          <w:rFonts w:ascii="Times New Roman" w:eastAsia="黑体"/>
          <w:sz w:val="32"/>
          <w:szCs w:val="32"/>
        </w:rPr>
        <w:t>年度部门决算报表</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一、收入支出决算总表</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二、收入决算表</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三、支出决算表</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四、财政拨款收入支出决算总表</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五、一般公共预算财政拨款支出决算表</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六、一般公共预算财政拨款基本支出决算明细表</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七、政府性基金预算财政拨款收入支出决算表</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八、国有资本经营预算财政拨款支出决算表</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九、财政拨款</w:t>
      </w:r>
      <w:r>
        <w:rPr>
          <w:rFonts w:ascii="Times New Roman" w:eastAsia="仿宋_GB2312"/>
          <w:sz w:val="32"/>
          <w:szCs w:val="32"/>
        </w:rPr>
        <w:t>“</w:t>
      </w:r>
      <w:r>
        <w:rPr>
          <w:rFonts w:ascii="Times New Roman" w:eastAsia="仿宋_GB2312"/>
          <w:sz w:val="32"/>
          <w:szCs w:val="32"/>
        </w:rPr>
        <w:t>三公</w:t>
      </w:r>
      <w:r>
        <w:rPr>
          <w:rFonts w:ascii="Times New Roman" w:eastAsia="仿宋_GB2312"/>
          <w:sz w:val="32"/>
          <w:szCs w:val="32"/>
        </w:rPr>
        <w:t>”</w:t>
      </w:r>
      <w:r>
        <w:rPr>
          <w:rFonts w:ascii="Times New Roman" w:eastAsia="仿宋_GB2312"/>
          <w:sz w:val="32"/>
          <w:szCs w:val="32"/>
        </w:rPr>
        <w:t>经费支出决算表</w:t>
      </w:r>
    </w:p>
    <w:p w:rsidR="00314A00" w:rsidRDefault="00B456B2">
      <w:pPr>
        <w:widowControl/>
        <w:spacing w:line="360" w:lineRule="auto"/>
        <w:jc w:val="left"/>
        <w:rPr>
          <w:rFonts w:ascii="Times New Roman" w:eastAsia="黑体"/>
          <w:sz w:val="32"/>
          <w:szCs w:val="32"/>
        </w:rPr>
      </w:pPr>
      <w:r>
        <w:rPr>
          <w:rFonts w:ascii="Times New Roman" w:eastAsia="黑体"/>
          <w:sz w:val="32"/>
          <w:szCs w:val="32"/>
        </w:rPr>
        <w:t>第三部分</w:t>
      </w:r>
      <w:r>
        <w:rPr>
          <w:rFonts w:ascii="Times New Roman" w:eastAsia="黑体"/>
          <w:sz w:val="32"/>
          <w:szCs w:val="32"/>
        </w:rPr>
        <w:t xml:space="preserve"> 2025</w:t>
      </w:r>
      <w:r>
        <w:rPr>
          <w:rFonts w:ascii="Times New Roman" w:eastAsia="黑体"/>
          <w:sz w:val="32"/>
          <w:szCs w:val="32"/>
        </w:rPr>
        <w:t>年度部门决算情况说明</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一、收入支出决算总体情况说明</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二、收入决算情况说明</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三、支出决算情况说明</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四、财政拨款收入支出决算总体情况说明</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五、财政拨款</w:t>
      </w:r>
      <w:r>
        <w:rPr>
          <w:rFonts w:ascii="Times New Roman" w:eastAsia="仿宋_GB2312"/>
          <w:sz w:val="32"/>
          <w:szCs w:val="32"/>
        </w:rPr>
        <w:t>“</w:t>
      </w:r>
      <w:r>
        <w:rPr>
          <w:rFonts w:ascii="Times New Roman" w:eastAsia="仿宋_GB2312"/>
          <w:sz w:val="32"/>
          <w:szCs w:val="32"/>
        </w:rPr>
        <w:t>三公</w:t>
      </w:r>
      <w:r>
        <w:rPr>
          <w:rFonts w:ascii="Times New Roman" w:eastAsia="仿宋_GB2312"/>
          <w:sz w:val="32"/>
          <w:szCs w:val="32"/>
        </w:rPr>
        <w:t>”</w:t>
      </w:r>
      <w:r>
        <w:rPr>
          <w:rFonts w:ascii="Times New Roman" w:eastAsia="仿宋_GB2312"/>
          <w:sz w:val="32"/>
          <w:szCs w:val="32"/>
        </w:rPr>
        <w:t>经费支出决算情况说明</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六、机关运行经费支出说明</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lastRenderedPageBreak/>
        <w:t>七、政府采购支出说明</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八、国有资产占用情况说明</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九、关于</w:t>
      </w:r>
      <w:r>
        <w:rPr>
          <w:rFonts w:ascii="Times New Roman" w:eastAsia="仿宋_GB2312"/>
          <w:sz w:val="32"/>
          <w:szCs w:val="32"/>
        </w:rPr>
        <w:t>2025</w:t>
      </w:r>
      <w:r>
        <w:rPr>
          <w:rFonts w:ascii="Times New Roman" w:eastAsia="仿宋_GB2312"/>
          <w:sz w:val="32"/>
          <w:szCs w:val="32"/>
        </w:rPr>
        <w:t>年度绩效评价情况的说明</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十、其他需要说明的情况</w:t>
      </w:r>
    </w:p>
    <w:p w:rsidR="00314A00" w:rsidRDefault="00B456B2">
      <w:pPr>
        <w:widowControl/>
        <w:spacing w:line="360" w:lineRule="auto"/>
        <w:jc w:val="left"/>
        <w:rPr>
          <w:rFonts w:ascii="Times New Roman" w:eastAsia="黑体"/>
          <w:sz w:val="32"/>
          <w:szCs w:val="32"/>
        </w:rPr>
      </w:pPr>
      <w:r>
        <w:rPr>
          <w:rFonts w:ascii="Times New Roman" w:eastAsia="黑体"/>
          <w:sz w:val="32"/>
          <w:szCs w:val="32"/>
        </w:rPr>
        <w:t>第四部分</w:t>
      </w:r>
      <w:r>
        <w:rPr>
          <w:rFonts w:ascii="Times New Roman" w:eastAsia="黑体"/>
          <w:sz w:val="32"/>
          <w:szCs w:val="32"/>
        </w:rPr>
        <w:t xml:space="preserve"> </w:t>
      </w:r>
      <w:r>
        <w:rPr>
          <w:rFonts w:ascii="Times New Roman" w:eastAsia="黑体"/>
          <w:sz w:val="32"/>
          <w:szCs w:val="32"/>
        </w:rPr>
        <w:t>名词解释</w:t>
      </w:r>
    </w:p>
    <w:p w:rsidR="00314A00" w:rsidRDefault="00314A00">
      <w:pPr>
        <w:widowControl/>
        <w:spacing w:after="160" w:line="580" w:lineRule="exact"/>
        <w:rPr>
          <w:rFonts w:ascii="Times New Roman" w:eastAsia="黑体" w:hAnsi="Times New Roman" w:cs="Times New Roman"/>
          <w:sz w:val="32"/>
          <w:szCs w:val="32"/>
        </w:rPr>
        <w:sectPr w:rsidR="00314A00">
          <w:headerReference w:type="default" r:id="rId11"/>
          <w:footerReference w:type="default" r:id="rId12"/>
          <w:headerReference w:type="first" r:id="rId13"/>
          <w:footerReference w:type="first" r:id="rId14"/>
          <w:pgSz w:w="11906" w:h="16838"/>
          <w:pgMar w:top="1474" w:right="1531" w:bottom="1474" w:left="1531" w:header="851" w:footer="992" w:gutter="0"/>
          <w:cols w:space="0"/>
          <w:titlePg/>
          <w:docGrid w:type="lines" w:linePitch="312"/>
        </w:sectPr>
      </w:pPr>
    </w:p>
    <w:p w:rsidR="00314A00" w:rsidRDefault="00314A00">
      <w:pPr>
        <w:pStyle w:val="a7"/>
        <w:widowControl/>
        <w:shd w:val="clear" w:color="auto" w:fill="FFFFFF"/>
        <w:spacing w:beforeAutospacing="0" w:afterAutospacing="0"/>
        <w:jc w:val="both"/>
        <w:rPr>
          <w:rFonts w:ascii="黑体" w:eastAsia="黑体" w:hAnsi="宋体" w:cs="黑体"/>
          <w:color w:val="000000"/>
          <w:sz w:val="72"/>
          <w:szCs w:val="72"/>
          <w:shd w:val="clear" w:color="auto" w:fill="FFFFFF"/>
        </w:rPr>
      </w:pPr>
    </w:p>
    <w:p w:rsidR="00314A00" w:rsidRDefault="00314A00">
      <w:pPr>
        <w:pStyle w:val="a7"/>
        <w:widowControl/>
        <w:shd w:val="clear" w:color="auto" w:fill="FFFFFF"/>
        <w:spacing w:beforeAutospacing="0" w:afterAutospacing="0"/>
        <w:jc w:val="both"/>
        <w:rPr>
          <w:rFonts w:ascii="黑体" w:eastAsia="黑体" w:hAnsi="宋体" w:cs="黑体"/>
          <w:color w:val="000000"/>
          <w:sz w:val="72"/>
          <w:szCs w:val="72"/>
          <w:shd w:val="clear" w:color="auto" w:fill="FFFFFF"/>
        </w:rPr>
      </w:pPr>
    </w:p>
    <w:p w:rsidR="00314A00" w:rsidRDefault="00314A00">
      <w:pPr>
        <w:pStyle w:val="a7"/>
        <w:widowControl/>
        <w:shd w:val="clear" w:color="auto" w:fill="FFFFFF"/>
        <w:spacing w:beforeAutospacing="0" w:afterAutospacing="0"/>
        <w:jc w:val="both"/>
        <w:rPr>
          <w:rFonts w:ascii="黑体" w:eastAsia="黑体" w:hAnsi="宋体" w:cs="黑体"/>
          <w:color w:val="000000"/>
          <w:sz w:val="72"/>
          <w:szCs w:val="72"/>
          <w:shd w:val="clear" w:color="auto" w:fill="FFFFFF"/>
        </w:rPr>
      </w:pPr>
    </w:p>
    <w:p w:rsidR="00314A00" w:rsidRDefault="00314A00">
      <w:pPr>
        <w:pStyle w:val="a7"/>
        <w:widowControl/>
        <w:shd w:val="clear" w:color="auto" w:fill="FFFFFF"/>
        <w:spacing w:beforeAutospacing="0" w:afterAutospacing="0"/>
        <w:jc w:val="both"/>
        <w:rPr>
          <w:rFonts w:ascii="黑体" w:eastAsia="黑体" w:hAnsi="宋体" w:cs="黑体"/>
          <w:color w:val="000000"/>
          <w:sz w:val="72"/>
          <w:szCs w:val="72"/>
          <w:shd w:val="clear" w:color="auto" w:fill="FFFFFF"/>
        </w:rPr>
      </w:pPr>
    </w:p>
    <w:p w:rsidR="00314A00" w:rsidRDefault="00314A00">
      <w:pPr>
        <w:pStyle w:val="a7"/>
        <w:widowControl/>
        <w:shd w:val="clear" w:color="auto" w:fill="FFFFFF"/>
        <w:spacing w:beforeAutospacing="0" w:afterAutospacing="0"/>
        <w:jc w:val="both"/>
        <w:rPr>
          <w:rFonts w:ascii="黑体" w:eastAsia="黑体" w:hAnsi="宋体" w:cs="黑体"/>
          <w:color w:val="000000"/>
          <w:sz w:val="72"/>
          <w:szCs w:val="72"/>
          <w:shd w:val="clear" w:color="auto" w:fill="FFFFFF"/>
        </w:rPr>
      </w:pPr>
    </w:p>
    <w:p w:rsidR="00314A00" w:rsidRDefault="00B456B2">
      <w:pPr>
        <w:widowControl/>
        <w:spacing w:line="360" w:lineRule="auto"/>
        <w:jc w:val="center"/>
        <w:outlineLvl w:val="0"/>
        <w:rPr>
          <w:rFonts w:ascii="Times New Roman" w:eastAsia="黑体"/>
          <w:sz w:val="44"/>
          <w:szCs w:val="44"/>
        </w:rPr>
      </w:pPr>
      <w:r>
        <w:rPr>
          <w:rFonts w:ascii="Times New Roman" w:eastAsia="黑体"/>
          <w:sz w:val="44"/>
          <w:szCs w:val="44"/>
        </w:rPr>
        <w:t>第一部分部门概况</w:t>
      </w:r>
    </w:p>
    <w:p w:rsidR="00314A00" w:rsidRDefault="00314A00">
      <w:pPr>
        <w:pStyle w:val="a7"/>
        <w:widowControl/>
        <w:shd w:val="clear" w:color="auto" w:fill="FFFFFF"/>
        <w:spacing w:beforeAutospacing="0" w:afterAutospacing="0"/>
        <w:jc w:val="both"/>
        <w:rPr>
          <w:rFonts w:ascii="黑体" w:eastAsia="黑体" w:hAnsi="宋体" w:cs="黑体"/>
          <w:color w:val="000000"/>
          <w:sz w:val="72"/>
          <w:szCs w:val="72"/>
          <w:shd w:val="clear" w:color="auto" w:fill="FFFFFF"/>
        </w:rPr>
      </w:pPr>
    </w:p>
    <w:p w:rsidR="00314A00" w:rsidRDefault="00314A00">
      <w:pPr>
        <w:pStyle w:val="a7"/>
        <w:widowControl/>
        <w:shd w:val="clear" w:color="auto" w:fill="FFFFFF"/>
        <w:spacing w:beforeAutospacing="0" w:afterAutospacing="0"/>
        <w:jc w:val="both"/>
        <w:rPr>
          <w:rFonts w:ascii="黑体" w:eastAsia="黑体" w:hAnsi="宋体" w:cs="黑体"/>
          <w:color w:val="000000"/>
          <w:sz w:val="72"/>
          <w:szCs w:val="72"/>
          <w:shd w:val="clear" w:color="auto" w:fill="FFFFFF"/>
        </w:rPr>
      </w:pPr>
    </w:p>
    <w:p w:rsidR="00314A00" w:rsidRDefault="00314A00">
      <w:pPr>
        <w:pStyle w:val="a7"/>
        <w:widowControl/>
        <w:shd w:val="clear" w:color="auto" w:fill="FFFFFF"/>
        <w:spacing w:beforeAutospacing="0" w:afterAutospacing="0"/>
        <w:jc w:val="both"/>
        <w:rPr>
          <w:rFonts w:ascii="黑体" w:eastAsia="黑体" w:hAnsi="宋体" w:cs="黑体"/>
          <w:color w:val="000000"/>
          <w:sz w:val="72"/>
          <w:szCs w:val="72"/>
          <w:shd w:val="clear" w:color="auto" w:fill="FFFFFF"/>
        </w:rPr>
      </w:pPr>
    </w:p>
    <w:p w:rsidR="00314A00" w:rsidRDefault="00314A00">
      <w:pPr>
        <w:pStyle w:val="a7"/>
        <w:widowControl/>
        <w:shd w:val="clear" w:color="auto" w:fill="FFFFFF"/>
        <w:spacing w:beforeAutospacing="0" w:afterAutospacing="0"/>
        <w:jc w:val="both"/>
        <w:rPr>
          <w:rFonts w:ascii="黑体" w:eastAsia="黑体" w:hAnsi="宋体" w:cs="黑体"/>
          <w:color w:val="000000"/>
          <w:sz w:val="72"/>
          <w:szCs w:val="72"/>
          <w:shd w:val="clear" w:color="auto" w:fill="FFFFFF"/>
        </w:rPr>
      </w:pPr>
    </w:p>
    <w:p w:rsidR="00314A00" w:rsidRDefault="00314A00">
      <w:pPr>
        <w:pStyle w:val="a7"/>
        <w:widowControl/>
        <w:shd w:val="clear" w:color="auto" w:fill="FFFFFF"/>
        <w:spacing w:beforeAutospacing="0" w:afterAutospacing="0"/>
        <w:jc w:val="both"/>
        <w:rPr>
          <w:rFonts w:ascii="黑体" w:eastAsia="黑体" w:hAnsi="宋体" w:cs="黑体"/>
          <w:color w:val="000000"/>
          <w:sz w:val="72"/>
          <w:szCs w:val="72"/>
          <w:shd w:val="clear" w:color="auto" w:fill="FFFFFF"/>
        </w:rPr>
      </w:pPr>
    </w:p>
    <w:p w:rsidR="00314A00" w:rsidRDefault="00314A00">
      <w:pPr>
        <w:pStyle w:val="a7"/>
        <w:widowControl/>
        <w:shd w:val="clear" w:color="auto" w:fill="FFFFFF"/>
        <w:spacing w:beforeAutospacing="0" w:afterAutospacing="0"/>
        <w:jc w:val="both"/>
        <w:rPr>
          <w:rFonts w:ascii="黑体" w:eastAsia="黑体" w:hAnsi="宋体" w:cs="黑体"/>
          <w:color w:val="000000"/>
          <w:sz w:val="72"/>
          <w:szCs w:val="72"/>
          <w:shd w:val="clear" w:color="auto" w:fill="FFFFFF"/>
        </w:rPr>
      </w:pPr>
    </w:p>
    <w:p w:rsidR="00314A00" w:rsidRDefault="00314A00">
      <w:pPr>
        <w:pStyle w:val="a7"/>
        <w:widowControl/>
        <w:shd w:val="clear" w:color="auto" w:fill="FFFFFF"/>
        <w:spacing w:beforeAutospacing="0" w:afterAutospacing="0"/>
        <w:jc w:val="both"/>
        <w:rPr>
          <w:rFonts w:ascii="黑体" w:eastAsia="黑体" w:hAnsi="宋体" w:cs="黑体"/>
          <w:color w:val="000000"/>
          <w:sz w:val="72"/>
          <w:szCs w:val="72"/>
          <w:shd w:val="clear" w:color="auto" w:fill="FFFFFF"/>
        </w:rPr>
      </w:pPr>
    </w:p>
    <w:p w:rsidR="00314A00" w:rsidRDefault="00314A00">
      <w:pPr>
        <w:pStyle w:val="a7"/>
        <w:widowControl/>
        <w:shd w:val="clear" w:color="auto" w:fill="FFFFFF"/>
        <w:spacing w:beforeAutospacing="0" w:afterAutospacing="0"/>
        <w:jc w:val="both"/>
        <w:rPr>
          <w:rFonts w:ascii="黑体" w:eastAsia="黑体" w:hAnsi="宋体" w:cs="黑体"/>
          <w:color w:val="000000"/>
          <w:sz w:val="72"/>
          <w:szCs w:val="72"/>
          <w:shd w:val="clear" w:color="auto" w:fill="FFFFFF"/>
        </w:rPr>
      </w:pPr>
    </w:p>
    <w:p w:rsidR="00314A00" w:rsidRDefault="00314A00">
      <w:pPr>
        <w:pStyle w:val="a7"/>
        <w:widowControl/>
        <w:shd w:val="clear" w:color="auto" w:fill="FFFFFF"/>
        <w:spacing w:beforeAutospacing="0" w:afterAutospacing="0"/>
        <w:outlineLvl w:val="1"/>
        <w:rPr>
          <w:rFonts w:ascii="黑体" w:eastAsia="黑体" w:hAnsi="宋体" w:cs="黑体"/>
          <w:color w:val="000000"/>
          <w:sz w:val="32"/>
          <w:szCs w:val="32"/>
          <w:shd w:val="clear" w:color="auto" w:fill="FFFFFF"/>
        </w:rPr>
      </w:pPr>
    </w:p>
    <w:p w:rsidR="00314A00" w:rsidRDefault="00B456B2">
      <w:pPr>
        <w:widowControl/>
        <w:spacing w:line="360" w:lineRule="auto"/>
        <w:jc w:val="left"/>
        <w:outlineLvl w:val="1"/>
        <w:rPr>
          <w:rFonts w:ascii="Times New Roman" w:eastAsia="黑体"/>
          <w:sz w:val="32"/>
          <w:szCs w:val="32"/>
        </w:rPr>
      </w:pPr>
      <w:r>
        <w:rPr>
          <w:rFonts w:ascii="Times New Roman" w:eastAsia="黑体"/>
          <w:sz w:val="32"/>
          <w:szCs w:val="32"/>
        </w:rPr>
        <w:lastRenderedPageBreak/>
        <w:t>一、部门职责</w:t>
      </w:r>
    </w:p>
    <w:p w:rsidR="00314A00" w:rsidRDefault="00314A00" w:rsidP="007F5941">
      <w:pPr>
        <w:widowControl/>
        <w:spacing w:line="360" w:lineRule="auto"/>
        <w:ind w:firstLineChars="200" w:firstLine="640"/>
        <w:jc w:val="left"/>
        <w:rPr>
          <w:rFonts w:ascii="Times New Roman" w:eastAsia="仿宋_GB2312"/>
          <w:sz w:val="32"/>
          <w:szCs w:val="32"/>
        </w:rPr>
      </w:pPr>
    </w:p>
    <w:p w:rsidR="00314A00" w:rsidRDefault="00B456B2">
      <w:pPr>
        <w:widowControl/>
        <w:spacing w:line="360" w:lineRule="auto"/>
        <w:jc w:val="left"/>
        <w:outlineLvl w:val="1"/>
        <w:rPr>
          <w:rFonts w:ascii="Times New Roman" w:eastAsia="黑体"/>
          <w:sz w:val="32"/>
          <w:szCs w:val="32"/>
        </w:rPr>
      </w:pPr>
      <w:r>
        <w:rPr>
          <w:rFonts w:ascii="Times New Roman" w:eastAsia="黑体"/>
          <w:sz w:val="32"/>
          <w:szCs w:val="32"/>
        </w:rPr>
        <w:t>二、机构设置</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从决算编报</w:t>
      </w:r>
      <w:r w:rsidR="007F5941">
        <w:rPr>
          <w:rFonts w:ascii="宋体" w:eastAsia="宋体" w:hAnsi="宋体" w:hint="eastAsia"/>
          <w:sz w:val="32"/>
          <w:szCs w:val="32"/>
        </w:rPr>
        <w:t>部门</w:t>
      </w:r>
      <w:r>
        <w:rPr>
          <w:rFonts w:ascii="Times New Roman" w:eastAsia="仿宋_GB2312"/>
          <w:sz w:val="32"/>
          <w:szCs w:val="32"/>
        </w:rPr>
        <w:t>构成看，纳入</w:t>
      </w:r>
      <w:r>
        <w:rPr>
          <w:rFonts w:ascii="Times New Roman" w:eastAsia="仿宋_GB2312"/>
          <w:sz w:val="32"/>
          <w:szCs w:val="32"/>
        </w:rPr>
        <w:t>2025</w:t>
      </w:r>
      <w:r>
        <w:rPr>
          <w:rFonts w:ascii="Times New Roman" w:eastAsia="仿宋_GB2312"/>
          <w:sz w:val="32"/>
          <w:szCs w:val="32"/>
        </w:rPr>
        <w:t>年度本部门决算汇编范围的独立核算</w:t>
      </w:r>
      <w:r w:rsidR="007F5941">
        <w:rPr>
          <w:rFonts w:ascii="宋体" w:eastAsia="宋体" w:hAnsi="宋体" w:hint="eastAsia"/>
          <w:sz w:val="32"/>
          <w:szCs w:val="32"/>
        </w:rPr>
        <w:t>部门</w:t>
      </w:r>
      <w:r>
        <w:rPr>
          <w:rFonts w:ascii="Times New Roman" w:eastAsia="仿宋_GB2312"/>
          <w:sz w:val="32"/>
          <w:szCs w:val="32"/>
        </w:rPr>
        <w:t>（以下简称</w:t>
      </w:r>
      <w:r>
        <w:rPr>
          <w:rFonts w:ascii="Times New Roman" w:eastAsia="仿宋_GB2312"/>
          <w:sz w:val="32"/>
          <w:szCs w:val="32"/>
        </w:rPr>
        <w:t>“</w:t>
      </w:r>
      <w:r w:rsidR="007F5941">
        <w:rPr>
          <w:rFonts w:ascii="宋体" w:eastAsia="宋体" w:hAnsi="宋体" w:hint="eastAsia"/>
          <w:sz w:val="32"/>
          <w:szCs w:val="32"/>
        </w:rPr>
        <w:t>部门</w:t>
      </w:r>
      <w:r>
        <w:rPr>
          <w:rFonts w:ascii="Times New Roman" w:eastAsia="仿宋_GB2312"/>
          <w:sz w:val="32"/>
          <w:szCs w:val="32"/>
        </w:rPr>
        <w:t>”</w:t>
      </w:r>
      <w:r>
        <w:rPr>
          <w:rFonts w:ascii="Times New Roman" w:eastAsia="仿宋_GB2312"/>
          <w:sz w:val="32"/>
          <w:szCs w:val="32"/>
        </w:rPr>
        <w:t>）共个，具体情况如下：</w:t>
      </w:r>
    </w:p>
    <w:tbl>
      <w:tblPr>
        <w:tblpPr w:leftFromText="180" w:rightFromText="180" w:vertAnchor="text" w:horzAnchor="page" w:tblpXSpec="center" w:tblpY="10"/>
        <w:tblOverlap w:val="never"/>
        <w:tblW w:w="9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5"/>
        <w:gridCol w:w="3485"/>
        <w:gridCol w:w="2445"/>
        <w:gridCol w:w="2665"/>
      </w:tblGrid>
      <w:tr w:rsidR="00314A00">
        <w:trPr>
          <w:trHeight w:val="811"/>
          <w:jc w:val="center"/>
        </w:trPr>
        <w:tc>
          <w:tcPr>
            <w:tcW w:w="985" w:type="dxa"/>
            <w:vAlign w:val="center"/>
          </w:tcPr>
          <w:p w:rsidR="00314A00" w:rsidRDefault="00B456B2">
            <w:pPr>
              <w:spacing w:line="560" w:lineRule="exact"/>
              <w:jc w:val="center"/>
              <w:rPr>
                <w:rFonts w:ascii="仿宋_GB2312" w:eastAsia="仿宋_GB2312" w:hAnsi="Calibri" w:cs="ArialUnicodeMS"/>
                <w:b/>
                <w:bCs/>
                <w:sz w:val="28"/>
                <w:szCs w:val="28"/>
              </w:rPr>
            </w:pPr>
            <w:r>
              <w:rPr>
                <w:rFonts w:ascii="仿宋_GB2312" w:eastAsia="仿宋_GB2312" w:hAnsi="Calibri" w:cs="ArialUnicodeMS" w:hint="eastAsia"/>
                <w:b/>
                <w:bCs/>
                <w:sz w:val="28"/>
                <w:szCs w:val="28"/>
              </w:rPr>
              <w:t>序号</w:t>
            </w:r>
          </w:p>
        </w:tc>
        <w:tc>
          <w:tcPr>
            <w:tcW w:w="3485" w:type="dxa"/>
            <w:vAlign w:val="center"/>
          </w:tcPr>
          <w:p w:rsidR="00314A00" w:rsidRDefault="007F5941">
            <w:pPr>
              <w:spacing w:line="560" w:lineRule="exact"/>
              <w:jc w:val="center"/>
              <w:rPr>
                <w:rFonts w:ascii="仿宋_GB2312" w:eastAsia="仿宋_GB2312" w:hAnsi="Calibri" w:cs="ArialUnicodeMS"/>
                <w:b/>
                <w:bCs/>
                <w:sz w:val="28"/>
                <w:szCs w:val="28"/>
              </w:rPr>
            </w:pPr>
            <w:r>
              <w:rPr>
                <w:rFonts w:ascii="宋体" w:eastAsia="宋体" w:hAnsi="宋体" w:hint="eastAsia"/>
                <w:b/>
                <w:bCs/>
                <w:sz w:val="28"/>
                <w:szCs w:val="28"/>
              </w:rPr>
              <w:t>部门</w:t>
            </w:r>
            <w:r w:rsidR="00B456B2">
              <w:rPr>
                <w:rFonts w:ascii="仿宋_GB2312" w:eastAsia="仿宋_GB2312" w:hAnsi="Calibri" w:cs="ArialUnicodeMS" w:hint="eastAsia"/>
                <w:b/>
                <w:bCs/>
                <w:sz w:val="28"/>
                <w:szCs w:val="28"/>
              </w:rPr>
              <w:t>名称</w:t>
            </w:r>
          </w:p>
        </w:tc>
        <w:tc>
          <w:tcPr>
            <w:tcW w:w="2445" w:type="dxa"/>
            <w:vAlign w:val="center"/>
          </w:tcPr>
          <w:p w:rsidR="00314A00" w:rsidRDefault="007F5941">
            <w:pPr>
              <w:spacing w:line="560" w:lineRule="exact"/>
              <w:jc w:val="center"/>
              <w:rPr>
                <w:rFonts w:ascii="仿宋_GB2312" w:eastAsia="仿宋_GB2312" w:hAnsi="Calibri" w:cs="ArialUnicodeMS"/>
                <w:b/>
                <w:bCs/>
                <w:sz w:val="28"/>
                <w:szCs w:val="28"/>
              </w:rPr>
            </w:pPr>
            <w:r>
              <w:rPr>
                <w:rFonts w:ascii="宋体" w:eastAsia="宋体" w:hAnsi="宋体" w:hint="eastAsia"/>
                <w:b/>
                <w:bCs/>
                <w:sz w:val="28"/>
                <w:szCs w:val="28"/>
              </w:rPr>
              <w:t>部门</w:t>
            </w:r>
            <w:r w:rsidR="00B456B2">
              <w:rPr>
                <w:rFonts w:ascii="仿宋_GB2312" w:eastAsia="仿宋_GB2312" w:hAnsi="Calibri" w:cs="ArialUnicodeMS" w:hint="eastAsia"/>
                <w:b/>
                <w:bCs/>
                <w:sz w:val="28"/>
                <w:szCs w:val="28"/>
              </w:rPr>
              <w:t>基本性质</w:t>
            </w:r>
          </w:p>
        </w:tc>
        <w:tc>
          <w:tcPr>
            <w:tcW w:w="2665" w:type="dxa"/>
            <w:vAlign w:val="center"/>
          </w:tcPr>
          <w:p w:rsidR="00314A00" w:rsidRDefault="00B456B2">
            <w:pPr>
              <w:spacing w:line="560" w:lineRule="exact"/>
              <w:jc w:val="center"/>
              <w:rPr>
                <w:rFonts w:ascii="仿宋_GB2312" w:eastAsia="仿宋_GB2312" w:hAnsi="Calibri" w:cs="ArialUnicodeMS"/>
                <w:b/>
                <w:bCs/>
                <w:sz w:val="28"/>
                <w:szCs w:val="28"/>
              </w:rPr>
            </w:pPr>
            <w:r>
              <w:rPr>
                <w:rFonts w:ascii="仿宋_GB2312" w:eastAsia="仿宋_GB2312" w:hAnsi="Calibri" w:cs="ArialUnicodeMS" w:hint="eastAsia"/>
                <w:b/>
                <w:bCs/>
                <w:sz w:val="28"/>
                <w:szCs w:val="28"/>
              </w:rPr>
              <w:t>经费形式</w:t>
            </w:r>
          </w:p>
        </w:tc>
      </w:tr>
      <w:tr w:rsidR="00314A00">
        <w:trPr>
          <w:trHeight w:val="596"/>
          <w:jc w:val="center"/>
        </w:trPr>
        <w:tc>
          <w:tcPr>
            <w:tcW w:w="985" w:type="dxa"/>
          </w:tcPr>
          <w:p w:rsidR="00314A00" w:rsidRDefault="00B456B2">
            <w:pPr>
              <w:spacing w:line="560" w:lineRule="exact"/>
              <w:jc w:val="center"/>
              <w:rPr>
                <w:rFonts w:ascii="仿宋_GB2312" w:eastAsia="仿宋_GB2312" w:hAnsi="Calibri" w:cs="ArialUnicodeMS"/>
                <w:sz w:val="28"/>
                <w:szCs w:val="28"/>
              </w:rPr>
            </w:pPr>
            <w:r>
              <w:rPr>
                <w:rFonts w:ascii="仿宋_GB2312" w:eastAsia="仿宋_GB2312" w:hAnsi="Calibri" w:cs="ArialUnicodeMS" w:hint="eastAsia"/>
                <w:sz w:val="28"/>
                <w:szCs w:val="28"/>
              </w:rPr>
              <w:t>1</w:t>
            </w:r>
          </w:p>
        </w:tc>
        <w:tc>
          <w:tcPr>
            <w:tcW w:w="3485" w:type="dxa"/>
          </w:tcPr>
          <w:p w:rsidR="00314A00" w:rsidRDefault="00B456B2">
            <w:pPr>
              <w:spacing w:line="560" w:lineRule="exact"/>
              <w:jc w:val="center"/>
              <w:rPr>
                <w:rFonts w:ascii="仿宋_GB2312" w:eastAsia="仿宋_GB2312" w:hAnsi="Calibri" w:cs="ArialUnicodeMS"/>
                <w:sz w:val="28"/>
                <w:szCs w:val="28"/>
              </w:rPr>
            </w:pPr>
            <w:r>
              <w:rPr>
                <w:rFonts w:ascii="仿宋_GB2312" w:eastAsia="仿宋_GB2312" w:hAnsi="Calibri" w:cs="ArialUnicodeMS" w:hint="eastAsia"/>
                <w:sz w:val="28"/>
                <w:szCs w:val="28"/>
              </w:rPr>
              <w:t>中国共产党无极县纪律检查委员会</w:t>
            </w:r>
          </w:p>
        </w:tc>
        <w:tc>
          <w:tcPr>
            <w:tcW w:w="2445" w:type="dxa"/>
          </w:tcPr>
          <w:p w:rsidR="00314A00" w:rsidRDefault="007F5941">
            <w:pPr>
              <w:spacing w:line="560" w:lineRule="exact"/>
              <w:jc w:val="center"/>
              <w:rPr>
                <w:rFonts w:ascii="仿宋_GB2312" w:eastAsia="仿宋_GB2312" w:hAnsi="Calibri" w:cs="ArialUnicodeMS"/>
                <w:sz w:val="28"/>
                <w:szCs w:val="28"/>
              </w:rPr>
            </w:pPr>
            <w:r>
              <w:rPr>
                <w:rFonts w:ascii="仿宋_GB2312" w:eastAsia="仿宋_GB2312" w:hAnsi="Calibri" w:cs="ArialUnicodeMS" w:hint="eastAsia"/>
                <w:sz w:val="28"/>
                <w:szCs w:val="28"/>
              </w:rPr>
              <w:t>行政</w:t>
            </w:r>
          </w:p>
        </w:tc>
        <w:tc>
          <w:tcPr>
            <w:tcW w:w="2665" w:type="dxa"/>
          </w:tcPr>
          <w:p w:rsidR="00314A00" w:rsidRDefault="007F5941">
            <w:pPr>
              <w:spacing w:line="560" w:lineRule="exact"/>
              <w:jc w:val="center"/>
              <w:rPr>
                <w:rFonts w:ascii="仿宋_GB2312" w:eastAsia="仿宋_GB2312" w:hAnsi="Calibri" w:cs="ArialUnicodeMS"/>
                <w:sz w:val="28"/>
                <w:szCs w:val="28"/>
              </w:rPr>
            </w:pPr>
            <w:r>
              <w:rPr>
                <w:rFonts w:ascii="仿宋_GB2312" w:eastAsia="仿宋_GB2312" w:hAnsi="Calibri" w:cs="ArialUnicodeMS" w:hint="eastAsia"/>
                <w:sz w:val="28"/>
                <w:szCs w:val="28"/>
              </w:rPr>
              <w:t>财政拨款</w:t>
            </w:r>
          </w:p>
        </w:tc>
      </w:tr>
    </w:tbl>
    <w:p w:rsidR="00314A00" w:rsidRDefault="00B456B2">
      <w:pPr>
        <w:rPr>
          <w:rFonts w:ascii="Times New Roman" w:eastAsia="黑体" w:hAnsi="Times New Roman" w:cs="Times New Roman"/>
          <w:sz w:val="32"/>
          <w:szCs w:val="32"/>
          <w:highlight w:val="yellow"/>
        </w:rPr>
      </w:pPr>
      <w:r>
        <w:rPr>
          <w:rFonts w:ascii="Times New Roman" w:eastAsia="黑体" w:hAnsi="Times New Roman" w:cs="Times New Roman" w:hint="eastAsia"/>
          <w:sz w:val="32"/>
          <w:szCs w:val="32"/>
          <w:highlight w:val="yellow"/>
        </w:rPr>
        <w:br w:type="page"/>
      </w:r>
    </w:p>
    <w:p w:rsidR="00314A00" w:rsidRDefault="00314A00">
      <w:pPr>
        <w:pStyle w:val="a7"/>
        <w:widowControl/>
        <w:spacing w:beforeAutospacing="0" w:afterAutospacing="0"/>
        <w:jc w:val="both"/>
        <w:outlineLvl w:val="0"/>
        <w:rPr>
          <w:rFonts w:ascii="黑体" w:eastAsia="黑体" w:hAnsi="宋体" w:cs="黑体"/>
          <w:color w:val="000000"/>
          <w:sz w:val="72"/>
          <w:szCs w:val="72"/>
          <w:shd w:val="clear" w:color="auto" w:fill="FFFFFF"/>
        </w:rPr>
      </w:pPr>
    </w:p>
    <w:p w:rsidR="00314A00" w:rsidRDefault="00314A00">
      <w:pPr>
        <w:pStyle w:val="a7"/>
        <w:widowControl/>
        <w:spacing w:beforeAutospacing="0" w:afterAutospacing="0"/>
        <w:jc w:val="both"/>
        <w:outlineLvl w:val="0"/>
        <w:rPr>
          <w:rFonts w:ascii="黑体" w:eastAsia="黑体" w:hAnsi="宋体" w:cs="黑体"/>
          <w:color w:val="000000"/>
          <w:sz w:val="72"/>
          <w:szCs w:val="72"/>
          <w:shd w:val="clear" w:color="auto" w:fill="FFFFFF"/>
        </w:rPr>
      </w:pPr>
    </w:p>
    <w:p w:rsidR="00314A00" w:rsidRDefault="00314A00">
      <w:pPr>
        <w:pStyle w:val="a7"/>
        <w:widowControl/>
        <w:spacing w:beforeAutospacing="0" w:afterAutospacing="0"/>
        <w:jc w:val="both"/>
        <w:outlineLvl w:val="0"/>
        <w:rPr>
          <w:rFonts w:ascii="黑体" w:eastAsia="黑体" w:hAnsi="宋体" w:cs="黑体"/>
          <w:color w:val="000000"/>
          <w:sz w:val="72"/>
          <w:szCs w:val="72"/>
          <w:shd w:val="clear" w:color="auto" w:fill="FFFFFF"/>
        </w:rPr>
      </w:pPr>
    </w:p>
    <w:p w:rsidR="00314A00" w:rsidRDefault="00314A00">
      <w:pPr>
        <w:pStyle w:val="a7"/>
        <w:widowControl/>
        <w:spacing w:beforeAutospacing="0" w:afterAutospacing="0"/>
        <w:jc w:val="both"/>
        <w:outlineLvl w:val="0"/>
        <w:rPr>
          <w:rFonts w:ascii="黑体" w:eastAsia="黑体" w:hAnsi="宋体" w:cs="黑体"/>
          <w:color w:val="000000"/>
          <w:sz w:val="72"/>
          <w:szCs w:val="72"/>
          <w:shd w:val="clear" w:color="auto" w:fill="FFFFFF"/>
        </w:rPr>
      </w:pPr>
    </w:p>
    <w:p w:rsidR="00314A00" w:rsidRDefault="00314A00">
      <w:pPr>
        <w:pStyle w:val="a7"/>
        <w:widowControl/>
        <w:spacing w:beforeAutospacing="0" w:afterAutospacing="0"/>
        <w:jc w:val="both"/>
        <w:outlineLvl w:val="0"/>
        <w:rPr>
          <w:rFonts w:ascii="黑体" w:eastAsia="黑体" w:hAnsi="宋体" w:cs="黑体"/>
          <w:color w:val="000000"/>
          <w:sz w:val="72"/>
          <w:szCs w:val="72"/>
          <w:shd w:val="clear" w:color="auto" w:fill="FFFFFF"/>
        </w:rPr>
      </w:pPr>
    </w:p>
    <w:p w:rsidR="00314A00" w:rsidRDefault="00B456B2">
      <w:pPr>
        <w:widowControl/>
        <w:spacing w:line="360" w:lineRule="auto"/>
        <w:jc w:val="center"/>
        <w:outlineLvl w:val="0"/>
        <w:rPr>
          <w:rFonts w:ascii="Times New Roman" w:eastAsia="黑体"/>
          <w:sz w:val="44"/>
          <w:szCs w:val="44"/>
        </w:rPr>
      </w:pPr>
      <w:r>
        <w:rPr>
          <w:rFonts w:ascii="Times New Roman" w:eastAsia="黑体"/>
          <w:sz w:val="44"/>
          <w:szCs w:val="44"/>
        </w:rPr>
        <w:t>第二部分</w:t>
      </w:r>
      <w:r>
        <w:rPr>
          <w:rFonts w:ascii="Times New Roman" w:eastAsia="仿宋_GB2312"/>
          <w:sz w:val="44"/>
          <w:szCs w:val="44"/>
        </w:rPr>
        <w:t>2025</w:t>
      </w:r>
      <w:r>
        <w:rPr>
          <w:rFonts w:ascii="Times New Roman" w:eastAsia="黑体"/>
          <w:sz w:val="44"/>
          <w:szCs w:val="44"/>
        </w:rPr>
        <w:t>年度部门决算表</w:t>
      </w:r>
    </w:p>
    <w:p w:rsidR="00314A00" w:rsidRDefault="00314A00">
      <w:pPr>
        <w:pStyle w:val="a7"/>
        <w:widowControl/>
        <w:spacing w:beforeAutospacing="0" w:afterAutospacing="0"/>
        <w:jc w:val="both"/>
        <w:outlineLvl w:val="0"/>
        <w:rPr>
          <w:rFonts w:ascii="黑体" w:eastAsia="黑体" w:hAnsi="宋体" w:cs="黑体"/>
          <w:color w:val="000000"/>
          <w:sz w:val="72"/>
          <w:szCs w:val="72"/>
          <w:shd w:val="clear" w:color="auto" w:fill="FFFFFF"/>
        </w:rPr>
      </w:pPr>
    </w:p>
    <w:p w:rsidR="00314A00" w:rsidRDefault="00314A00">
      <w:pPr>
        <w:pStyle w:val="a7"/>
        <w:widowControl/>
        <w:spacing w:beforeAutospacing="0" w:afterAutospacing="0"/>
        <w:jc w:val="both"/>
        <w:outlineLvl w:val="0"/>
        <w:rPr>
          <w:rFonts w:ascii="黑体" w:eastAsia="黑体" w:hAnsi="宋体" w:cs="黑体"/>
          <w:color w:val="000000"/>
          <w:sz w:val="72"/>
          <w:szCs w:val="72"/>
          <w:shd w:val="clear" w:color="auto" w:fill="FFFFFF"/>
        </w:rPr>
      </w:pPr>
    </w:p>
    <w:p w:rsidR="00314A00" w:rsidRDefault="00314A00">
      <w:pPr>
        <w:pStyle w:val="a7"/>
        <w:widowControl/>
        <w:spacing w:beforeAutospacing="0" w:afterAutospacing="0"/>
        <w:jc w:val="both"/>
        <w:outlineLvl w:val="0"/>
        <w:rPr>
          <w:rFonts w:ascii="黑体" w:eastAsia="黑体" w:hAnsi="宋体" w:cs="黑体"/>
          <w:color w:val="000000"/>
          <w:sz w:val="72"/>
          <w:szCs w:val="72"/>
          <w:shd w:val="clear" w:color="auto" w:fill="FFFFFF"/>
        </w:rPr>
      </w:pPr>
    </w:p>
    <w:p w:rsidR="00314A00" w:rsidRDefault="00314A00">
      <w:pPr>
        <w:pStyle w:val="a7"/>
        <w:widowControl/>
        <w:spacing w:beforeAutospacing="0" w:afterAutospacing="0"/>
        <w:jc w:val="both"/>
        <w:outlineLvl w:val="0"/>
        <w:rPr>
          <w:rFonts w:ascii="黑体" w:eastAsia="黑体" w:hAnsi="宋体" w:cs="黑体"/>
          <w:color w:val="000000"/>
          <w:sz w:val="72"/>
          <w:szCs w:val="72"/>
          <w:shd w:val="clear" w:color="auto" w:fill="FFFFFF"/>
        </w:rPr>
      </w:pPr>
    </w:p>
    <w:p w:rsidR="00314A00" w:rsidRDefault="00314A00">
      <w:pPr>
        <w:pStyle w:val="a7"/>
        <w:widowControl/>
        <w:spacing w:beforeAutospacing="0" w:afterAutospacing="0"/>
        <w:jc w:val="both"/>
        <w:outlineLvl w:val="0"/>
        <w:rPr>
          <w:rFonts w:ascii="黑体" w:eastAsia="黑体" w:hAnsi="宋体" w:cs="黑体"/>
          <w:color w:val="000000"/>
          <w:sz w:val="72"/>
          <w:szCs w:val="72"/>
          <w:shd w:val="clear" w:color="auto" w:fill="FFFFFF"/>
        </w:rPr>
      </w:pPr>
    </w:p>
    <w:p w:rsidR="00314A00" w:rsidRDefault="00314A00">
      <w:pPr>
        <w:pStyle w:val="a7"/>
        <w:widowControl/>
        <w:spacing w:beforeAutospacing="0" w:afterAutospacing="0"/>
        <w:jc w:val="both"/>
        <w:outlineLvl w:val="0"/>
        <w:rPr>
          <w:rFonts w:ascii="黑体" w:eastAsia="黑体" w:hAnsi="宋体" w:cs="黑体"/>
          <w:color w:val="000000"/>
          <w:sz w:val="72"/>
          <w:szCs w:val="72"/>
          <w:shd w:val="clear" w:color="auto" w:fill="FFFFFF"/>
        </w:rPr>
      </w:pPr>
    </w:p>
    <w:p w:rsidR="00314A00" w:rsidRDefault="00314A00">
      <w:pPr>
        <w:pStyle w:val="a7"/>
        <w:widowControl/>
        <w:spacing w:beforeAutospacing="0" w:afterAutospacing="0"/>
        <w:jc w:val="both"/>
        <w:outlineLvl w:val="0"/>
        <w:rPr>
          <w:rFonts w:ascii="黑体" w:eastAsia="黑体" w:hAnsi="宋体" w:cs="黑体"/>
          <w:color w:val="000000"/>
          <w:sz w:val="72"/>
          <w:szCs w:val="72"/>
          <w:shd w:val="clear" w:color="auto" w:fill="FFFFFF"/>
        </w:rPr>
      </w:pPr>
    </w:p>
    <w:p w:rsidR="00314A00" w:rsidRDefault="00314A00">
      <w:pPr>
        <w:pStyle w:val="a7"/>
        <w:widowControl/>
        <w:spacing w:beforeAutospacing="0" w:afterAutospacing="0"/>
        <w:jc w:val="both"/>
        <w:outlineLvl w:val="0"/>
        <w:rPr>
          <w:rFonts w:ascii="黑体" w:eastAsia="黑体" w:hAnsi="宋体" w:cs="黑体"/>
          <w:color w:val="000000"/>
          <w:sz w:val="72"/>
          <w:szCs w:val="72"/>
          <w:shd w:val="clear" w:color="auto" w:fill="FFFFFF"/>
        </w:rPr>
      </w:pPr>
    </w:p>
    <w:p w:rsidR="00314A00" w:rsidRDefault="00314A00"/>
    <w:p w:rsidR="00314A00" w:rsidRDefault="00314A00"/>
    <w:tbl>
      <w:tblPr>
        <w:tblW w:w="7250" w:type="pct"/>
        <w:tblInd w:w="-1817" w:type="dxa"/>
        <w:tblLayout w:type="fixed"/>
        <w:tblLook w:val="04A0"/>
      </w:tblPr>
      <w:tblGrid>
        <w:gridCol w:w="3344"/>
        <w:gridCol w:w="623"/>
        <w:gridCol w:w="613"/>
        <w:gridCol w:w="1154"/>
        <w:gridCol w:w="1788"/>
        <w:gridCol w:w="1301"/>
        <w:gridCol w:w="674"/>
        <w:gridCol w:w="2126"/>
        <w:gridCol w:w="35"/>
      </w:tblGrid>
      <w:tr w:rsidR="00314A00">
        <w:trPr>
          <w:gridAfter w:val="1"/>
          <w:wAfter w:w="14" w:type="pct"/>
          <w:trHeight w:val="361"/>
        </w:trPr>
        <w:tc>
          <w:tcPr>
            <w:tcW w:w="4985" w:type="pct"/>
            <w:gridSpan w:val="8"/>
            <w:tcBorders>
              <w:top w:val="nil"/>
              <w:left w:val="nil"/>
              <w:bottom w:val="nil"/>
              <w:right w:val="nil"/>
            </w:tcBorders>
            <w:noWrap/>
            <w:vAlign w:val="bottom"/>
          </w:tcPr>
          <w:p w:rsidR="00314A00" w:rsidRDefault="00B456B2">
            <w:pPr>
              <w:widowControl/>
              <w:jc w:val="center"/>
              <w:textAlignment w:val="bottom"/>
              <w:rPr>
                <w:rFonts w:ascii="宋体" w:eastAsia="宋体" w:hAnsi="宋体"/>
                <w:color w:val="000000"/>
                <w:sz w:val="20"/>
                <w:szCs w:val="20"/>
              </w:rPr>
            </w:pPr>
            <w:r>
              <w:rPr>
                <w:rFonts w:ascii="方正仿宋_GB2312" w:eastAsia="方正仿宋_GB2312" w:hAnsi="方正仿宋_GB2312" w:cs="方正仿宋_GB2312" w:hint="eastAsia"/>
                <w:bCs/>
                <w:sz w:val="32"/>
                <w:szCs w:val="32"/>
              </w:rPr>
              <w:lastRenderedPageBreak/>
              <w:t>收入支出决算总表</w:t>
            </w:r>
          </w:p>
        </w:tc>
      </w:tr>
      <w:tr w:rsidR="00314A00">
        <w:trPr>
          <w:gridAfter w:val="1"/>
          <w:wAfter w:w="14" w:type="pct"/>
          <w:trHeight w:val="357"/>
        </w:trPr>
        <w:tc>
          <w:tcPr>
            <w:tcW w:w="4985" w:type="pct"/>
            <w:gridSpan w:val="8"/>
            <w:tcBorders>
              <w:top w:val="nil"/>
              <w:left w:val="nil"/>
              <w:bottom w:val="nil"/>
              <w:right w:val="nil"/>
            </w:tcBorders>
            <w:noWrap/>
            <w:vAlign w:val="bottom"/>
          </w:tcPr>
          <w:p w:rsidR="00314A00" w:rsidRDefault="00B456B2">
            <w:pPr>
              <w:widowControl/>
              <w:jc w:val="right"/>
              <w:textAlignment w:val="bottom"/>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 xml:space="preserve"> </w:t>
            </w:r>
            <w:r>
              <w:rPr>
                <w:rFonts w:ascii="方正仿宋_GB2312" w:eastAsia="方正仿宋_GB2312" w:hAnsi="方正仿宋_GB2312" w:cs="方正仿宋_GB2312" w:hint="eastAsia"/>
                <w:color w:val="000000"/>
                <w:sz w:val="20"/>
                <w:szCs w:val="20"/>
                <w:lang/>
              </w:rPr>
              <w:t>公开</w:t>
            </w:r>
            <w:r>
              <w:rPr>
                <w:rFonts w:ascii="Times New Roman" w:eastAsia="宋体" w:hAnsi="Times New Roman" w:cs="Times New Roman" w:hint="eastAsia"/>
                <w:color w:val="000000"/>
                <w:sz w:val="20"/>
                <w:szCs w:val="20"/>
              </w:rPr>
              <w:t>01</w:t>
            </w:r>
            <w:r>
              <w:rPr>
                <w:rFonts w:ascii="方正仿宋_GB2312" w:eastAsia="方正仿宋_GB2312" w:hAnsi="方正仿宋_GB2312" w:cs="方正仿宋_GB2312" w:hint="eastAsia"/>
                <w:color w:val="000000"/>
                <w:sz w:val="20"/>
                <w:szCs w:val="20"/>
                <w:lang/>
              </w:rPr>
              <w:t>表</w:t>
            </w:r>
          </w:p>
        </w:tc>
      </w:tr>
      <w:tr w:rsidR="00314A00">
        <w:trPr>
          <w:gridAfter w:val="1"/>
          <w:wAfter w:w="14" w:type="pct"/>
          <w:trHeight w:val="351"/>
        </w:trPr>
        <w:tc>
          <w:tcPr>
            <w:tcW w:w="1964" w:type="pct"/>
            <w:gridSpan w:val="3"/>
            <w:tcBorders>
              <w:top w:val="nil"/>
              <w:left w:val="nil"/>
              <w:bottom w:val="single" w:sz="8" w:space="0" w:color="000000" w:themeColor="text1"/>
              <w:right w:val="nil"/>
            </w:tcBorders>
            <w:noWrap/>
            <w:vAlign w:val="bottom"/>
          </w:tcPr>
          <w:p w:rsidR="00314A00" w:rsidRDefault="00B456B2">
            <w:pPr>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部门（</w:t>
            </w:r>
            <w:r w:rsidR="007F5941">
              <w:rPr>
                <w:rFonts w:ascii="方正仿宋_GB2312" w:eastAsia="方正仿宋_GB2312" w:hAnsi="方正仿宋_GB2312" w:cs="方正仿宋_GB2312" w:hint="eastAsia"/>
                <w:color w:val="000000"/>
                <w:sz w:val="20"/>
                <w:szCs w:val="20"/>
                <w:lang/>
              </w:rPr>
              <w:t>部门</w:t>
            </w:r>
            <w:r>
              <w:rPr>
                <w:rFonts w:ascii="方正仿宋_GB2312" w:eastAsia="方正仿宋_GB2312" w:hAnsi="方正仿宋_GB2312" w:cs="方正仿宋_GB2312" w:hint="eastAsia"/>
                <w:color w:val="000000"/>
                <w:sz w:val="20"/>
                <w:szCs w:val="20"/>
                <w:lang/>
              </w:rPr>
              <w:t>）：中国共产党无极县纪律检查委员会</w:t>
            </w:r>
          </w:p>
        </w:tc>
        <w:tc>
          <w:tcPr>
            <w:tcW w:w="1262" w:type="pct"/>
            <w:gridSpan w:val="2"/>
            <w:tcBorders>
              <w:top w:val="nil"/>
              <w:left w:val="nil"/>
              <w:bottom w:val="single" w:sz="8" w:space="0" w:color="000000" w:themeColor="text1"/>
              <w:right w:val="nil"/>
            </w:tcBorders>
            <w:noWrap/>
            <w:vAlign w:val="bottom"/>
          </w:tcPr>
          <w:p w:rsidR="00314A00" w:rsidRDefault="00B456B2">
            <w:pPr>
              <w:jc w:val="center"/>
              <w:rPr>
                <w:rFonts w:ascii="宋体" w:eastAsia="宋体" w:hAnsi="宋体"/>
                <w:color w:val="000000"/>
                <w:sz w:val="20"/>
                <w:szCs w:val="20"/>
                <w:lang/>
              </w:rPr>
            </w:pPr>
            <w:r>
              <w:rPr>
                <w:rFonts w:ascii="Times New Roman" w:eastAsia="宋体" w:hAnsi="Times New Roman" w:cs="Times New Roman" w:hint="eastAsia"/>
                <w:color w:val="000000"/>
                <w:sz w:val="20"/>
                <w:szCs w:val="20"/>
              </w:rPr>
              <w:t>2025</w:t>
            </w:r>
            <w:r>
              <w:rPr>
                <w:rFonts w:ascii="方正仿宋_GB2312" w:eastAsia="方正仿宋_GB2312" w:hAnsi="方正仿宋_GB2312" w:cs="方正仿宋_GB2312" w:hint="eastAsia"/>
                <w:color w:val="000000"/>
                <w:sz w:val="20"/>
                <w:szCs w:val="20"/>
                <w:lang/>
              </w:rPr>
              <w:t>年度</w:t>
            </w:r>
          </w:p>
        </w:tc>
        <w:tc>
          <w:tcPr>
            <w:tcW w:w="1757" w:type="pct"/>
            <w:gridSpan w:val="3"/>
            <w:tcBorders>
              <w:top w:val="nil"/>
              <w:left w:val="nil"/>
              <w:bottom w:val="single" w:sz="8" w:space="0" w:color="000000" w:themeColor="text1"/>
              <w:right w:val="nil"/>
            </w:tcBorders>
            <w:noWrap/>
            <w:vAlign w:val="bottom"/>
          </w:tcPr>
          <w:p w:rsidR="00314A00" w:rsidRDefault="00B456B2">
            <w:pPr>
              <w:jc w:val="right"/>
              <w:rPr>
                <w:rFonts w:ascii="宋体" w:eastAsia="宋体" w:hAnsi="宋体"/>
                <w:color w:val="000000"/>
                <w:sz w:val="20"/>
                <w:szCs w:val="20"/>
                <w:lang/>
              </w:rPr>
            </w:pPr>
            <w:r>
              <w:rPr>
                <w:rFonts w:ascii="方正仿宋_GB2312" w:eastAsia="方正仿宋_GB2312" w:hAnsi="方正仿宋_GB2312" w:cs="方正仿宋_GB2312" w:hint="eastAsia"/>
                <w:color w:val="000000"/>
                <w:sz w:val="20"/>
                <w:szCs w:val="20"/>
                <w:lang/>
              </w:rPr>
              <w:t>金额</w:t>
            </w:r>
            <w:r w:rsidR="007F5941">
              <w:rPr>
                <w:rFonts w:ascii="方正仿宋_GB2312" w:eastAsia="方正仿宋_GB2312" w:hAnsi="方正仿宋_GB2312" w:cs="方正仿宋_GB2312" w:hint="eastAsia"/>
                <w:color w:val="000000"/>
                <w:sz w:val="20"/>
                <w:szCs w:val="20"/>
                <w:lang/>
              </w:rPr>
              <w:t>部门</w:t>
            </w:r>
            <w:r>
              <w:rPr>
                <w:rFonts w:ascii="方正仿宋_GB2312" w:eastAsia="方正仿宋_GB2312" w:hAnsi="方正仿宋_GB2312" w:cs="方正仿宋_GB2312" w:hint="eastAsia"/>
                <w:color w:val="000000"/>
                <w:sz w:val="20"/>
                <w:szCs w:val="20"/>
                <w:lang/>
              </w:rPr>
              <w:t>：万元</w:t>
            </w:r>
          </w:p>
        </w:tc>
      </w:tr>
      <w:tr w:rsidR="00314A00">
        <w:trPr>
          <w:gridAfter w:val="1"/>
          <w:wAfter w:w="14" w:type="pct"/>
          <w:trHeight w:val="544"/>
        </w:trPr>
        <w:tc>
          <w:tcPr>
            <w:tcW w:w="2459" w:type="pct"/>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宋体" w:eastAsia="宋体" w:hAnsi="宋体" w:hint="eastAsia"/>
                <w:color w:val="000000"/>
                <w:sz w:val="20"/>
                <w:szCs w:val="20"/>
                <w:lang/>
              </w:rPr>
              <w:t>收入</w:t>
            </w:r>
          </w:p>
        </w:tc>
        <w:tc>
          <w:tcPr>
            <w:tcW w:w="2525" w:type="pct"/>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宋体" w:eastAsia="宋体" w:hAnsi="宋体" w:hint="eastAsia"/>
                <w:color w:val="000000"/>
                <w:sz w:val="20"/>
                <w:szCs w:val="20"/>
                <w:lang/>
              </w:rPr>
              <w:t>支出</w:t>
            </w:r>
          </w:p>
        </w:tc>
      </w:tr>
      <w:tr w:rsidR="00314A00">
        <w:trPr>
          <w:gridAfter w:val="1"/>
          <w:wAfter w:w="14" w:type="pct"/>
          <w:trHeight w:val="308"/>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项目</w:t>
            </w: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行次</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决算数</w:t>
            </w: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项目</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行次</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决算数</w:t>
            </w: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栏次</w:t>
            </w: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Times New Roman" w:eastAsia="宋体" w:hAnsi="Times New Roman" w:cs="Times New Roman" w:hint="eastAsia"/>
                <w:color w:val="000000"/>
                <w:sz w:val="20"/>
                <w:szCs w:val="20"/>
              </w:rPr>
              <w:t>1</w:t>
            </w: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栏次</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Times New Roman" w:eastAsia="宋体" w:hAnsi="Times New Roman" w:cs="Times New Roman" w:hint="eastAsia"/>
                <w:color w:val="000000"/>
                <w:sz w:val="20"/>
                <w:szCs w:val="20"/>
              </w:rPr>
              <w:t>2</w:t>
            </w: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一、一般公共预算财政拨款收入</w:t>
            </w: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宋体" w:eastAsia="宋体" w:hAnsi="宋体"/>
                <w:color w:val="000000"/>
                <w:sz w:val="20"/>
                <w:szCs w:val="20"/>
              </w:rPr>
              <w:t>1</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1,073.86</w:t>
            </w: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一、一般公共服务支出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32</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895.70</w:t>
            </w: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二、政府性基金预算财政拨款收入</w:t>
            </w: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58.76</w:t>
            </w: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二、外交支出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33</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三、国有资本经营预算财政拨款收入</w:t>
            </w: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三、国防支出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34</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四、上级补助收入</w:t>
            </w: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四、公共安全支出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35</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五、事业收入</w:t>
            </w: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五、教育支出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36</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六、经营收入</w:t>
            </w: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6</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六、科学技术支出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37</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七、附属</w:t>
            </w:r>
            <w:r w:rsidR="007F5941">
              <w:rPr>
                <w:rFonts w:ascii="方正仿宋_GB2312" w:eastAsia="方正仿宋_GB2312" w:hAnsi="方正仿宋_GB2312" w:cs="方正仿宋_GB2312" w:hint="eastAsia"/>
                <w:color w:val="000000"/>
                <w:sz w:val="20"/>
                <w:szCs w:val="20"/>
                <w:lang/>
              </w:rPr>
              <w:t>部门</w:t>
            </w:r>
            <w:r>
              <w:rPr>
                <w:rFonts w:ascii="方正仿宋_GB2312" w:eastAsia="方正仿宋_GB2312" w:hAnsi="方正仿宋_GB2312" w:cs="方正仿宋_GB2312" w:hint="eastAsia"/>
                <w:color w:val="000000"/>
                <w:sz w:val="20"/>
                <w:szCs w:val="20"/>
                <w:lang/>
              </w:rPr>
              <w:t>上缴收入</w:t>
            </w: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7</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七、文化旅游体育与传媒支出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38</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八、其他收入</w:t>
            </w: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8</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八、社会保障和就业支出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39</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146.92</w:t>
            </w: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9</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九、卫生健康支出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40</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31.25</w:t>
            </w: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10</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十、节能环保支出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41</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11</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十一、城乡社区支出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42</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12</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十二、农林水支出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43</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539"/>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13</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十三、交通运输支出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44</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681"/>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14</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十四、资源勘探工业信息等支出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45</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780"/>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15</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十五、商业服务业等支出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46</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90"/>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16</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十六、金融支出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47</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17</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十七、援助其他地区支出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48</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539"/>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18</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十八、自然资源海洋气象等支出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49</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19</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十九、住房保障支出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50</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20</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二十、粮油物资储备支出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51</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21</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二十一、国有资本经营预算支出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52</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22</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18"/>
                <w:szCs w:val="18"/>
                <w:lang/>
              </w:rPr>
              <w:t>二十二、灾害防治及应急管理支出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53</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23</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二十三、其他支出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54</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58.76</w:t>
            </w: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24</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二十四、债务还本支出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55</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25</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二十五、债务付息支出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56</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26</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18"/>
                <w:szCs w:val="18"/>
                <w:lang/>
              </w:rPr>
              <w:t>二十六、抗疫特别国债安排的支出</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57</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b/>
                <w:bCs/>
                <w:color w:val="000000"/>
                <w:sz w:val="20"/>
                <w:szCs w:val="20"/>
              </w:rPr>
            </w:pPr>
            <w:r>
              <w:rPr>
                <w:rFonts w:ascii="方正仿宋_GB2312" w:eastAsia="方正仿宋_GB2312" w:hAnsi="方正仿宋_GB2312" w:cs="方正仿宋_GB2312" w:hint="eastAsia"/>
                <w:b/>
                <w:bCs/>
                <w:color w:val="000000"/>
                <w:sz w:val="20"/>
                <w:szCs w:val="20"/>
                <w:lang/>
              </w:rPr>
              <w:t>本年收入合计</w:t>
            </w: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27</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1,132.62</w:t>
            </w: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b/>
                <w:bCs/>
                <w:color w:val="000000"/>
                <w:sz w:val="20"/>
                <w:szCs w:val="20"/>
              </w:rPr>
            </w:pPr>
            <w:r>
              <w:rPr>
                <w:rFonts w:ascii="方正仿宋_GB2312" w:eastAsia="方正仿宋_GB2312" w:hAnsi="方正仿宋_GB2312" w:cs="方正仿宋_GB2312" w:hint="eastAsia"/>
                <w:b/>
                <w:bCs/>
                <w:color w:val="000000"/>
                <w:sz w:val="20"/>
                <w:szCs w:val="20"/>
                <w:lang/>
              </w:rPr>
              <w:t>本年支出合计</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58</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1,132.62</w:t>
            </w: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使用非财政拨款结余（含专用结余）</w:t>
            </w: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28</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结余分配</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59</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年初结转和结余</w:t>
            </w: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29</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年末结转和结余</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60</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476"/>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widowControl/>
              <w:jc w:val="center"/>
              <w:textAlignment w:val="center"/>
              <w:rPr>
                <w:rFonts w:ascii="方正仿宋_GB2312" w:eastAsia="方正仿宋_GB2312" w:hAnsi="方正仿宋_GB2312" w:cs="方正仿宋_GB2312"/>
                <w:b/>
                <w:bCs/>
                <w:color w:val="000000"/>
                <w:sz w:val="20"/>
                <w:szCs w:val="20"/>
                <w:lang/>
              </w:rPr>
            </w:pP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lang/>
              </w:rPr>
            </w:pPr>
            <w:r>
              <w:rPr>
                <w:rFonts w:ascii="Times New Roman" w:eastAsia="宋体" w:hAnsi="Times New Roman" w:cs="Times New Roman"/>
                <w:color w:val="000000"/>
                <w:sz w:val="20"/>
                <w:szCs w:val="20"/>
                <w:lang/>
              </w:rPr>
              <w:t>30</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widowControl/>
              <w:jc w:val="center"/>
              <w:textAlignment w:val="center"/>
              <w:rPr>
                <w:rFonts w:ascii="方正仿宋_GB2312" w:eastAsia="方正仿宋_GB2312" w:hAnsi="方正仿宋_GB2312" w:cs="方正仿宋_GB2312"/>
                <w:b/>
                <w:bCs/>
                <w:color w:val="000000"/>
                <w:sz w:val="20"/>
                <w:szCs w:val="20"/>
                <w:lang/>
              </w:rPr>
            </w:pP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lang/>
              </w:rPr>
            </w:pPr>
            <w:r>
              <w:rPr>
                <w:rFonts w:ascii="Times New Roman" w:eastAsia="宋体" w:hAnsi="Times New Roman" w:cs="Times New Roman"/>
                <w:color w:val="000000"/>
                <w:sz w:val="20"/>
                <w:szCs w:val="20"/>
                <w:lang/>
              </w:rPr>
              <w:t>61</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gridAfter w:val="1"/>
          <w:wAfter w:w="14" w:type="pct"/>
          <w:trHeight w:val="308"/>
        </w:trPr>
        <w:tc>
          <w:tcPr>
            <w:tcW w:w="1434"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b/>
                <w:bCs/>
                <w:color w:val="000000"/>
                <w:sz w:val="20"/>
                <w:szCs w:val="20"/>
              </w:rPr>
            </w:pPr>
            <w:r>
              <w:rPr>
                <w:rFonts w:ascii="方正仿宋_GB2312" w:eastAsia="方正仿宋_GB2312" w:hAnsi="方正仿宋_GB2312" w:cs="方正仿宋_GB2312" w:hint="eastAsia"/>
                <w:b/>
                <w:bCs/>
                <w:color w:val="000000"/>
                <w:sz w:val="20"/>
                <w:szCs w:val="20"/>
                <w:lang/>
              </w:rPr>
              <w:t>总计</w:t>
            </w:r>
          </w:p>
        </w:tc>
        <w:tc>
          <w:tcPr>
            <w:tcW w:w="26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31</w:t>
            </w:r>
          </w:p>
        </w:tc>
        <w:tc>
          <w:tcPr>
            <w:tcW w:w="75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1,132.62</w:t>
            </w:r>
          </w:p>
        </w:tc>
        <w:tc>
          <w:tcPr>
            <w:tcW w:w="132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b/>
                <w:bCs/>
                <w:color w:val="000000"/>
                <w:sz w:val="20"/>
                <w:szCs w:val="20"/>
              </w:rPr>
            </w:pPr>
            <w:r>
              <w:rPr>
                <w:rFonts w:ascii="方正仿宋_GB2312" w:eastAsia="方正仿宋_GB2312" w:hAnsi="方正仿宋_GB2312" w:cs="方正仿宋_GB2312" w:hint="eastAsia"/>
                <w:b/>
                <w:bCs/>
                <w:color w:val="000000"/>
                <w:sz w:val="20"/>
                <w:szCs w:val="20"/>
                <w:lang/>
              </w:rPr>
              <w:t>总计</w:t>
            </w:r>
          </w:p>
        </w:tc>
        <w:tc>
          <w:tcPr>
            <w:tcW w:w="2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62</w:t>
            </w:r>
          </w:p>
        </w:tc>
        <w:tc>
          <w:tcPr>
            <w:tcW w:w="91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1,132.62</w:t>
            </w:r>
          </w:p>
        </w:tc>
      </w:tr>
      <w:tr w:rsidR="00314A00">
        <w:trPr>
          <w:trHeight w:val="308"/>
        </w:trPr>
        <w:tc>
          <w:tcPr>
            <w:tcW w:w="5000" w:type="pct"/>
            <w:gridSpan w:val="9"/>
            <w:tcBorders>
              <w:top w:val="nil"/>
              <w:left w:val="nil"/>
              <w:bottom w:val="nil"/>
              <w:right w:val="nil"/>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lang/>
              </w:rPr>
            </w:pPr>
            <w:r>
              <w:rPr>
                <w:rFonts w:ascii="方正仿宋_GB2312" w:eastAsia="方正仿宋_GB2312" w:hAnsi="方正仿宋_GB2312" w:cs="方正仿宋_GB2312" w:hint="eastAsia"/>
                <w:color w:val="000000"/>
                <w:sz w:val="20"/>
                <w:szCs w:val="20"/>
                <w:lang/>
              </w:rPr>
              <w:t>注：</w:t>
            </w:r>
            <w:r>
              <w:rPr>
                <w:rFonts w:ascii="方正仿宋_GB2312" w:eastAsia="方正仿宋_GB2312" w:hAnsi="方正仿宋_GB2312" w:cs="方正仿宋_GB2312" w:hint="eastAsia"/>
                <w:color w:val="000000"/>
                <w:sz w:val="20"/>
                <w:szCs w:val="20"/>
                <w:lang/>
              </w:rPr>
              <w:t>1.</w:t>
            </w:r>
            <w:r>
              <w:rPr>
                <w:rFonts w:ascii="方正仿宋_GB2312" w:eastAsia="方正仿宋_GB2312" w:hAnsi="方正仿宋_GB2312" w:cs="方正仿宋_GB2312" w:hint="eastAsia"/>
                <w:color w:val="000000"/>
                <w:sz w:val="20"/>
                <w:szCs w:val="20"/>
                <w:lang/>
              </w:rPr>
              <w:t>本表反映部门本年度的总收支和年末结转结余情况。</w:t>
            </w:r>
          </w:p>
          <w:p w:rsidR="00314A00" w:rsidRDefault="00B456B2">
            <w:pPr>
              <w:widowControl/>
              <w:ind w:firstLineChars="200" w:firstLine="400"/>
              <w:jc w:val="left"/>
              <w:textAlignment w:val="center"/>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2.</w:t>
            </w:r>
            <w:r>
              <w:rPr>
                <w:rFonts w:ascii="方正仿宋_GB2312" w:eastAsia="方正仿宋_GB2312" w:hAnsi="方正仿宋_GB2312" w:cs="方正仿宋_GB2312" w:hint="eastAsia"/>
                <w:color w:val="000000"/>
                <w:sz w:val="20"/>
                <w:szCs w:val="20"/>
                <w:lang/>
              </w:rPr>
              <w:t>本套报表金额转换时可能存在尾数误差。</w:t>
            </w:r>
          </w:p>
        </w:tc>
      </w:tr>
    </w:tbl>
    <w:p w:rsidR="00314A00" w:rsidRDefault="00314A00">
      <w:pPr>
        <w:rPr>
          <w:rFonts w:ascii="仿宋_GB2312" w:eastAsia="仿宋_GB2312" w:hAnsi="宋体"/>
          <w:b/>
          <w:sz w:val="32"/>
          <w:szCs w:val="32"/>
        </w:rPr>
      </w:pPr>
    </w:p>
    <w:p w:rsidR="00314A00" w:rsidRDefault="00B456B2">
      <w:pPr>
        <w:rPr>
          <w:rFonts w:ascii="仿宋_GB2312" w:eastAsia="仿宋_GB2312" w:hAnsi="宋体"/>
          <w:b/>
          <w:sz w:val="32"/>
          <w:szCs w:val="32"/>
        </w:rPr>
      </w:pPr>
      <w:r>
        <w:rPr>
          <w:rFonts w:ascii="仿宋_GB2312" w:eastAsia="仿宋_GB2312" w:hAnsi="宋体" w:hint="eastAsia"/>
          <w:b/>
          <w:sz w:val="32"/>
          <w:szCs w:val="32"/>
        </w:rPr>
        <w:br w:type="page"/>
      </w:r>
    </w:p>
    <w:tbl>
      <w:tblPr>
        <w:tblW w:w="9230" w:type="dxa"/>
        <w:jc w:val="center"/>
        <w:tblLayout w:type="fixed"/>
        <w:tblLook w:val="04A0"/>
      </w:tblPr>
      <w:tblGrid>
        <w:gridCol w:w="1040"/>
        <w:gridCol w:w="1160"/>
        <w:gridCol w:w="1037"/>
        <w:gridCol w:w="1037"/>
        <w:gridCol w:w="1037"/>
        <w:gridCol w:w="964"/>
        <w:gridCol w:w="367"/>
        <w:gridCol w:w="597"/>
        <w:gridCol w:w="1027"/>
        <w:gridCol w:w="964"/>
      </w:tblGrid>
      <w:tr w:rsidR="00314A00">
        <w:trPr>
          <w:trHeight w:val="550"/>
          <w:jc w:val="center"/>
        </w:trPr>
        <w:tc>
          <w:tcPr>
            <w:tcW w:w="9230" w:type="dxa"/>
            <w:gridSpan w:val="10"/>
            <w:tcBorders>
              <w:top w:val="nil"/>
              <w:left w:val="nil"/>
              <w:bottom w:val="nil"/>
              <w:right w:val="nil"/>
            </w:tcBorders>
            <w:noWrap/>
            <w:vAlign w:val="bottom"/>
          </w:tcPr>
          <w:p w:rsidR="00314A00" w:rsidRDefault="00B456B2">
            <w:pPr>
              <w:widowControl/>
              <w:jc w:val="center"/>
              <w:textAlignment w:val="bottom"/>
              <w:rPr>
                <w:rFonts w:ascii="宋体" w:eastAsia="宋体" w:hAnsi="宋体"/>
                <w:color w:val="000000"/>
                <w:sz w:val="20"/>
                <w:szCs w:val="20"/>
              </w:rPr>
            </w:pPr>
            <w:r>
              <w:rPr>
                <w:rFonts w:ascii="方正仿宋_GB2312" w:eastAsia="方正仿宋_GB2312" w:hAnsi="方正仿宋_GB2312" w:cs="方正仿宋_GB2312" w:hint="eastAsia"/>
                <w:bCs/>
                <w:sz w:val="32"/>
                <w:szCs w:val="32"/>
              </w:rPr>
              <w:lastRenderedPageBreak/>
              <w:t>收入决算表</w:t>
            </w:r>
          </w:p>
        </w:tc>
      </w:tr>
      <w:tr w:rsidR="00314A00">
        <w:trPr>
          <w:trHeight w:val="300"/>
          <w:jc w:val="center"/>
        </w:trPr>
        <w:tc>
          <w:tcPr>
            <w:tcW w:w="9230" w:type="dxa"/>
            <w:gridSpan w:val="10"/>
            <w:tcBorders>
              <w:top w:val="nil"/>
              <w:left w:val="nil"/>
              <w:bottom w:val="nil"/>
              <w:right w:val="nil"/>
            </w:tcBorders>
            <w:noWrap/>
            <w:vAlign w:val="bottom"/>
          </w:tcPr>
          <w:p w:rsidR="00314A00" w:rsidRDefault="00B456B2">
            <w:pPr>
              <w:widowControl/>
              <w:jc w:val="right"/>
              <w:textAlignment w:val="bottom"/>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公开</w:t>
            </w:r>
            <w:r>
              <w:rPr>
                <w:rFonts w:ascii="Times New Roman" w:eastAsia="宋体" w:hAnsi="Times New Roman" w:cs="Times New Roman" w:hint="eastAsia"/>
                <w:color w:val="000000"/>
                <w:sz w:val="20"/>
                <w:szCs w:val="20"/>
              </w:rPr>
              <w:t>02</w:t>
            </w:r>
            <w:r>
              <w:rPr>
                <w:rFonts w:ascii="方正仿宋_GB2312" w:eastAsia="方正仿宋_GB2312" w:hAnsi="方正仿宋_GB2312" w:cs="方正仿宋_GB2312" w:hint="eastAsia"/>
                <w:color w:val="000000"/>
                <w:sz w:val="20"/>
                <w:szCs w:val="20"/>
                <w:lang/>
              </w:rPr>
              <w:t>表</w:t>
            </w:r>
          </w:p>
        </w:tc>
      </w:tr>
      <w:tr w:rsidR="00314A00">
        <w:trPr>
          <w:trHeight w:val="300"/>
          <w:jc w:val="center"/>
        </w:trPr>
        <w:tc>
          <w:tcPr>
            <w:tcW w:w="3237" w:type="dxa"/>
            <w:gridSpan w:val="3"/>
            <w:tcBorders>
              <w:top w:val="nil"/>
              <w:left w:val="nil"/>
              <w:bottom w:val="single" w:sz="8" w:space="0" w:color="000000" w:themeColor="text1"/>
              <w:right w:val="nil"/>
            </w:tcBorders>
            <w:noWrap/>
            <w:vAlign w:val="bottom"/>
          </w:tcPr>
          <w:p w:rsidR="00314A00" w:rsidRDefault="00B456B2">
            <w:pP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部门（</w:t>
            </w:r>
            <w:r w:rsidR="007F5941">
              <w:rPr>
                <w:rFonts w:ascii="方正仿宋_GB2312" w:eastAsia="方正仿宋_GB2312" w:hAnsi="方正仿宋_GB2312" w:cs="方正仿宋_GB2312" w:hint="eastAsia"/>
                <w:color w:val="000000"/>
                <w:sz w:val="20"/>
                <w:szCs w:val="20"/>
                <w:lang/>
              </w:rPr>
              <w:t>部门</w:t>
            </w:r>
            <w:r>
              <w:rPr>
                <w:rFonts w:ascii="方正仿宋_GB2312" w:eastAsia="方正仿宋_GB2312" w:hAnsi="方正仿宋_GB2312" w:cs="方正仿宋_GB2312" w:hint="eastAsia"/>
                <w:color w:val="000000"/>
                <w:sz w:val="20"/>
                <w:szCs w:val="20"/>
                <w:lang/>
              </w:rPr>
              <w:t>）：中国共产党无极县纪律检查委员会</w:t>
            </w:r>
            <w:r>
              <w:rPr>
                <w:rFonts w:ascii="方正仿宋_GB2312" w:eastAsia="方正仿宋_GB2312" w:hAnsi="方正仿宋_GB2312" w:cs="方正仿宋_GB2312" w:hint="eastAsia"/>
                <w:color w:val="000000"/>
                <w:sz w:val="20"/>
                <w:szCs w:val="20"/>
                <w:lang/>
              </w:rPr>
              <w:t xml:space="preserve">                                                                                                         </w:t>
            </w:r>
          </w:p>
        </w:tc>
        <w:tc>
          <w:tcPr>
            <w:tcW w:w="3405" w:type="dxa"/>
            <w:gridSpan w:val="4"/>
            <w:tcBorders>
              <w:top w:val="nil"/>
              <w:left w:val="nil"/>
              <w:bottom w:val="single" w:sz="8" w:space="0" w:color="000000" w:themeColor="text1"/>
              <w:right w:val="nil"/>
            </w:tcBorders>
            <w:noWrap/>
            <w:vAlign w:val="bottom"/>
          </w:tcPr>
          <w:p w:rsidR="00314A00" w:rsidRDefault="00B456B2">
            <w:pPr>
              <w:jc w:val="center"/>
              <w:rPr>
                <w:rFonts w:ascii="方正仿宋_GB2312" w:eastAsia="方正仿宋_GB2312" w:hAnsi="方正仿宋_GB2312" w:cs="方正仿宋_GB2312"/>
                <w:color w:val="000000"/>
                <w:sz w:val="20"/>
                <w:szCs w:val="20"/>
                <w:lang/>
              </w:rPr>
            </w:pPr>
            <w:r>
              <w:rPr>
                <w:rFonts w:ascii="Times New Roman" w:eastAsia="方正仿宋_GB2312" w:hAnsi="Times New Roman" w:cs="Times New Roman"/>
                <w:color w:val="000000"/>
                <w:sz w:val="20"/>
                <w:szCs w:val="20"/>
              </w:rPr>
              <w:t>202</w:t>
            </w:r>
            <w:r>
              <w:rPr>
                <w:rFonts w:ascii="Times New Roman" w:eastAsia="方正仿宋_GB2312" w:hAnsi="Times New Roman" w:cs="Times New Roman" w:hint="eastAsia"/>
                <w:color w:val="000000"/>
                <w:sz w:val="20"/>
                <w:szCs w:val="20"/>
              </w:rPr>
              <w:t>5</w:t>
            </w:r>
            <w:r>
              <w:rPr>
                <w:rFonts w:ascii="方正仿宋_GB2312" w:eastAsia="方正仿宋_GB2312" w:hAnsi="方正仿宋_GB2312" w:cs="方正仿宋_GB2312" w:hint="eastAsia"/>
                <w:color w:val="000000"/>
                <w:sz w:val="20"/>
                <w:szCs w:val="20"/>
                <w:lang/>
              </w:rPr>
              <w:t>年度</w:t>
            </w:r>
          </w:p>
        </w:tc>
        <w:tc>
          <w:tcPr>
            <w:tcW w:w="2588" w:type="dxa"/>
            <w:gridSpan w:val="3"/>
            <w:tcBorders>
              <w:top w:val="nil"/>
              <w:left w:val="nil"/>
              <w:bottom w:val="single" w:sz="8" w:space="0" w:color="000000" w:themeColor="text1"/>
              <w:right w:val="nil"/>
            </w:tcBorders>
            <w:noWrap/>
            <w:vAlign w:val="bottom"/>
          </w:tcPr>
          <w:p w:rsidR="00314A00" w:rsidRDefault="00B456B2">
            <w:pPr>
              <w:jc w:val="right"/>
              <w:rPr>
                <w:rFonts w:ascii="方正仿宋_GB2312" w:eastAsia="方正仿宋_GB2312" w:hAnsi="方正仿宋_GB2312" w:cs="方正仿宋_GB2312"/>
                <w:color w:val="000000"/>
                <w:sz w:val="20"/>
                <w:szCs w:val="20"/>
                <w:lang/>
              </w:rPr>
            </w:pPr>
            <w:r>
              <w:rPr>
                <w:rFonts w:ascii="方正仿宋_GB2312" w:eastAsia="方正仿宋_GB2312" w:hAnsi="方正仿宋_GB2312" w:cs="方正仿宋_GB2312" w:hint="eastAsia"/>
                <w:color w:val="000000"/>
                <w:sz w:val="20"/>
                <w:szCs w:val="20"/>
                <w:lang/>
              </w:rPr>
              <w:t>金额</w:t>
            </w:r>
            <w:r w:rsidR="007F5941">
              <w:rPr>
                <w:rFonts w:ascii="方正仿宋_GB2312" w:eastAsia="方正仿宋_GB2312" w:hAnsi="方正仿宋_GB2312" w:cs="方正仿宋_GB2312" w:hint="eastAsia"/>
                <w:color w:val="000000"/>
                <w:sz w:val="20"/>
                <w:szCs w:val="20"/>
                <w:lang/>
              </w:rPr>
              <w:t>部门</w:t>
            </w:r>
            <w:r>
              <w:rPr>
                <w:rFonts w:ascii="方正仿宋_GB2312" w:eastAsia="方正仿宋_GB2312" w:hAnsi="方正仿宋_GB2312" w:cs="方正仿宋_GB2312" w:hint="eastAsia"/>
                <w:color w:val="000000"/>
                <w:sz w:val="20"/>
                <w:szCs w:val="20"/>
                <w:lang/>
              </w:rPr>
              <w:t>：万元</w:t>
            </w:r>
          </w:p>
        </w:tc>
      </w:tr>
      <w:tr w:rsidR="00314A00">
        <w:trPr>
          <w:trHeight w:val="510"/>
          <w:jc w:val="center"/>
        </w:trPr>
        <w:tc>
          <w:tcPr>
            <w:tcW w:w="220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项目</w:t>
            </w:r>
          </w:p>
        </w:tc>
        <w:tc>
          <w:tcPr>
            <w:tcW w:w="1037"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本年收入合计</w:t>
            </w:r>
          </w:p>
        </w:tc>
        <w:tc>
          <w:tcPr>
            <w:tcW w:w="1037"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财政拨款收入</w:t>
            </w:r>
          </w:p>
        </w:tc>
        <w:tc>
          <w:tcPr>
            <w:tcW w:w="1037"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上级补助收入</w:t>
            </w:r>
          </w:p>
        </w:tc>
        <w:tc>
          <w:tcPr>
            <w:tcW w:w="964"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事业收入</w:t>
            </w:r>
          </w:p>
        </w:tc>
        <w:tc>
          <w:tcPr>
            <w:tcW w:w="964" w:type="dxa"/>
            <w:gridSpan w:val="2"/>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经营收入</w:t>
            </w:r>
          </w:p>
        </w:tc>
        <w:tc>
          <w:tcPr>
            <w:tcW w:w="1027"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附属</w:t>
            </w:r>
            <w:r w:rsidR="007F5941">
              <w:rPr>
                <w:rFonts w:ascii="方正仿宋_GB2312" w:eastAsia="方正仿宋_GB2312" w:hAnsi="方正仿宋_GB2312" w:cs="方正仿宋_GB2312" w:hint="eastAsia"/>
                <w:color w:val="000000"/>
                <w:sz w:val="20"/>
                <w:szCs w:val="20"/>
                <w:lang/>
              </w:rPr>
              <w:t>部门</w:t>
            </w:r>
            <w:r>
              <w:rPr>
                <w:rFonts w:ascii="方正仿宋_GB2312" w:eastAsia="方正仿宋_GB2312" w:hAnsi="方正仿宋_GB2312" w:cs="方正仿宋_GB2312" w:hint="eastAsia"/>
                <w:color w:val="000000"/>
                <w:sz w:val="20"/>
                <w:szCs w:val="20"/>
                <w:lang/>
              </w:rPr>
              <w:t>上缴收入</w:t>
            </w:r>
          </w:p>
        </w:tc>
        <w:tc>
          <w:tcPr>
            <w:tcW w:w="964"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其他收入</w:t>
            </w:r>
          </w:p>
        </w:tc>
      </w:tr>
      <w:tr w:rsidR="00314A00">
        <w:trPr>
          <w:trHeight w:val="312"/>
          <w:jc w:val="center"/>
        </w:trPr>
        <w:tc>
          <w:tcPr>
            <w:tcW w:w="1040"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科目代码</w:t>
            </w:r>
          </w:p>
        </w:tc>
        <w:tc>
          <w:tcPr>
            <w:tcW w:w="1160"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科目名称</w:t>
            </w:r>
          </w:p>
        </w:tc>
        <w:tc>
          <w:tcPr>
            <w:tcW w:w="1037"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1037"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1037"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964"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widowControl/>
              <w:jc w:val="center"/>
              <w:textAlignment w:val="center"/>
              <w:rPr>
                <w:rFonts w:ascii="宋体" w:eastAsia="宋体" w:hAnsi="宋体"/>
                <w:color w:val="000000"/>
                <w:sz w:val="20"/>
                <w:szCs w:val="20"/>
              </w:rPr>
            </w:pPr>
          </w:p>
        </w:tc>
        <w:tc>
          <w:tcPr>
            <w:tcW w:w="964" w:type="dxa"/>
            <w:gridSpan w:val="2"/>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1027"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964"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r>
      <w:tr w:rsidR="00314A00">
        <w:trPr>
          <w:trHeight w:val="312"/>
          <w:jc w:val="center"/>
        </w:trPr>
        <w:tc>
          <w:tcPr>
            <w:tcW w:w="1040"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1160"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1037"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1037"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1037"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964"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964" w:type="dxa"/>
            <w:gridSpan w:val="2"/>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1027"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964"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r>
      <w:tr w:rsidR="00314A00">
        <w:trPr>
          <w:trHeight w:val="312"/>
          <w:jc w:val="center"/>
        </w:trPr>
        <w:tc>
          <w:tcPr>
            <w:tcW w:w="1040"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1160"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1037"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1037"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1037"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964"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964" w:type="dxa"/>
            <w:gridSpan w:val="2"/>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1027"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964"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r>
      <w:tr w:rsidR="00314A00">
        <w:trPr>
          <w:trHeight w:val="454"/>
          <w:jc w:val="center"/>
        </w:trPr>
        <w:tc>
          <w:tcPr>
            <w:tcW w:w="220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栏次</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宋体" w:eastAsia="宋体" w:hAnsi="宋体" w:hint="eastAsia"/>
                <w:color w:val="000000"/>
                <w:sz w:val="20"/>
                <w:szCs w:val="20"/>
                <w:lang/>
              </w:rPr>
              <w:t>1</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宋体" w:eastAsia="宋体" w:hAnsi="宋体" w:hint="eastAsia"/>
                <w:color w:val="000000"/>
                <w:sz w:val="20"/>
                <w:szCs w:val="20"/>
                <w:lang/>
              </w:rPr>
              <w:t>2</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宋体" w:eastAsia="宋体" w:hAnsi="宋体" w:hint="eastAsia"/>
                <w:color w:val="000000"/>
                <w:sz w:val="20"/>
                <w:szCs w:val="20"/>
                <w:lang/>
              </w:rPr>
              <w:t>3</w:t>
            </w: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宋体" w:eastAsia="宋体" w:hAnsi="宋体" w:hint="eastAsia"/>
                <w:color w:val="000000"/>
                <w:sz w:val="20"/>
                <w:szCs w:val="20"/>
              </w:rPr>
              <w:t>4</w:t>
            </w: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宋体" w:eastAsia="宋体" w:hAnsi="宋体" w:hint="eastAsia"/>
                <w:color w:val="000000"/>
                <w:sz w:val="20"/>
                <w:szCs w:val="20"/>
                <w:lang/>
              </w:rPr>
              <w:t>5</w:t>
            </w: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宋体" w:eastAsia="宋体" w:hAnsi="宋体" w:hint="eastAsia"/>
                <w:color w:val="000000"/>
                <w:sz w:val="20"/>
                <w:szCs w:val="20"/>
                <w:lang/>
              </w:rPr>
              <w:t>6</w:t>
            </w: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宋体" w:eastAsia="宋体" w:hAnsi="宋体" w:hint="eastAsia"/>
                <w:color w:val="000000"/>
                <w:sz w:val="20"/>
                <w:szCs w:val="20"/>
                <w:lang/>
              </w:rPr>
              <w:t>7</w:t>
            </w:r>
          </w:p>
        </w:tc>
      </w:tr>
      <w:tr w:rsidR="00314A00">
        <w:trPr>
          <w:trHeight w:val="567"/>
          <w:jc w:val="center"/>
        </w:trPr>
        <w:tc>
          <w:tcPr>
            <w:tcW w:w="220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合计</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1,132.62</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1,132.62</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104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spacing w:val="-2"/>
                <w:sz w:val="20"/>
                <w:szCs w:val="20"/>
              </w:rPr>
              <w:t>201</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spacing w:val="-2"/>
                <w:sz w:val="20"/>
                <w:szCs w:val="20"/>
              </w:rPr>
              <w:t>一般公共服务支出</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895.70</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895.70</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104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spacing w:val="-2"/>
                <w:sz w:val="20"/>
                <w:szCs w:val="20"/>
              </w:rPr>
              <w:t>20111</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spacing w:val="-2"/>
                <w:sz w:val="20"/>
                <w:szCs w:val="20"/>
              </w:rPr>
              <w:t>纪检监察事务</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895.70</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895.70</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104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spacing w:val="-2"/>
                <w:sz w:val="20"/>
                <w:szCs w:val="20"/>
              </w:rPr>
              <w:t>2011101</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spacing w:val="-2"/>
                <w:sz w:val="20"/>
                <w:szCs w:val="20"/>
              </w:rPr>
              <w:t>行政运行</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800.32</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800.32</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104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spacing w:val="-2"/>
                <w:sz w:val="20"/>
                <w:szCs w:val="20"/>
              </w:rPr>
              <w:t>2011199</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spacing w:val="-2"/>
                <w:sz w:val="20"/>
                <w:szCs w:val="20"/>
              </w:rPr>
              <w:t>其他纪检监察事务支出</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95.37</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95.37</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104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spacing w:val="-2"/>
                <w:sz w:val="20"/>
                <w:szCs w:val="20"/>
              </w:rPr>
              <w:t>208</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spacing w:val="-2"/>
                <w:sz w:val="20"/>
                <w:szCs w:val="20"/>
              </w:rPr>
              <w:t>社会保障和就业支出</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146.92</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146.92</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104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spacing w:val="-2"/>
                <w:sz w:val="20"/>
                <w:szCs w:val="20"/>
              </w:rPr>
              <w:t>20805</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spacing w:val="-2"/>
                <w:sz w:val="20"/>
                <w:szCs w:val="20"/>
              </w:rPr>
              <w:t>行政事业</w:t>
            </w:r>
            <w:r w:rsidR="007F5941">
              <w:rPr>
                <w:rFonts w:ascii="方正仿宋_GB2312" w:eastAsia="方正仿宋_GB2312" w:hAnsi="方正仿宋_GB2312" w:cs="方正仿宋_GB2312" w:hint="eastAsia"/>
                <w:spacing w:val="-2"/>
                <w:sz w:val="20"/>
                <w:szCs w:val="20"/>
              </w:rPr>
              <w:t>部门</w:t>
            </w:r>
            <w:r>
              <w:rPr>
                <w:rFonts w:ascii="方正仿宋_GB2312" w:eastAsia="方正仿宋_GB2312" w:hAnsi="方正仿宋_GB2312" w:cs="方正仿宋_GB2312" w:hint="eastAsia"/>
                <w:spacing w:val="-2"/>
                <w:sz w:val="20"/>
                <w:szCs w:val="20"/>
              </w:rPr>
              <w:t>养老支出</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122.51</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122.51</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104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spacing w:val="-2"/>
                <w:sz w:val="20"/>
                <w:szCs w:val="20"/>
              </w:rPr>
              <w:t>2080501</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spacing w:val="-2"/>
                <w:sz w:val="20"/>
                <w:szCs w:val="20"/>
              </w:rPr>
              <w:t>行政</w:t>
            </w:r>
            <w:r w:rsidR="007F5941">
              <w:rPr>
                <w:rFonts w:ascii="方正仿宋_GB2312" w:eastAsia="方正仿宋_GB2312" w:hAnsi="方正仿宋_GB2312" w:cs="方正仿宋_GB2312" w:hint="eastAsia"/>
                <w:spacing w:val="-2"/>
                <w:sz w:val="20"/>
                <w:szCs w:val="20"/>
              </w:rPr>
              <w:t>部门</w:t>
            </w:r>
            <w:r>
              <w:rPr>
                <w:rFonts w:ascii="方正仿宋_GB2312" w:eastAsia="方正仿宋_GB2312" w:hAnsi="方正仿宋_GB2312" w:cs="方正仿宋_GB2312" w:hint="eastAsia"/>
                <w:spacing w:val="-2"/>
                <w:sz w:val="20"/>
                <w:szCs w:val="20"/>
              </w:rPr>
              <w:t>离退休</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13.60</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13.60</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104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spacing w:val="-2"/>
                <w:sz w:val="20"/>
                <w:szCs w:val="20"/>
              </w:rPr>
              <w:t>2080505</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spacing w:val="-2"/>
                <w:sz w:val="20"/>
                <w:szCs w:val="20"/>
              </w:rPr>
              <w:t>机关事业</w:t>
            </w:r>
            <w:r w:rsidR="007F5941">
              <w:rPr>
                <w:rFonts w:ascii="方正仿宋_GB2312" w:eastAsia="方正仿宋_GB2312" w:hAnsi="方正仿宋_GB2312" w:cs="方正仿宋_GB2312" w:hint="eastAsia"/>
                <w:spacing w:val="-2"/>
                <w:sz w:val="20"/>
                <w:szCs w:val="20"/>
              </w:rPr>
              <w:t>部门</w:t>
            </w:r>
            <w:r>
              <w:rPr>
                <w:rFonts w:ascii="方正仿宋_GB2312" w:eastAsia="方正仿宋_GB2312" w:hAnsi="方正仿宋_GB2312" w:cs="方正仿宋_GB2312" w:hint="eastAsia"/>
                <w:spacing w:val="-2"/>
                <w:sz w:val="20"/>
                <w:szCs w:val="20"/>
              </w:rPr>
              <w:t>基本养老保险缴费支出</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93.78</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93.78</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104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spacing w:val="-2"/>
                <w:sz w:val="20"/>
                <w:szCs w:val="20"/>
              </w:rPr>
              <w:t>2080506</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spacing w:val="-2"/>
                <w:sz w:val="20"/>
                <w:szCs w:val="20"/>
              </w:rPr>
              <w:t>机关事业</w:t>
            </w:r>
            <w:r w:rsidR="007F5941">
              <w:rPr>
                <w:rFonts w:ascii="方正仿宋_GB2312" w:eastAsia="方正仿宋_GB2312" w:hAnsi="方正仿宋_GB2312" w:cs="方正仿宋_GB2312" w:hint="eastAsia"/>
                <w:spacing w:val="-2"/>
                <w:sz w:val="20"/>
                <w:szCs w:val="20"/>
              </w:rPr>
              <w:t>部门</w:t>
            </w:r>
            <w:r>
              <w:rPr>
                <w:rFonts w:ascii="方正仿宋_GB2312" w:eastAsia="方正仿宋_GB2312" w:hAnsi="方正仿宋_GB2312" w:cs="方正仿宋_GB2312" w:hint="eastAsia"/>
                <w:spacing w:val="-2"/>
                <w:sz w:val="20"/>
                <w:szCs w:val="20"/>
              </w:rPr>
              <w:t>职业年金缴费支出</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15.13</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15.13</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104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spacing w:val="-2"/>
                <w:sz w:val="20"/>
                <w:szCs w:val="20"/>
              </w:rPr>
              <w:t>20808</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spacing w:val="-2"/>
                <w:sz w:val="20"/>
                <w:szCs w:val="20"/>
              </w:rPr>
              <w:t>抚恤</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24.41</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24.41</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104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spacing w:val="-2"/>
                <w:sz w:val="20"/>
                <w:szCs w:val="20"/>
              </w:rPr>
              <w:t>2080801</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spacing w:val="-2"/>
                <w:sz w:val="20"/>
                <w:szCs w:val="20"/>
              </w:rPr>
              <w:t>死亡抚恤</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24.41</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24.41</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104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spacing w:val="-2"/>
                <w:sz w:val="20"/>
                <w:szCs w:val="20"/>
              </w:rPr>
              <w:t>210</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spacing w:val="-2"/>
                <w:sz w:val="20"/>
                <w:szCs w:val="20"/>
              </w:rPr>
              <w:t>卫生健康支出</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31.25</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31.25</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104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spacing w:val="-2"/>
                <w:sz w:val="20"/>
                <w:szCs w:val="20"/>
              </w:rPr>
              <w:t>21007</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spacing w:val="-2"/>
                <w:sz w:val="20"/>
                <w:szCs w:val="20"/>
              </w:rPr>
              <w:t>计划生育</w:t>
            </w:r>
            <w:r>
              <w:rPr>
                <w:rFonts w:ascii="方正仿宋_GB2312" w:eastAsia="方正仿宋_GB2312" w:hAnsi="方正仿宋_GB2312" w:cs="方正仿宋_GB2312" w:hint="eastAsia"/>
                <w:spacing w:val="-2"/>
                <w:sz w:val="20"/>
                <w:szCs w:val="20"/>
              </w:rPr>
              <w:lastRenderedPageBreak/>
              <w:t>事务</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lastRenderedPageBreak/>
              <w:t>0.30</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0.30</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104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spacing w:val="-2"/>
                <w:sz w:val="20"/>
                <w:szCs w:val="20"/>
              </w:rPr>
              <w:lastRenderedPageBreak/>
              <w:t>2100799</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spacing w:val="-2"/>
                <w:sz w:val="20"/>
                <w:szCs w:val="20"/>
              </w:rPr>
              <w:t>其他计划生育事务支出</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0.30</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0.30</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104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spacing w:val="-2"/>
                <w:sz w:val="20"/>
                <w:szCs w:val="20"/>
              </w:rPr>
              <w:t>21011</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spacing w:val="-2"/>
                <w:sz w:val="20"/>
                <w:szCs w:val="20"/>
              </w:rPr>
              <w:t>行政事业</w:t>
            </w:r>
            <w:r w:rsidR="007F5941">
              <w:rPr>
                <w:rFonts w:ascii="方正仿宋_GB2312" w:eastAsia="方正仿宋_GB2312" w:hAnsi="方正仿宋_GB2312" w:cs="方正仿宋_GB2312" w:hint="eastAsia"/>
                <w:spacing w:val="-2"/>
                <w:sz w:val="20"/>
                <w:szCs w:val="20"/>
              </w:rPr>
              <w:t>部门</w:t>
            </w:r>
            <w:r>
              <w:rPr>
                <w:rFonts w:ascii="方正仿宋_GB2312" w:eastAsia="方正仿宋_GB2312" w:hAnsi="方正仿宋_GB2312" w:cs="方正仿宋_GB2312" w:hint="eastAsia"/>
                <w:spacing w:val="-2"/>
                <w:sz w:val="20"/>
                <w:szCs w:val="20"/>
              </w:rPr>
              <w:t>医疗</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30.95</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30.95</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104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spacing w:val="-2"/>
                <w:sz w:val="20"/>
                <w:szCs w:val="20"/>
              </w:rPr>
              <w:t>2101101</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spacing w:val="-2"/>
                <w:sz w:val="20"/>
                <w:szCs w:val="20"/>
              </w:rPr>
              <w:t>行政</w:t>
            </w:r>
            <w:r w:rsidR="007F5941">
              <w:rPr>
                <w:rFonts w:ascii="方正仿宋_GB2312" w:eastAsia="方正仿宋_GB2312" w:hAnsi="方正仿宋_GB2312" w:cs="方正仿宋_GB2312" w:hint="eastAsia"/>
                <w:spacing w:val="-2"/>
                <w:sz w:val="20"/>
                <w:szCs w:val="20"/>
              </w:rPr>
              <w:t>部门</w:t>
            </w:r>
            <w:r>
              <w:rPr>
                <w:rFonts w:ascii="方正仿宋_GB2312" w:eastAsia="方正仿宋_GB2312" w:hAnsi="方正仿宋_GB2312" w:cs="方正仿宋_GB2312" w:hint="eastAsia"/>
                <w:spacing w:val="-2"/>
                <w:sz w:val="20"/>
                <w:szCs w:val="20"/>
              </w:rPr>
              <w:t>医疗</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30.95</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30.95</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104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spacing w:val="-2"/>
                <w:sz w:val="20"/>
                <w:szCs w:val="20"/>
              </w:rPr>
              <w:t>229</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spacing w:val="-2"/>
                <w:sz w:val="20"/>
                <w:szCs w:val="20"/>
              </w:rPr>
              <w:t>其他支出</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58.76</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58.76</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104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spacing w:val="-2"/>
                <w:sz w:val="20"/>
                <w:szCs w:val="20"/>
              </w:rPr>
              <w:t>22904</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spacing w:val="-2"/>
                <w:sz w:val="20"/>
                <w:szCs w:val="20"/>
              </w:rPr>
              <w:t>其他政府性基金及对应专项债务收入安排的支出</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58.76</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58.76</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104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spacing w:val="-2"/>
                <w:sz w:val="20"/>
                <w:szCs w:val="20"/>
              </w:rPr>
              <w:t>2290402</w:t>
            </w:r>
          </w:p>
        </w:tc>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spacing w:val="-2"/>
                <w:sz w:val="20"/>
                <w:szCs w:val="20"/>
              </w:rPr>
              <w:t>其他地方自行试点项目收益专项债券收入安排的支出</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58.76</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58.76</w:t>
            </w:r>
          </w:p>
        </w:tc>
        <w:tc>
          <w:tcPr>
            <w:tcW w:w="10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02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6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9230" w:type="dxa"/>
            <w:gridSpan w:val="10"/>
            <w:tcBorders>
              <w:top w:val="single" w:sz="8" w:space="0" w:color="000000" w:themeColor="text1"/>
              <w:left w:val="nil"/>
              <w:bottom w:val="nil"/>
              <w:right w:val="nil"/>
            </w:tcBorders>
            <w:noWrap/>
            <w:vAlign w:val="center"/>
          </w:tcPr>
          <w:p w:rsidR="00314A00" w:rsidRDefault="00B456B2">
            <w:pPr>
              <w:widowControl/>
              <w:jc w:val="left"/>
              <w:textAlignment w:val="center"/>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注：本表反映部门本年度取得的各项收入情况。</w:t>
            </w:r>
          </w:p>
        </w:tc>
      </w:tr>
    </w:tbl>
    <w:p w:rsidR="00314A00" w:rsidRDefault="00314A00">
      <w:pPr>
        <w:rPr>
          <w:rFonts w:ascii="仿宋_GB2312" w:eastAsia="仿宋_GB2312" w:hAnsi="宋体"/>
          <w:b/>
          <w:sz w:val="32"/>
          <w:szCs w:val="32"/>
        </w:rPr>
      </w:pPr>
    </w:p>
    <w:p w:rsidR="00314A00" w:rsidRDefault="00B456B2">
      <w:pPr>
        <w:rPr>
          <w:rFonts w:ascii="黑体" w:eastAsia="黑体" w:hAnsi="黑体"/>
          <w:bCs/>
          <w:sz w:val="32"/>
          <w:szCs w:val="32"/>
        </w:rPr>
      </w:pPr>
      <w:r>
        <w:rPr>
          <w:rFonts w:ascii="仿宋_GB2312" w:eastAsia="仿宋_GB2312" w:hAnsi="宋体" w:hint="eastAsia"/>
          <w:b/>
          <w:sz w:val="32"/>
          <w:szCs w:val="32"/>
        </w:rPr>
        <w:br w:type="page"/>
      </w:r>
    </w:p>
    <w:tbl>
      <w:tblPr>
        <w:tblW w:w="5812" w:type="pct"/>
        <w:jc w:val="center"/>
        <w:tblLayout w:type="fixed"/>
        <w:tblLook w:val="04A0"/>
      </w:tblPr>
      <w:tblGrid>
        <w:gridCol w:w="1040"/>
        <w:gridCol w:w="1187"/>
        <w:gridCol w:w="1127"/>
        <w:gridCol w:w="127"/>
        <w:gridCol w:w="998"/>
        <w:gridCol w:w="1125"/>
        <w:gridCol w:w="499"/>
        <w:gridCol w:w="626"/>
        <w:gridCol w:w="1125"/>
        <w:gridCol w:w="1492"/>
      </w:tblGrid>
      <w:tr w:rsidR="00314A00">
        <w:trPr>
          <w:trHeight w:val="550"/>
          <w:jc w:val="center"/>
        </w:trPr>
        <w:tc>
          <w:tcPr>
            <w:tcW w:w="5000" w:type="pct"/>
            <w:gridSpan w:val="10"/>
            <w:tcBorders>
              <w:top w:val="nil"/>
              <w:left w:val="nil"/>
              <w:bottom w:val="nil"/>
              <w:right w:val="nil"/>
            </w:tcBorders>
            <w:noWrap/>
            <w:vAlign w:val="bottom"/>
          </w:tcPr>
          <w:p w:rsidR="00314A00" w:rsidRDefault="00B456B2">
            <w:pPr>
              <w:jc w:val="center"/>
              <w:outlineLvl w:val="1"/>
              <w:rPr>
                <w:rFonts w:ascii="宋体" w:eastAsia="宋体" w:hAnsi="宋体"/>
                <w:color w:val="000000"/>
                <w:sz w:val="20"/>
                <w:szCs w:val="20"/>
              </w:rPr>
            </w:pPr>
            <w:r>
              <w:rPr>
                <w:rFonts w:ascii="方正仿宋_GB2312" w:eastAsia="方正仿宋_GB2312" w:hAnsi="方正仿宋_GB2312" w:cs="方正仿宋_GB2312" w:hint="eastAsia"/>
                <w:bCs/>
                <w:sz w:val="32"/>
                <w:szCs w:val="32"/>
              </w:rPr>
              <w:lastRenderedPageBreak/>
              <w:br w:type="page"/>
            </w:r>
            <w:r>
              <w:rPr>
                <w:rFonts w:ascii="方正仿宋_GB2312" w:eastAsia="方正仿宋_GB2312" w:hAnsi="方正仿宋_GB2312" w:cs="方正仿宋_GB2312" w:hint="eastAsia"/>
                <w:bCs/>
                <w:sz w:val="32"/>
                <w:szCs w:val="32"/>
              </w:rPr>
              <w:t>支出决算表</w:t>
            </w:r>
          </w:p>
        </w:tc>
      </w:tr>
      <w:tr w:rsidR="00314A00">
        <w:trPr>
          <w:trHeight w:val="300"/>
          <w:jc w:val="center"/>
        </w:trPr>
        <w:tc>
          <w:tcPr>
            <w:tcW w:w="5000" w:type="pct"/>
            <w:gridSpan w:val="10"/>
            <w:tcBorders>
              <w:top w:val="nil"/>
              <w:left w:val="nil"/>
              <w:bottom w:val="nil"/>
              <w:right w:val="nil"/>
            </w:tcBorders>
            <w:noWrap/>
            <w:vAlign w:val="bottom"/>
          </w:tcPr>
          <w:p w:rsidR="00314A00" w:rsidRDefault="00B456B2">
            <w:pPr>
              <w:widowControl/>
              <w:jc w:val="right"/>
              <w:textAlignment w:val="bottom"/>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公开</w:t>
            </w:r>
            <w:r>
              <w:rPr>
                <w:rFonts w:ascii="Times New Roman" w:eastAsia="宋体" w:hAnsi="Times New Roman" w:cs="Times New Roman"/>
                <w:color w:val="000000"/>
                <w:sz w:val="20"/>
                <w:szCs w:val="20"/>
                <w:lang/>
              </w:rPr>
              <w:t>03</w:t>
            </w:r>
            <w:r>
              <w:rPr>
                <w:rFonts w:ascii="方正仿宋_GB2312" w:eastAsia="方正仿宋_GB2312" w:hAnsi="方正仿宋_GB2312" w:cs="方正仿宋_GB2312" w:hint="eastAsia"/>
                <w:color w:val="000000"/>
                <w:sz w:val="20"/>
                <w:szCs w:val="20"/>
                <w:lang/>
              </w:rPr>
              <w:t>表</w:t>
            </w:r>
          </w:p>
        </w:tc>
      </w:tr>
      <w:tr w:rsidR="00314A00">
        <w:trPr>
          <w:trHeight w:val="300"/>
          <w:jc w:val="center"/>
        </w:trPr>
        <w:tc>
          <w:tcPr>
            <w:tcW w:w="1862" w:type="pct"/>
            <w:gridSpan w:val="4"/>
            <w:tcBorders>
              <w:top w:val="nil"/>
              <w:left w:val="nil"/>
              <w:bottom w:val="single" w:sz="8" w:space="0" w:color="000000" w:themeColor="text1"/>
              <w:right w:val="nil"/>
            </w:tcBorders>
            <w:noWrap/>
            <w:vAlign w:val="bottom"/>
          </w:tcPr>
          <w:p w:rsidR="00314A00" w:rsidRDefault="00B456B2">
            <w:pPr>
              <w:widowControl/>
              <w:jc w:val="left"/>
              <w:textAlignment w:val="bottom"/>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部门（</w:t>
            </w:r>
            <w:r w:rsidR="007F5941">
              <w:rPr>
                <w:rFonts w:ascii="方正仿宋_GB2312" w:eastAsia="方正仿宋_GB2312" w:hAnsi="方正仿宋_GB2312" w:cs="方正仿宋_GB2312" w:hint="eastAsia"/>
                <w:color w:val="000000"/>
                <w:sz w:val="20"/>
                <w:szCs w:val="20"/>
                <w:lang/>
              </w:rPr>
              <w:t>部门</w:t>
            </w:r>
            <w:r>
              <w:rPr>
                <w:rFonts w:ascii="方正仿宋_GB2312" w:eastAsia="方正仿宋_GB2312" w:hAnsi="方正仿宋_GB2312" w:cs="方正仿宋_GB2312" w:hint="eastAsia"/>
                <w:color w:val="000000"/>
                <w:sz w:val="20"/>
                <w:szCs w:val="20"/>
                <w:lang/>
              </w:rPr>
              <w:t>）：中国共产党无极县纪律检查委员会</w:t>
            </w:r>
            <w:r>
              <w:rPr>
                <w:rFonts w:ascii="方正仿宋_GB2312" w:eastAsia="方正仿宋_GB2312" w:hAnsi="方正仿宋_GB2312" w:cs="方正仿宋_GB2312" w:hint="eastAsia"/>
                <w:color w:val="000000"/>
                <w:sz w:val="20"/>
                <w:szCs w:val="20"/>
                <w:lang/>
              </w:rPr>
              <w:t xml:space="preserve"> </w:t>
            </w:r>
          </w:p>
        </w:tc>
        <w:tc>
          <w:tcPr>
            <w:tcW w:w="1403" w:type="pct"/>
            <w:gridSpan w:val="3"/>
            <w:tcBorders>
              <w:top w:val="nil"/>
              <w:left w:val="nil"/>
              <w:bottom w:val="single" w:sz="8" w:space="0" w:color="000000" w:themeColor="text1"/>
              <w:right w:val="nil"/>
            </w:tcBorders>
            <w:noWrap/>
            <w:vAlign w:val="bottom"/>
          </w:tcPr>
          <w:p w:rsidR="00314A00" w:rsidRDefault="00B456B2">
            <w:pPr>
              <w:widowControl/>
              <w:jc w:val="center"/>
              <w:textAlignment w:val="bottom"/>
              <w:rPr>
                <w:rFonts w:asciiTheme="minorEastAsia" w:hAnsiTheme="minorEastAsia" w:cstheme="minorEastAsia"/>
                <w:color w:val="000000"/>
                <w:sz w:val="20"/>
                <w:szCs w:val="20"/>
                <w:lang/>
              </w:rPr>
            </w:pPr>
            <w:r>
              <w:rPr>
                <w:rFonts w:ascii="Times New Roman" w:hAnsi="Times New Roman" w:cs="Times New Roman"/>
                <w:color w:val="000000"/>
                <w:sz w:val="20"/>
                <w:szCs w:val="20"/>
                <w:lang/>
              </w:rPr>
              <w:t>202</w:t>
            </w:r>
            <w:r>
              <w:rPr>
                <w:rFonts w:ascii="Times New Roman" w:hAnsi="Times New Roman" w:cs="Times New Roman" w:hint="eastAsia"/>
                <w:color w:val="000000"/>
                <w:sz w:val="20"/>
                <w:szCs w:val="20"/>
                <w:lang/>
              </w:rPr>
              <w:t>5</w:t>
            </w:r>
            <w:r>
              <w:rPr>
                <w:rFonts w:ascii="方正仿宋_GB2312" w:eastAsia="方正仿宋_GB2312" w:hAnsi="方正仿宋_GB2312" w:cs="方正仿宋_GB2312" w:hint="eastAsia"/>
                <w:color w:val="000000"/>
                <w:sz w:val="20"/>
                <w:szCs w:val="20"/>
                <w:lang/>
              </w:rPr>
              <w:t>年度</w:t>
            </w:r>
          </w:p>
        </w:tc>
        <w:tc>
          <w:tcPr>
            <w:tcW w:w="1734" w:type="pct"/>
            <w:gridSpan w:val="3"/>
            <w:tcBorders>
              <w:top w:val="nil"/>
              <w:left w:val="nil"/>
              <w:bottom w:val="single" w:sz="8" w:space="0" w:color="000000" w:themeColor="text1"/>
              <w:right w:val="nil"/>
            </w:tcBorders>
            <w:noWrap/>
            <w:vAlign w:val="bottom"/>
          </w:tcPr>
          <w:p w:rsidR="00314A00" w:rsidRDefault="00B456B2">
            <w:pPr>
              <w:widowControl/>
              <w:jc w:val="right"/>
              <w:textAlignment w:val="bottom"/>
              <w:rPr>
                <w:rFonts w:asciiTheme="minorEastAsia" w:hAnsiTheme="minorEastAsia" w:cstheme="minorEastAsia"/>
                <w:color w:val="000000"/>
                <w:sz w:val="20"/>
                <w:szCs w:val="20"/>
                <w:lang/>
              </w:rPr>
            </w:pPr>
            <w:r>
              <w:rPr>
                <w:rFonts w:ascii="方正仿宋_GB2312" w:eastAsia="方正仿宋_GB2312" w:hAnsi="方正仿宋_GB2312" w:cs="方正仿宋_GB2312" w:hint="eastAsia"/>
                <w:color w:val="000000"/>
                <w:sz w:val="20"/>
                <w:szCs w:val="20"/>
                <w:lang/>
              </w:rPr>
              <w:t xml:space="preserve"> </w:t>
            </w:r>
            <w:r>
              <w:rPr>
                <w:rFonts w:ascii="方正仿宋_GB2312" w:eastAsia="方正仿宋_GB2312" w:hAnsi="方正仿宋_GB2312" w:cs="方正仿宋_GB2312" w:hint="eastAsia"/>
                <w:color w:val="000000"/>
                <w:sz w:val="20"/>
                <w:szCs w:val="20"/>
                <w:lang/>
              </w:rPr>
              <w:t>金额</w:t>
            </w:r>
            <w:r w:rsidR="007F5941">
              <w:rPr>
                <w:rFonts w:ascii="方正仿宋_GB2312" w:eastAsia="方正仿宋_GB2312" w:hAnsi="方正仿宋_GB2312" w:cs="方正仿宋_GB2312" w:hint="eastAsia"/>
                <w:color w:val="000000"/>
                <w:sz w:val="20"/>
                <w:szCs w:val="20"/>
                <w:lang/>
              </w:rPr>
              <w:t>部门</w:t>
            </w:r>
            <w:r>
              <w:rPr>
                <w:rFonts w:ascii="方正仿宋_GB2312" w:eastAsia="方正仿宋_GB2312" w:hAnsi="方正仿宋_GB2312" w:cs="方正仿宋_GB2312" w:hint="eastAsia"/>
                <w:color w:val="000000"/>
                <w:sz w:val="20"/>
                <w:szCs w:val="20"/>
                <w:lang/>
              </w:rPr>
              <w:t>：万元</w:t>
            </w:r>
          </w:p>
        </w:tc>
      </w:tr>
      <w:tr w:rsidR="00314A00">
        <w:trPr>
          <w:trHeight w:val="510"/>
          <w:jc w:val="center"/>
        </w:trPr>
        <w:tc>
          <w:tcPr>
            <w:tcW w:w="1191"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项目</w:t>
            </w:r>
          </w:p>
        </w:tc>
        <w:tc>
          <w:tcPr>
            <w:tcW w:w="603"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本年支出合计</w:t>
            </w:r>
          </w:p>
        </w:tc>
        <w:tc>
          <w:tcPr>
            <w:tcW w:w="602" w:type="pct"/>
            <w:gridSpan w:val="2"/>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基本支出</w:t>
            </w:r>
          </w:p>
        </w:tc>
        <w:tc>
          <w:tcPr>
            <w:tcW w:w="602"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项目支出</w:t>
            </w:r>
          </w:p>
        </w:tc>
        <w:tc>
          <w:tcPr>
            <w:tcW w:w="602" w:type="pct"/>
            <w:gridSpan w:val="2"/>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上缴上级支出</w:t>
            </w:r>
          </w:p>
        </w:tc>
        <w:tc>
          <w:tcPr>
            <w:tcW w:w="602"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经营支出</w:t>
            </w:r>
          </w:p>
        </w:tc>
        <w:tc>
          <w:tcPr>
            <w:tcW w:w="795"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对附属</w:t>
            </w:r>
            <w:r w:rsidR="007F5941">
              <w:rPr>
                <w:rFonts w:ascii="方正仿宋_GB2312" w:eastAsia="方正仿宋_GB2312" w:hAnsi="方正仿宋_GB2312" w:cs="方正仿宋_GB2312" w:hint="eastAsia"/>
                <w:color w:val="000000"/>
                <w:sz w:val="20"/>
                <w:szCs w:val="20"/>
                <w:lang/>
              </w:rPr>
              <w:t>部门</w:t>
            </w:r>
            <w:r>
              <w:rPr>
                <w:rFonts w:ascii="方正仿宋_GB2312" w:eastAsia="方正仿宋_GB2312" w:hAnsi="方正仿宋_GB2312" w:cs="方正仿宋_GB2312" w:hint="eastAsia"/>
                <w:color w:val="000000"/>
                <w:sz w:val="20"/>
                <w:szCs w:val="20"/>
                <w:lang/>
              </w:rPr>
              <w:t>补助支出</w:t>
            </w:r>
          </w:p>
        </w:tc>
      </w:tr>
      <w:tr w:rsidR="00314A00">
        <w:trPr>
          <w:trHeight w:val="312"/>
          <w:jc w:val="center"/>
        </w:trPr>
        <w:tc>
          <w:tcPr>
            <w:tcW w:w="556"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科目代码</w:t>
            </w:r>
          </w:p>
        </w:tc>
        <w:tc>
          <w:tcPr>
            <w:tcW w:w="635"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科目名称</w:t>
            </w:r>
          </w:p>
        </w:tc>
        <w:tc>
          <w:tcPr>
            <w:tcW w:w="603"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602" w:type="pct"/>
            <w:gridSpan w:val="2"/>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602"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602" w:type="pct"/>
            <w:gridSpan w:val="2"/>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602"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795"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r>
      <w:tr w:rsidR="00314A00">
        <w:trPr>
          <w:trHeight w:val="312"/>
          <w:jc w:val="center"/>
        </w:trPr>
        <w:tc>
          <w:tcPr>
            <w:tcW w:w="556"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635"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603"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602" w:type="pct"/>
            <w:gridSpan w:val="2"/>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602"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602" w:type="pct"/>
            <w:gridSpan w:val="2"/>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602"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795"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r>
      <w:tr w:rsidR="00314A00">
        <w:trPr>
          <w:trHeight w:val="312"/>
          <w:jc w:val="center"/>
        </w:trPr>
        <w:tc>
          <w:tcPr>
            <w:tcW w:w="556"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635"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603"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602" w:type="pct"/>
            <w:gridSpan w:val="2"/>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602"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602" w:type="pct"/>
            <w:gridSpan w:val="2"/>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602"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795"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r>
      <w:tr w:rsidR="00314A00">
        <w:trPr>
          <w:trHeight w:val="454"/>
          <w:jc w:val="center"/>
        </w:trPr>
        <w:tc>
          <w:tcPr>
            <w:tcW w:w="1191"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栏次</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w:t>
            </w: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w:t>
            </w: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w:t>
            </w: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6</w:t>
            </w:r>
          </w:p>
        </w:tc>
      </w:tr>
      <w:tr w:rsidR="00314A00">
        <w:trPr>
          <w:trHeight w:val="308"/>
          <w:jc w:val="center"/>
        </w:trPr>
        <w:tc>
          <w:tcPr>
            <w:tcW w:w="1191"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合计</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1,132.62</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978.49</w:t>
            </w: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154.13</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5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201</w:t>
            </w:r>
          </w:p>
        </w:tc>
        <w:tc>
          <w:tcPr>
            <w:tcW w:w="6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一般公共服务支出</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895.70</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800.32</w:t>
            </w: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95.37</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5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20111</w:t>
            </w:r>
          </w:p>
        </w:tc>
        <w:tc>
          <w:tcPr>
            <w:tcW w:w="6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纪检监察事务</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895.70</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800.32</w:t>
            </w: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95.37</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5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2011101</w:t>
            </w:r>
          </w:p>
        </w:tc>
        <w:tc>
          <w:tcPr>
            <w:tcW w:w="6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行政运行</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800.32</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800.32</w:t>
            </w: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5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2011199</w:t>
            </w:r>
          </w:p>
        </w:tc>
        <w:tc>
          <w:tcPr>
            <w:tcW w:w="6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其他纪检监察事务支出</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95.37</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95.37</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5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208</w:t>
            </w:r>
          </w:p>
        </w:tc>
        <w:tc>
          <w:tcPr>
            <w:tcW w:w="6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社会保障和就业支出</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146.92</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146.92</w:t>
            </w: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5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20805</w:t>
            </w:r>
          </w:p>
        </w:tc>
        <w:tc>
          <w:tcPr>
            <w:tcW w:w="6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行政事业</w:t>
            </w:r>
            <w:r w:rsidR="007F5941">
              <w:rPr>
                <w:rFonts w:ascii="方正仿宋_GB2312" w:eastAsia="方正仿宋_GB2312" w:hAnsi="方正仿宋_GB2312" w:cs="方正仿宋_GB2312" w:hint="eastAsia"/>
                <w:color w:val="000000"/>
                <w:sz w:val="20"/>
                <w:szCs w:val="20"/>
              </w:rPr>
              <w:t>部门</w:t>
            </w:r>
            <w:r>
              <w:rPr>
                <w:rFonts w:ascii="方正仿宋_GB2312" w:eastAsia="方正仿宋_GB2312" w:hAnsi="方正仿宋_GB2312" w:cs="方正仿宋_GB2312" w:hint="eastAsia"/>
                <w:color w:val="000000"/>
                <w:sz w:val="20"/>
                <w:szCs w:val="20"/>
              </w:rPr>
              <w:t>养老支出</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122.51</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122.51</w:t>
            </w: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5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2080501</w:t>
            </w:r>
          </w:p>
        </w:tc>
        <w:tc>
          <w:tcPr>
            <w:tcW w:w="6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行政</w:t>
            </w:r>
            <w:r w:rsidR="007F5941">
              <w:rPr>
                <w:rFonts w:ascii="方正仿宋_GB2312" w:eastAsia="方正仿宋_GB2312" w:hAnsi="方正仿宋_GB2312" w:cs="方正仿宋_GB2312" w:hint="eastAsia"/>
                <w:color w:val="000000"/>
                <w:sz w:val="20"/>
                <w:szCs w:val="20"/>
              </w:rPr>
              <w:t>部门</w:t>
            </w:r>
            <w:r>
              <w:rPr>
                <w:rFonts w:ascii="方正仿宋_GB2312" w:eastAsia="方正仿宋_GB2312" w:hAnsi="方正仿宋_GB2312" w:cs="方正仿宋_GB2312" w:hint="eastAsia"/>
                <w:color w:val="000000"/>
                <w:sz w:val="20"/>
                <w:szCs w:val="20"/>
              </w:rPr>
              <w:t>离退休</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13.60</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13.60</w:t>
            </w: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5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2080505</w:t>
            </w:r>
          </w:p>
        </w:tc>
        <w:tc>
          <w:tcPr>
            <w:tcW w:w="6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机关事业</w:t>
            </w:r>
            <w:r w:rsidR="007F5941">
              <w:rPr>
                <w:rFonts w:ascii="方正仿宋_GB2312" w:eastAsia="方正仿宋_GB2312" w:hAnsi="方正仿宋_GB2312" w:cs="方正仿宋_GB2312" w:hint="eastAsia"/>
                <w:color w:val="000000"/>
                <w:sz w:val="20"/>
                <w:szCs w:val="20"/>
              </w:rPr>
              <w:t>部门</w:t>
            </w:r>
            <w:r>
              <w:rPr>
                <w:rFonts w:ascii="方正仿宋_GB2312" w:eastAsia="方正仿宋_GB2312" w:hAnsi="方正仿宋_GB2312" w:cs="方正仿宋_GB2312" w:hint="eastAsia"/>
                <w:color w:val="000000"/>
                <w:sz w:val="20"/>
                <w:szCs w:val="20"/>
              </w:rPr>
              <w:t>基本养老保险缴费支出</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93.78</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93.78</w:t>
            </w: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5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2080506</w:t>
            </w:r>
          </w:p>
        </w:tc>
        <w:tc>
          <w:tcPr>
            <w:tcW w:w="6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机关事业</w:t>
            </w:r>
            <w:r w:rsidR="007F5941">
              <w:rPr>
                <w:rFonts w:ascii="方正仿宋_GB2312" w:eastAsia="方正仿宋_GB2312" w:hAnsi="方正仿宋_GB2312" w:cs="方正仿宋_GB2312" w:hint="eastAsia"/>
                <w:color w:val="000000"/>
                <w:sz w:val="20"/>
                <w:szCs w:val="20"/>
              </w:rPr>
              <w:t>部门</w:t>
            </w:r>
            <w:r>
              <w:rPr>
                <w:rFonts w:ascii="方正仿宋_GB2312" w:eastAsia="方正仿宋_GB2312" w:hAnsi="方正仿宋_GB2312" w:cs="方正仿宋_GB2312" w:hint="eastAsia"/>
                <w:color w:val="000000"/>
                <w:sz w:val="20"/>
                <w:szCs w:val="20"/>
              </w:rPr>
              <w:t>职业年金缴费支出</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15.13</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15.13</w:t>
            </w: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5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20808</w:t>
            </w:r>
          </w:p>
        </w:tc>
        <w:tc>
          <w:tcPr>
            <w:tcW w:w="6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抚恤</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24.41</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24.41</w:t>
            </w: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5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2080801</w:t>
            </w:r>
          </w:p>
        </w:tc>
        <w:tc>
          <w:tcPr>
            <w:tcW w:w="6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死亡抚恤</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24.41</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24.41</w:t>
            </w: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5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210</w:t>
            </w:r>
          </w:p>
        </w:tc>
        <w:tc>
          <w:tcPr>
            <w:tcW w:w="6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卫生健康支出</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31.25</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31.25</w:t>
            </w: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5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21007</w:t>
            </w:r>
          </w:p>
        </w:tc>
        <w:tc>
          <w:tcPr>
            <w:tcW w:w="6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计划生育事务</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0.30</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0.30</w:t>
            </w: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5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lastRenderedPageBreak/>
              <w:t>2100799</w:t>
            </w:r>
          </w:p>
        </w:tc>
        <w:tc>
          <w:tcPr>
            <w:tcW w:w="6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其他计划生育事务支出</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0.30</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0.30</w:t>
            </w: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5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21011</w:t>
            </w:r>
          </w:p>
        </w:tc>
        <w:tc>
          <w:tcPr>
            <w:tcW w:w="6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行政事业</w:t>
            </w:r>
            <w:r w:rsidR="007F5941">
              <w:rPr>
                <w:rFonts w:ascii="方正仿宋_GB2312" w:eastAsia="方正仿宋_GB2312" w:hAnsi="方正仿宋_GB2312" w:cs="方正仿宋_GB2312" w:hint="eastAsia"/>
                <w:color w:val="000000"/>
                <w:sz w:val="20"/>
                <w:szCs w:val="20"/>
              </w:rPr>
              <w:t>部门</w:t>
            </w:r>
            <w:r>
              <w:rPr>
                <w:rFonts w:ascii="方正仿宋_GB2312" w:eastAsia="方正仿宋_GB2312" w:hAnsi="方正仿宋_GB2312" w:cs="方正仿宋_GB2312" w:hint="eastAsia"/>
                <w:color w:val="000000"/>
                <w:sz w:val="20"/>
                <w:szCs w:val="20"/>
              </w:rPr>
              <w:t>医疗</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30.95</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30.95</w:t>
            </w: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5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2101101</w:t>
            </w:r>
          </w:p>
        </w:tc>
        <w:tc>
          <w:tcPr>
            <w:tcW w:w="6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行政</w:t>
            </w:r>
            <w:r w:rsidR="007F5941">
              <w:rPr>
                <w:rFonts w:ascii="方正仿宋_GB2312" w:eastAsia="方正仿宋_GB2312" w:hAnsi="方正仿宋_GB2312" w:cs="方正仿宋_GB2312" w:hint="eastAsia"/>
                <w:color w:val="000000"/>
                <w:sz w:val="20"/>
                <w:szCs w:val="20"/>
              </w:rPr>
              <w:t>部门</w:t>
            </w:r>
            <w:r>
              <w:rPr>
                <w:rFonts w:ascii="方正仿宋_GB2312" w:eastAsia="方正仿宋_GB2312" w:hAnsi="方正仿宋_GB2312" w:cs="方正仿宋_GB2312" w:hint="eastAsia"/>
                <w:color w:val="000000"/>
                <w:sz w:val="20"/>
                <w:szCs w:val="20"/>
              </w:rPr>
              <w:t>医疗</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30.95</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30.95</w:t>
            </w: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5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229</w:t>
            </w:r>
          </w:p>
        </w:tc>
        <w:tc>
          <w:tcPr>
            <w:tcW w:w="6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其他支出</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58.76</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58.76</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5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22904</w:t>
            </w:r>
          </w:p>
        </w:tc>
        <w:tc>
          <w:tcPr>
            <w:tcW w:w="6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其他政府性基金及对应专项债务收入安排的支出</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58.76</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58.76</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5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2290402</w:t>
            </w:r>
          </w:p>
        </w:tc>
        <w:tc>
          <w:tcPr>
            <w:tcW w:w="6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其他地方自行试点项目收益专项债券收入安排的支出</w:t>
            </w:r>
          </w:p>
        </w:tc>
        <w:tc>
          <w:tcPr>
            <w:tcW w:w="6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58.76</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58.76</w:t>
            </w:r>
          </w:p>
        </w:tc>
        <w:tc>
          <w:tcPr>
            <w:tcW w:w="60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60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jc w:val="center"/>
        </w:trPr>
        <w:tc>
          <w:tcPr>
            <w:tcW w:w="5000" w:type="pct"/>
            <w:gridSpan w:val="10"/>
            <w:tcBorders>
              <w:top w:val="single" w:sz="8" w:space="0" w:color="000000" w:themeColor="text1"/>
              <w:left w:val="nil"/>
              <w:bottom w:val="nil"/>
              <w:right w:val="nil"/>
            </w:tcBorders>
            <w:noWrap/>
            <w:vAlign w:val="center"/>
          </w:tcPr>
          <w:p w:rsidR="00314A00" w:rsidRDefault="00B456B2">
            <w:pPr>
              <w:widowControl/>
              <w:jc w:val="left"/>
              <w:textAlignment w:val="center"/>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注：本表反映部门本年度各项支出情况。</w:t>
            </w:r>
          </w:p>
        </w:tc>
      </w:tr>
    </w:tbl>
    <w:p w:rsidR="00314A00" w:rsidRDefault="00314A00">
      <w:pPr>
        <w:rPr>
          <w:rFonts w:ascii="仿宋_GB2312" w:eastAsia="仿宋_GB2312" w:hAnsi="宋体"/>
          <w:b/>
          <w:sz w:val="32"/>
          <w:szCs w:val="32"/>
        </w:rPr>
      </w:pPr>
    </w:p>
    <w:p w:rsidR="00314A00" w:rsidRDefault="00B456B2">
      <w:pPr>
        <w:rPr>
          <w:rFonts w:ascii="仿宋_GB2312" w:eastAsia="仿宋_GB2312" w:hAnsi="宋体"/>
          <w:b/>
          <w:sz w:val="32"/>
          <w:szCs w:val="32"/>
        </w:rPr>
      </w:pPr>
      <w:r>
        <w:rPr>
          <w:rFonts w:ascii="仿宋_GB2312" w:eastAsia="仿宋_GB2312" w:hAnsi="宋体" w:hint="eastAsia"/>
          <w:b/>
          <w:sz w:val="32"/>
          <w:szCs w:val="32"/>
        </w:rPr>
        <w:br w:type="page"/>
      </w:r>
    </w:p>
    <w:tbl>
      <w:tblPr>
        <w:tblW w:w="7281" w:type="pct"/>
        <w:tblInd w:w="-1857" w:type="dxa"/>
        <w:tblLayout w:type="fixed"/>
        <w:tblLook w:val="04A0"/>
      </w:tblPr>
      <w:tblGrid>
        <w:gridCol w:w="1982"/>
        <w:gridCol w:w="623"/>
        <w:gridCol w:w="1428"/>
        <w:gridCol w:w="1658"/>
        <w:gridCol w:w="438"/>
        <w:gridCol w:w="623"/>
        <w:gridCol w:w="459"/>
        <w:gridCol w:w="834"/>
        <w:gridCol w:w="1218"/>
        <w:gridCol w:w="1218"/>
        <w:gridCol w:w="1227"/>
      </w:tblGrid>
      <w:tr w:rsidR="00314A00">
        <w:trPr>
          <w:trHeight w:val="550"/>
        </w:trPr>
        <w:tc>
          <w:tcPr>
            <w:tcW w:w="5000" w:type="pct"/>
            <w:gridSpan w:val="11"/>
            <w:tcBorders>
              <w:top w:val="nil"/>
              <w:left w:val="nil"/>
              <w:bottom w:val="nil"/>
              <w:right w:val="nil"/>
            </w:tcBorders>
            <w:noWrap/>
            <w:vAlign w:val="bottom"/>
          </w:tcPr>
          <w:p w:rsidR="00314A00" w:rsidRDefault="00B456B2">
            <w:pPr>
              <w:widowControl/>
              <w:jc w:val="center"/>
              <w:textAlignment w:val="bottom"/>
              <w:rPr>
                <w:rFonts w:ascii="宋体" w:eastAsia="宋体" w:hAnsi="宋体"/>
                <w:color w:val="000000"/>
                <w:sz w:val="20"/>
                <w:szCs w:val="20"/>
              </w:rPr>
            </w:pPr>
            <w:r>
              <w:rPr>
                <w:rFonts w:ascii="方正仿宋_GB2312" w:eastAsia="方正仿宋_GB2312" w:hAnsi="方正仿宋_GB2312" w:cs="方正仿宋_GB2312" w:hint="eastAsia"/>
                <w:bCs/>
                <w:sz w:val="32"/>
                <w:szCs w:val="32"/>
              </w:rPr>
              <w:lastRenderedPageBreak/>
              <w:t>财政拨款收入支出决算总表</w:t>
            </w:r>
          </w:p>
        </w:tc>
      </w:tr>
      <w:tr w:rsidR="00314A00">
        <w:trPr>
          <w:trHeight w:val="300"/>
        </w:trPr>
        <w:tc>
          <w:tcPr>
            <w:tcW w:w="5000" w:type="pct"/>
            <w:gridSpan w:val="11"/>
            <w:tcBorders>
              <w:top w:val="nil"/>
              <w:left w:val="nil"/>
              <w:bottom w:val="nil"/>
              <w:right w:val="nil"/>
            </w:tcBorders>
            <w:noWrap/>
            <w:vAlign w:val="bottom"/>
          </w:tcPr>
          <w:p w:rsidR="00314A00" w:rsidRDefault="00B456B2">
            <w:pPr>
              <w:widowControl/>
              <w:jc w:val="right"/>
              <w:textAlignment w:val="bottom"/>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公开</w:t>
            </w:r>
            <w:r>
              <w:rPr>
                <w:rFonts w:ascii="Times New Roman" w:eastAsia="方正仿宋_GB2312" w:hAnsi="Times New Roman" w:cs="Times New Roman"/>
                <w:color w:val="000000"/>
                <w:sz w:val="20"/>
                <w:szCs w:val="20"/>
                <w:lang/>
              </w:rPr>
              <w:t>04</w:t>
            </w:r>
            <w:r>
              <w:rPr>
                <w:rFonts w:ascii="方正仿宋_GB2312" w:eastAsia="方正仿宋_GB2312" w:hAnsi="方正仿宋_GB2312" w:cs="方正仿宋_GB2312" w:hint="eastAsia"/>
                <w:color w:val="000000"/>
                <w:sz w:val="20"/>
                <w:szCs w:val="20"/>
                <w:lang/>
              </w:rPr>
              <w:t>表</w:t>
            </w:r>
          </w:p>
        </w:tc>
      </w:tr>
      <w:tr w:rsidR="00314A00">
        <w:trPr>
          <w:trHeight w:val="300"/>
        </w:trPr>
        <w:tc>
          <w:tcPr>
            <w:tcW w:w="2431" w:type="pct"/>
            <w:gridSpan w:val="4"/>
            <w:tcBorders>
              <w:top w:val="nil"/>
              <w:left w:val="nil"/>
              <w:bottom w:val="single" w:sz="8" w:space="0" w:color="000000" w:themeColor="text1"/>
              <w:right w:val="nil"/>
            </w:tcBorders>
            <w:noWrap/>
            <w:vAlign w:val="bottom"/>
          </w:tcPr>
          <w:p w:rsidR="00314A00" w:rsidRDefault="00B456B2">
            <w:pPr>
              <w:rPr>
                <w:rFonts w:ascii="仿宋" w:eastAsia="仿宋" w:hAnsi="仿宋" w:cs="仿宋"/>
                <w:color w:val="000000"/>
                <w:sz w:val="20"/>
                <w:szCs w:val="20"/>
              </w:rPr>
            </w:pPr>
            <w:r>
              <w:rPr>
                <w:rFonts w:ascii="方正仿宋_GB2312" w:eastAsia="方正仿宋_GB2312" w:hAnsi="方正仿宋_GB2312" w:cs="方正仿宋_GB2312" w:hint="eastAsia"/>
                <w:color w:val="000000"/>
                <w:sz w:val="20"/>
                <w:szCs w:val="20"/>
                <w:lang/>
              </w:rPr>
              <w:t>部门（</w:t>
            </w:r>
            <w:r w:rsidR="007F5941">
              <w:rPr>
                <w:rFonts w:ascii="方正仿宋_GB2312" w:eastAsia="方正仿宋_GB2312" w:hAnsi="方正仿宋_GB2312" w:cs="方正仿宋_GB2312" w:hint="eastAsia"/>
                <w:color w:val="000000"/>
                <w:sz w:val="20"/>
                <w:szCs w:val="20"/>
                <w:lang/>
              </w:rPr>
              <w:t>部门</w:t>
            </w:r>
            <w:r>
              <w:rPr>
                <w:rFonts w:ascii="方正仿宋_GB2312" w:eastAsia="方正仿宋_GB2312" w:hAnsi="方正仿宋_GB2312" w:cs="方正仿宋_GB2312" w:hint="eastAsia"/>
                <w:color w:val="000000"/>
                <w:sz w:val="20"/>
                <w:szCs w:val="20"/>
                <w:lang/>
              </w:rPr>
              <w:t>）：中国共产党无极县纪律检查委员会</w:t>
            </w:r>
            <w:r>
              <w:rPr>
                <w:rFonts w:ascii="方正仿宋_GB2312" w:eastAsia="方正仿宋_GB2312" w:hAnsi="方正仿宋_GB2312" w:cs="方正仿宋_GB2312" w:hint="eastAsia"/>
                <w:color w:val="000000"/>
                <w:sz w:val="20"/>
                <w:szCs w:val="20"/>
                <w:lang/>
              </w:rPr>
              <w:t xml:space="preserve"> </w:t>
            </w:r>
          </w:p>
        </w:tc>
        <w:tc>
          <w:tcPr>
            <w:tcW w:w="649" w:type="pct"/>
            <w:gridSpan w:val="3"/>
            <w:tcBorders>
              <w:top w:val="nil"/>
              <w:left w:val="nil"/>
              <w:bottom w:val="single" w:sz="8" w:space="0" w:color="000000" w:themeColor="text1"/>
              <w:right w:val="nil"/>
            </w:tcBorders>
            <w:noWrap/>
            <w:vAlign w:val="bottom"/>
          </w:tcPr>
          <w:p w:rsidR="00314A00" w:rsidRDefault="00B456B2">
            <w:pPr>
              <w:jc w:val="center"/>
              <w:rPr>
                <w:rFonts w:asciiTheme="minorEastAsia" w:hAnsiTheme="minorEastAsia" w:cstheme="minorEastAsia"/>
                <w:color w:val="000000"/>
                <w:sz w:val="20"/>
                <w:szCs w:val="20"/>
                <w:lang/>
              </w:rPr>
            </w:pPr>
            <w:r>
              <w:rPr>
                <w:rFonts w:ascii="Times New Roman" w:hAnsi="Times New Roman" w:cs="Times New Roman"/>
                <w:color w:val="000000"/>
                <w:sz w:val="20"/>
                <w:szCs w:val="20"/>
                <w:lang/>
              </w:rPr>
              <w:t>202</w:t>
            </w:r>
            <w:r>
              <w:rPr>
                <w:rFonts w:ascii="Times New Roman" w:hAnsi="Times New Roman" w:cs="Times New Roman" w:hint="eastAsia"/>
                <w:color w:val="000000"/>
                <w:sz w:val="20"/>
                <w:szCs w:val="20"/>
                <w:lang/>
              </w:rPr>
              <w:t>5</w:t>
            </w:r>
            <w:r>
              <w:rPr>
                <w:rFonts w:ascii="方正仿宋_GB2312" w:eastAsia="方正仿宋_GB2312" w:hAnsi="方正仿宋_GB2312" w:cs="方正仿宋_GB2312" w:hint="eastAsia"/>
                <w:color w:val="000000"/>
                <w:sz w:val="20"/>
                <w:szCs w:val="20"/>
                <w:lang/>
              </w:rPr>
              <w:t>年度</w:t>
            </w:r>
          </w:p>
        </w:tc>
        <w:tc>
          <w:tcPr>
            <w:tcW w:w="1919" w:type="pct"/>
            <w:gridSpan w:val="4"/>
            <w:tcBorders>
              <w:top w:val="nil"/>
              <w:left w:val="nil"/>
              <w:bottom w:val="single" w:sz="8" w:space="0" w:color="000000" w:themeColor="text1"/>
              <w:right w:val="nil"/>
            </w:tcBorders>
            <w:noWrap/>
            <w:vAlign w:val="bottom"/>
          </w:tcPr>
          <w:p w:rsidR="00314A00" w:rsidRDefault="00B456B2">
            <w:pPr>
              <w:jc w:val="right"/>
              <w:rPr>
                <w:rFonts w:asciiTheme="minorEastAsia" w:hAnsiTheme="minorEastAsia" w:cstheme="minorEastAsia"/>
                <w:color w:val="000000"/>
                <w:sz w:val="20"/>
                <w:szCs w:val="20"/>
                <w:lang/>
              </w:rPr>
            </w:pPr>
            <w:r>
              <w:rPr>
                <w:rFonts w:ascii="方正仿宋_GB2312" w:eastAsia="方正仿宋_GB2312" w:hAnsi="方正仿宋_GB2312" w:cs="方正仿宋_GB2312" w:hint="eastAsia"/>
                <w:color w:val="000000"/>
                <w:sz w:val="20"/>
                <w:szCs w:val="20"/>
                <w:lang/>
              </w:rPr>
              <w:t>金额</w:t>
            </w:r>
            <w:r w:rsidR="007F5941">
              <w:rPr>
                <w:rFonts w:ascii="方正仿宋_GB2312" w:eastAsia="方正仿宋_GB2312" w:hAnsi="方正仿宋_GB2312" w:cs="方正仿宋_GB2312" w:hint="eastAsia"/>
                <w:color w:val="000000"/>
                <w:sz w:val="20"/>
                <w:szCs w:val="20"/>
                <w:lang/>
              </w:rPr>
              <w:t>部门</w:t>
            </w:r>
            <w:r>
              <w:rPr>
                <w:rFonts w:ascii="方正仿宋_GB2312" w:eastAsia="方正仿宋_GB2312" w:hAnsi="方正仿宋_GB2312" w:cs="方正仿宋_GB2312" w:hint="eastAsia"/>
                <w:color w:val="000000"/>
                <w:sz w:val="20"/>
                <w:szCs w:val="20"/>
                <w:lang/>
              </w:rPr>
              <w:t>：万元</w:t>
            </w:r>
          </w:p>
        </w:tc>
      </w:tr>
      <w:tr w:rsidR="00314A00">
        <w:trPr>
          <w:trHeight w:val="308"/>
        </w:trPr>
        <w:tc>
          <w:tcPr>
            <w:tcW w:w="1723" w:type="pct"/>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收入</w:t>
            </w:r>
          </w:p>
        </w:tc>
        <w:tc>
          <w:tcPr>
            <w:tcW w:w="3276" w:type="pct"/>
            <w:gridSpan w:val="8"/>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支出</w:t>
            </w:r>
          </w:p>
        </w:tc>
      </w:tr>
      <w:tr w:rsidR="00314A00">
        <w:trPr>
          <w:trHeight w:val="312"/>
        </w:trPr>
        <w:tc>
          <w:tcPr>
            <w:tcW w:w="847"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项</w:t>
            </w:r>
            <w:r>
              <w:rPr>
                <w:rFonts w:ascii="方正仿宋_GB2312" w:eastAsia="方正仿宋_GB2312" w:hAnsi="方正仿宋_GB2312" w:cs="方正仿宋_GB2312" w:hint="eastAsia"/>
                <w:color w:val="000000"/>
                <w:sz w:val="20"/>
                <w:szCs w:val="20"/>
                <w:lang/>
              </w:rPr>
              <w:t xml:space="preserve">    </w:t>
            </w:r>
            <w:r>
              <w:rPr>
                <w:rFonts w:ascii="方正仿宋_GB2312" w:eastAsia="方正仿宋_GB2312" w:hAnsi="方正仿宋_GB2312" w:cs="方正仿宋_GB2312" w:hint="eastAsia"/>
                <w:color w:val="000000"/>
                <w:sz w:val="20"/>
                <w:szCs w:val="20"/>
                <w:lang/>
              </w:rPr>
              <w:t>目</w:t>
            </w:r>
          </w:p>
        </w:tc>
        <w:tc>
          <w:tcPr>
            <w:tcW w:w="266"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行次</w:t>
            </w:r>
          </w:p>
        </w:tc>
        <w:tc>
          <w:tcPr>
            <w:tcW w:w="609"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金额</w:t>
            </w:r>
          </w:p>
        </w:tc>
        <w:tc>
          <w:tcPr>
            <w:tcW w:w="895" w:type="pct"/>
            <w:gridSpan w:val="2"/>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项目</w:t>
            </w:r>
          </w:p>
        </w:tc>
        <w:tc>
          <w:tcPr>
            <w:tcW w:w="266"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行次</w:t>
            </w:r>
          </w:p>
        </w:tc>
        <w:tc>
          <w:tcPr>
            <w:tcW w:w="552" w:type="pct"/>
            <w:gridSpan w:val="2"/>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合计</w:t>
            </w:r>
          </w:p>
        </w:tc>
        <w:tc>
          <w:tcPr>
            <w:tcW w:w="520"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一般公共预算财政拨款</w:t>
            </w:r>
          </w:p>
        </w:tc>
        <w:tc>
          <w:tcPr>
            <w:tcW w:w="520"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政府性基金预算财政拨款</w:t>
            </w:r>
          </w:p>
        </w:tc>
        <w:tc>
          <w:tcPr>
            <w:tcW w:w="520"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国有资本经营预算财政拨款</w:t>
            </w:r>
          </w:p>
        </w:tc>
      </w:tr>
      <w:tr w:rsidR="00314A00">
        <w:trPr>
          <w:trHeight w:val="312"/>
        </w:trPr>
        <w:tc>
          <w:tcPr>
            <w:tcW w:w="847"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266"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609"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895" w:type="pct"/>
            <w:gridSpan w:val="2"/>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266"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552" w:type="pct"/>
            <w:gridSpan w:val="2"/>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widowControl/>
              <w:jc w:val="center"/>
              <w:textAlignment w:val="center"/>
              <w:rPr>
                <w:rFonts w:ascii="方正仿宋_GB2312" w:eastAsia="方正仿宋_GB2312" w:hAnsi="方正仿宋_GB2312" w:cs="方正仿宋_GB2312"/>
                <w:color w:val="000000"/>
                <w:sz w:val="20"/>
                <w:szCs w:val="20"/>
              </w:rPr>
            </w:pPr>
          </w:p>
        </w:tc>
        <w:tc>
          <w:tcPr>
            <w:tcW w:w="520"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widowControl/>
              <w:jc w:val="center"/>
              <w:textAlignment w:val="center"/>
              <w:rPr>
                <w:rFonts w:ascii="方正仿宋_GB2312" w:eastAsia="方正仿宋_GB2312" w:hAnsi="方正仿宋_GB2312" w:cs="方正仿宋_GB2312"/>
                <w:color w:val="000000"/>
                <w:sz w:val="20"/>
                <w:szCs w:val="20"/>
              </w:rPr>
            </w:pPr>
          </w:p>
        </w:tc>
        <w:tc>
          <w:tcPr>
            <w:tcW w:w="520"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widowControl/>
              <w:jc w:val="center"/>
              <w:textAlignment w:val="center"/>
              <w:rPr>
                <w:rFonts w:ascii="方正仿宋_GB2312" w:eastAsia="方正仿宋_GB2312" w:hAnsi="方正仿宋_GB2312" w:cs="方正仿宋_GB2312"/>
                <w:color w:val="000000"/>
                <w:sz w:val="20"/>
                <w:szCs w:val="20"/>
              </w:rPr>
            </w:pPr>
          </w:p>
        </w:tc>
        <w:tc>
          <w:tcPr>
            <w:tcW w:w="520"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widowControl/>
              <w:jc w:val="center"/>
              <w:textAlignment w:val="center"/>
              <w:rPr>
                <w:rFonts w:ascii="方正仿宋_GB2312" w:eastAsia="方正仿宋_GB2312" w:hAnsi="方正仿宋_GB2312" w:cs="方正仿宋_GB2312"/>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栏</w:t>
            </w:r>
            <w:r>
              <w:rPr>
                <w:rFonts w:ascii="方正仿宋_GB2312" w:eastAsia="方正仿宋_GB2312" w:hAnsi="方正仿宋_GB2312" w:cs="方正仿宋_GB2312" w:hint="eastAsia"/>
                <w:color w:val="000000"/>
                <w:sz w:val="20"/>
                <w:szCs w:val="20"/>
                <w:lang/>
              </w:rPr>
              <w:t xml:space="preserve">    </w:t>
            </w:r>
            <w:r>
              <w:rPr>
                <w:rFonts w:ascii="方正仿宋_GB2312" w:eastAsia="方正仿宋_GB2312" w:hAnsi="方正仿宋_GB2312" w:cs="方正仿宋_GB2312" w:hint="eastAsia"/>
                <w:color w:val="000000"/>
                <w:sz w:val="20"/>
                <w:szCs w:val="20"/>
                <w:lang/>
              </w:rPr>
              <w:t>次</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宋体" w:eastAsia="宋体" w:hAnsi="宋体" w:hint="eastAsia"/>
                <w:color w:val="000000"/>
                <w:sz w:val="20"/>
                <w:szCs w:val="20"/>
                <w:lang/>
              </w:rPr>
              <w:t>1</w:t>
            </w: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栏</w:t>
            </w:r>
            <w:r>
              <w:rPr>
                <w:rFonts w:ascii="方正仿宋_GB2312" w:eastAsia="方正仿宋_GB2312" w:hAnsi="方正仿宋_GB2312" w:cs="方正仿宋_GB2312" w:hint="eastAsia"/>
                <w:color w:val="000000"/>
                <w:sz w:val="20"/>
                <w:szCs w:val="20"/>
                <w:lang/>
              </w:rPr>
              <w:t xml:space="preserve">    </w:t>
            </w:r>
            <w:r>
              <w:rPr>
                <w:rFonts w:ascii="方正仿宋_GB2312" w:eastAsia="方正仿宋_GB2312" w:hAnsi="方正仿宋_GB2312" w:cs="方正仿宋_GB2312" w:hint="eastAsia"/>
                <w:color w:val="000000"/>
                <w:sz w:val="20"/>
                <w:szCs w:val="20"/>
                <w:lang/>
              </w:rPr>
              <w:t>次</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宋体" w:eastAsia="宋体" w:hAnsi="宋体" w:hint="eastAsia"/>
                <w:color w:val="000000"/>
                <w:sz w:val="20"/>
                <w:szCs w:val="20"/>
                <w:lang/>
              </w:rPr>
              <w:t>2</w:t>
            </w: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宋体" w:eastAsia="宋体" w:hAnsi="宋体" w:hint="eastAsia"/>
                <w:color w:val="000000"/>
                <w:sz w:val="20"/>
                <w:szCs w:val="20"/>
                <w:lang/>
              </w:rPr>
              <w:t>3</w:t>
            </w: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宋体" w:eastAsia="宋体" w:hAnsi="宋体" w:hint="eastAsia"/>
                <w:color w:val="000000"/>
                <w:sz w:val="20"/>
                <w:szCs w:val="20"/>
                <w:lang/>
              </w:rPr>
              <w:t>4</w:t>
            </w: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宋体" w:eastAsia="宋体" w:hAnsi="宋体"/>
                <w:color w:val="000000"/>
                <w:sz w:val="20"/>
                <w:szCs w:val="20"/>
              </w:rPr>
            </w:pPr>
            <w:r>
              <w:rPr>
                <w:rFonts w:ascii="宋体" w:eastAsia="宋体" w:hAnsi="宋体" w:hint="eastAsia"/>
                <w:color w:val="000000"/>
                <w:sz w:val="20"/>
                <w:szCs w:val="20"/>
                <w:lang/>
              </w:rPr>
              <w:t>5</w:t>
            </w: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一、一般公共预算财政拨款</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1,073.86</w:t>
            </w: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一、一般公共服务支出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33</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895.70</w:t>
            </w: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895.70</w:t>
            </w: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二、政府性基金预算财政拨款</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58.76</w:t>
            </w: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二、外交支出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34</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三、国有资本经营预算财政拨款</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三、国防支出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35</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四、公共安全支出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36</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五、教育支出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37</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6</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六、科学技术支出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38</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7</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七、文化旅游体育与传媒支出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39</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8</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八、社会保障和就业支出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40</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146.92</w:t>
            </w: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146.92</w:t>
            </w: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9</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九、卫生健康支出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41</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31.25</w:t>
            </w: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31.25</w:t>
            </w: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10</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十、节能环保支出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42</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11</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十一、城乡社区支出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43</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12</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十二、农林水支出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44</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13</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十三、交通运输支出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45</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14</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十四、资源勘探工业信息等支出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46</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15</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十五、商业服务业等支出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47</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666"/>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16</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十六、金融支出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48</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441"/>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17</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十七、援助其他地区支出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49</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18</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十八、自然资源海洋气象等支出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50</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19</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十九、住房保障支出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51</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20</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二十、粮油物资储备支出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52</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21</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二十一、国有资本经营预算支出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53</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22</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二十二、灾害防治及应急管理支出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54</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23</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二十三、其他支出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55</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58.76</w:t>
            </w: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58.76</w:t>
            </w: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24</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二十四、债务还本支出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56</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b/>
                <w:bCs/>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25</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二十五、债务付息支出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57</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26</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二十六、抗疫特别国债安排的支出</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58</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b/>
                <w:bCs/>
                <w:color w:val="000000"/>
                <w:sz w:val="20"/>
                <w:szCs w:val="20"/>
              </w:rPr>
            </w:pPr>
            <w:r>
              <w:rPr>
                <w:rFonts w:ascii="方正仿宋_GB2312" w:eastAsia="方正仿宋_GB2312" w:hAnsi="方正仿宋_GB2312" w:cs="方正仿宋_GB2312" w:hint="eastAsia"/>
                <w:b/>
                <w:bCs/>
                <w:color w:val="000000"/>
                <w:sz w:val="20"/>
                <w:szCs w:val="20"/>
                <w:lang/>
              </w:rPr>
              <w:t>本年收入合计</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27</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1,132.62</w:t>
            </w: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b/>
                <w:bCs/>
                <w:color w:val="000000"/>
                <w:sz w:val="20"/>
                <w:szCs w:val="20"/>
              </w:rPr>
            </w:pPr>
            <w:r>
              <w:rPr>
                <w:rFonts w:ascii="方正仿宋_GB2312" w:eastAsia="方正仿宋_GB2312" w:hAnsi="方正仿宋_GB2312" w:cs="方正仿宋_GB2312" w:hint="eastAsia"/>
                <w:b/>
                <w:bCs/>
                <w:color w:val="000000"/>
                <w:sz w:val="20"/>
                <w:szCs w:val="20"/>
                <w:lang/>
              </w:rPr>
              <w:t>本年支出合计</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59</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1,132.62</w:t>
            </w: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1,073.86</w:t>
            </w: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58.76</w:t>
            </w: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年初财政拨款结转和结余</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28</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年末财政拨款结转和结余</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60</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一、一般公共预算财政拨款</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29</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方正仿宋_GB2312" w:eastAsia="方正仿宋_GB2312" w:hAnsi="方正仿宋_GB2312" w:cs="方正仿宋_GB2312"/>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61</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二、政府性基金预算财政拨款</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30</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方正仿宋_GB2312" w:eastAsia="方正仿宋_GB2312" w:hAnsi="方正仿宋_GB2312" w:cs="方正仿宋_GB2312"/>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62</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三、国有资本经营预算财政拨款</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31</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方正仿宋_GB2312" w:eastAsia="方正仿宋_GB2312" w:hAnsi="方正仿宋_GB2312" w:cs="方正仿宋_GB2312"/>
                <w:color w:val="000000"/>
                <w:sz w:val="20"/>
                <w:szCs w:val="20"/>
              </w:rPr>
            </w:pP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63</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left"/>
              <w:rPr>
                <w:rFonts w:ascii="Times New Roman" w:eastAsia="宋体" w:hAnsi="Times New Roman" w:cs="Times New Roman"/>
                <w:color w:val="000000"/>
                <w:sz w:val="20"/>
                <w:szCs w:val="20"/>
              </w:rPr>
            </w:pPr>
          </w:p>
        </w:tc>
      </w:tr>
      <w:tr w:rsidR="00314A00">
        <w:trPr>
          <w:trHeight w:val="308"/>
        </w:trPr>
        <w:tc>
          <w:tcPr>
            <w:tcW w:w="84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b/>
                <w:bCs/>
                <w:color w:val="000000"/>
                <w:sz w:val="20"/>
                <w:szCs w:val="20"/>
              </w:rPr>
            </w:pPr>
            <w:r>
              <w:rPr>
                <w:rFonts w:ascii="方正仿宋_GB2312" w:eastAsia="方正仿宋_GB2312" w:hAnsi="方正仿宋_GB2312" w:cs="方正仿宋_GB2312" w:hint="eastAsia"/>
                <w:b/>
                <w:bCs/>
                <w:color w:val="000000"/>
                <w:sz w:val="20"/>
                <w:szCs w:val="20"/>
                <w:lang/>
              </w:rPr>
              <w:t>总计</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32</w:t>
            </w:r>
          </w:p>
        </w:tc>
        <w:tc>
          <w:tcPr>
            <w:tcW w:w="60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1,132.62</w:t>
            </w:r>
          </w:p>
        </w:tc>
        <w:tc>
          <w:tcPr>
            <w:tcW w:w="895"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b/>
                <w:bCs/>
                <w:color w:val="000000"/>
                <w:sz w:val="20"/>
                <w:szCs w:val="20"/>
              </w:rPr>
            </w:pPr>
            <w:r>
              <w:rPr>
                <w:rFonts w:ascii="方正仿宋_GB2312" w:eastAsia="方正仿宋_GB2312" w:hAnsi="方正仿宋_GB2312" w:cs="方正仿宋_GB2312" w:hint="eastAsia"/>
                <w:b/>
                <w:bCs/>
                <w:color w:val="000000"/>
                <w:sz w:val="20"/>
                <w:szCs w:val="20"/>
                <w:lang/>
              </w:rPr>
              <w:t>总计</w:t>
            </w:r>
          </w:p>
        </w:tc>
        <w:tc>
          <w:tcPr>
            <w:tcW w:w="2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lang/>
              </w:rPr>
              <w:t>64</w:t>
            </w:r>
          </w:p>
        </w:tc>
        <w:tc>
          <w:tcPr>
            <w:tcW w:w="552"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1,132.62</w:t>
            </w: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hAnsi="Times New Roman" w:cs="Times New Roman"/>
                <w:sz w:val="20"/>
                <w:szCs w:val="20"/>
              </w:rPr>
            </w:pPr>
          </w:p>
          <w:p w:rsidR="00314A00" w:rsidRDefault="00B456B2">
            <w:pPr>
              <w:jc w:val="right"/>
              <w:rPr>
                <w:rFonts w:ascii="Times New Roman" w:hAnsi="Times New Roman" w:cs="Times New Roman"/>
                <w:sz w:val="20"/>
                <w:szCs w:val="20"/>
              </w:rPr>
            </w:pPr>
            <w:r>
              <w:rPr>
                <w:rFonts w:ascii="Times New Roman" w:hAnsi="Times New Roman" w:cs="Times New Roman"/>
                <w:sz w:val="20"/>
                <w:szCs w:val="20"/>
              </w:rPr>
              <w:t>1,073.86</w:t>
            </w:r>
          </w:p>
          <w:p w:rsidR="00314A00" w:rsidRDefault="00314A00">
            <w:pPr>
              <w:jc w:val="right"/>
              <w:rPr>
                <w:rFonts w:ascii="Times New Roman" w:eastAsia="宋体" w:hAnsi="Times New Roman" w:cs="Times New Roman"/>
                <w:color w:val="000000"/>
                <w:sz w:val="20"/>
                <w:szCs w:val="20"/>
              </w:rPr>
            </w:pP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58.76</w:t>
            </w:r>
          </w:p>
        </w:tc>
        <w:tc>
          <w:tcPr>
            <w:tcW w:w="52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5000" w:type="pct"/>
            <w:gridSpan w:val="11"/>
            <w:tcBorders>
              <w:top w:val="single" w:sz="8" w:space="0" w:color="000000" w:themeColor="text1"/>
              <w:left w:val="nil"/>
              <w:bottom w:val="nil"/>
              <w:right w:val="nil"/>
            </w:tcBorders>
            <w:noWrap/>
            <w:vAlign w:val="center"/>
          </w:tcPr>
          <w:p w:rsidR="00314A00" w:rsidRDefault="00B456B2">
            <w:pPr>
              <w:widowControl/>
              <w:jc w:val="left"/>
              <w:textAlignment w:val="center"/>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注：本表反映部门本年度一般公共预算财政拨款、政府性基金预算财政拨款和国有资本经营预算财政拨款的总收支和年末结转结余情况。</w:t>
            </w:r>
          </w:p>
        </w:tc>
      </w:tr>
    </w:tbl>
    <w:p w:rsidR="00314A00" w:rsidRDefault="00314A00">
      <w:pPr>
        <w:rPr>
          <w:rFonts w:ascii="仿宋_GB2312" w:eastAsia="仿宋_GB2312" w:hAnsi="宋体"/>
          <w:b/>
          <w:sz w:val="32"/>
          <w:szCs w:val="32"/>
        </w:rPr>
      </w:pPr>
    </w:p>
    <w:p w:rsidR="00314A00" w:rsidRDefault="00B456B2">
      <w:pPr>
        <w:rPr>
          <w:rFonts w:ascii="仿宋_GB2312" w:eastAsia="仿宋_GB2312" w:hAnsi="宋体"/>
          <w:b/>
          <w:sz w:val="32"/>
          <w:szCs w:val="32"/>
        </w:rPr>
      </w:pPr>
      <w:r>
        <w:rPr>
          <w:rFonts w:ascii="仿宋_GB2312" w:eastAsia="仿宋_GB2312" w:hAnsi="宋体" w:hint="eastAsia"/>
          <w:b/>
          <w:sz w:val="32"/>
          <w:szCs w:val="32"/>
        </w:rPr>
        <w:br w:type="page"/>
      </w:r>
    </w:p>
    <w:tbl>
      <w:tblPr>
        <w:tblW w:w="5348" w:type="pct"/>
        <w:tblInd w:w="-657" w:type="dxa"/>
        <w:tblLook w:val="04A0"/>
      </w:tblPr>
      <w:tblGrid>
        <w:gridCol w:w="1680"/>
        <w:gridCol w:w="3292"/>
        <w:gridCol w:w="974"/>
        <w:gridCol w:w="509"/>
        <w:gridCol w:w="672"/>
        <w:gridCol w:w="372"/>
        <w:gridCol w:w="1198"/>
      </w:tblGrid>
      <w:tr w:rsidR="00314A00">
        <w:trPr>
          <w:trHeight w:val="657"/>
        </w:trPr>
        <w:tc>
          <w:tcPr>
            <w:tcW w:w="5000" w:type="pct"/>
            <w:gridSpan w:val="7"/>
            <w:tcBorders>
              <w:top w:val="nil"/>
              <w:left w:val="nil"/>
              <w:bottom w:val="nil"/>
              <w:right w:val="nil"/>
            </w:tcBorders>
            <w:noWrap/>
            <w:vAlign w:val="bottom"/>
          </w:tcPr>
          <w:p w:rsidR="00314A00" w:rsidRDefault="00B456B2">
            <w:pPr>
              <w:widowControl/>
              <w:jc w:val="center"/>
              <w:textAlignment w:val="bottom"/>
              <w:rPr>
                <w:rFonts w:ascii="宋体" w:eastAsia="宋体" w:hAnsi="宋体"/>
                <w:color w:val="000000"/>
                <w:sz w:val="20"/>
                <w:szCs w:val="20"/>
              </w:rPr>
            </w:pPr>
            <w:r>
              <w:rPr>
                <w:rFonts w:ascii="方正仿宋_GB2312" w:eastAsia="方正仿宋_GB2312" w:hAnsi="方正仿宋_GB2312" w:cs="方正仿宋_GB2312" w:hint="eastAsia"/>
                <w:bCs/>
                <w:sz w:val="32"/>
                <w:szCs w:val="32"/>
              </w:rPr>
              <w:lastRenderedPageBreak/>
              <w:t>一般公共预算财政拨款支出决算表</w:t>
            </w:r>
          </w:p>
        </w:tc>
      </w:tr>
      <w:tr w:rsidR="00314A00">
        <w:trPr>
          <w:trHeight w:val="329"/>
        </w:trPr>
        <w:tc>
          <w:tcPr>
            <w:tcW w:w="5000" w:type="pct"/>
            <w:gridSpan w:val="7"/>
            <w:tcBorders>
              <w:top w:val="nil"/>
              <w:left w:val="nil"/>
              <w:bottom w:val="nil"/>
              <w:right w:val="nil"/>
            </w:tcBorders>
            <w:noWrap/>
            <w:vAlign w:val="bottom"/>
          </w:tcPr>
          <w:p w:rsidR="00314A00" w:rsidRDefault="00B456B2">
            <w:pPr>
              <w:widowControl/>
              <w:jc w:val="right"/>
              <w:textAlignment w:val="bottom"/>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公开</w:t>
            </w:r>
            <w:r>
              <w:rPr>
                <w:rFonts w:ascii="Times New Roman" w:eastAsia="方正仿宋_GB2312" w:hAnsi="Times New Roman" w:cs="Times New Roman"/>
                <w:color w:val="000000"/>
                <w:sz w:val="20"/>
                <w:szCs w:val="20"/>
                <w:lang/>
              </w:rPr>
              <w:t>05</w:t>
            </w:r>
            <w:r>
              <w:rPr>
                <w:rFonts w:ascii="方正仿宋_GB2312" w:eastAsia="方正仿宋_GB2312" w:hAnsi="方正仿宋_GB2312" w:cs="方正仿宋_GB2312" w:hint="eastAsia"/>
                <w:color w:val="000000"/>
                <w:sz w:val="20"/>
                <w:szCs w:val="20"/>
                <w:lang/>
              </w:rPr>
              <w:t>表</w:t>
            </w:r>
          </w:p>
        </w:tc>
      </w:tr>
      <w:tr w:rsidR="00314A00">
        <w:trPr>
          <w:trHeight w:val="329"/>
        </w:trPr>
        <w:tc>
          <w:tcPr>
            <w:tcW w:w="1868" w:type="pct"/>
            <w:gridSpan w:val="3"/>
            <w:tcBorders>
              <w:top w:val="nil"/>
              <w:left w:val="nil"/>
              <w:bottom w:val="single" w:sz="8" w:space="0" w:color="000000" w:themeColor="text1"/>
              <w:right w:val="nil"/>
            </w:tcBorders>
            <w:noWrap/>
            <w:vAlign w:val="bottom"/>
          </w:tcPr>
          <w:p w:rsidR="00314A00" w:rsidRDefault="00B456B2">
            <w:pPr>
              <w:widowControl/>
              <w:jc w:val="left"/>
              <w:textAlignment w:val="bottom"/>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部门（</w:t>
            </w:r>
            <w:r w:rsidR="007F5941">
              <w:rPr>
                <w:rFonts w:ascii="方正仿宋_GB2312" w:eastAsia="方正仿宋_GB2312" w:hAnsi="方正仿宋_GB2312" w:cs="方正仿宋_GB2312" w:hint="eastAsia"/>
                <w:color w:val="000000"/>
                <w:sz w:val="20"/>
                <w:szCs w:val="20"/>
                <w:lang/>
              </w:rPr>
              <w:t>部门</w:t>
            </w:r>
            <w:r>
              <w:rPr>
                <w:rFonts w:ascii="方正仿宋_GB2312" w:eastAsia="方正仿宋_GB2312" w:hAnsi="方正仿宋_GB2312" w:cs="方正仿宋_GB2312" w:hint="eastAsia"/>
                <w:color w:val="000000"/>
                <w:sz w:val="20"/>
                <w:szCs w:val="20"/>
                <w:lang/>
              </w:rPr>
              <w:t>）：中国共产党无极县纪律检查委员会</w:t>
            </w:r>
          </w:p>
        </w:tc>
        <w:tc>
          <w:tcPr>
            <w:tcW w:w="1541" w:type="pct"/>
            <w:gridSpan w:val="2"/>
            <w:tcBorders>
              <w:top w:val="nil"/>
              <w:left w:val="nil"/>
              <w:bottom w:val="single" w:sz="8" w:space="0" w:color="000000" w:themeColor="text1"/>
              <w:right w:val="nil"/>
            </w:tcBorders>
            <w:noWrap/>
            <w:vAlign w:val="bottom"/>
          </w:tcPr>
          <w:p w:rsidR="00314A00" w:rsidRDefault="00B456B2">
            <w:pPr>
              <w:widowControl/>
              <w:jc w:val="center"/>
              <w:textAlignment w:val="bottom"/>
              <w:rPr>
                <w:rFonts w:asciiTheme="minorEastAsia" w:hAnsiTheme="minorEastAsia" w:cstheme="minorEastAsia"/>
                <w:color w:val="000000"/>
                <w:sz w:val="20"/>
                <w:szCs w:val="20"/>
                <w:lang/>
              </w:rPr>
            </w:pPr>
            <w:r>
              <w:rPr>
                <w:rFonts w:ascii="Times New Roman" w:hAnsi="Times New Roman" w:cs="Times New Roman"/>
                <w:color w:val="000000"/>
                <w:sz w:val="20"/>
                <w:szCs w:val="20"/>
                <w:lang/>
              </w:rPr>
              <w:t>202</w:t>
            </w:r>
            <w:r>
              <w:rPr>
                <w:rFonts w:ascii="Times New Roman" w:hAnsi="Times New Roman" w:cs="Times New Roman" w:hint="eastAsia"/>
                <w:color w:val="000000"/>
                <w:sz w:val="20"/>
                <w:szCs w:val="20"/>
                <w:lang/>
              </w:rPr>
              <w:t>5</w:t>
            </w:r>
            <w:r>
              <w:rPr>
                <w:rFonts w:ascii="方正仿宋_GB2312" w:eastAsia="方正仿宋_GB2312" w:hAnsi="方正仿宋_GB2312" w:cs="方正仿宋_GB2312" w:hint="eastAsia"/>
                <w:color w:val="000000"/>
                <w:sz w:val="20"/>
                <w:szCs w:val="20"/>
                <w:lang/>
              </w:rPr>
              <w:t>年度</w:t>
            </w:r>
          </w:p>
        </w:tc>
        <w:tc>
          <w:tcPr>
            <w:tcW w:w="1590" w:type="pct"/>
            <w:gridSpan w:val="2"/>
            <w:tcBorders>
              <w:top w:val="nil"/>
              <w:left w:val="nil"/>
              <w:bottom w:val="single" w:sz="8" w:space="0" w:color="000000" w:themeColor="text1"/>
              <w:right w:val="nil"/>
            </w:tcBorders>
            <w:noWrap/>
            <w:vAlign w:val="bottom"/>
          </w:tcPr>
          <w:p w:rsidR="00314A00" w:rsidRDefault="00B456B2">
            <w:pPr>
              <w:widowControl/>
              <w:jc w:val="right"/>
              <w:textAlignment w:val="bottom"/>
              <w:rPr>
                <w:rFonts w:ascii="方正仿宋_GB2312" w:eastAsia="方正仿宋_GB2312" w:hAnsi="方正仿宋_GB2312" w:cs="方正仿宋_GB2312"/>
                <w:color w:val="000000"/>
                <w:sz w:val="20"/>
                <w:szCs w:val="20"/>
                <w:lang/>
              </w:rPr>
            </w:pPr>
            <w:r>
              <w:rPr>
                <w:rFonts w:ascii="方正仿宋_GB2312" w:eastAsia="方正仿宋_GB2312" w:hAnsi="方正仿宋_GB2312" w:cs="方正仿宋_GB2312" w:hint="eastAsia"/>
                <w:color w:val="000000"/>
                <w:sz w:val="20"/>
                <w:szCs w:val="20"/>
                <w:lang/>
              </w:rPr>
              <w:t>金额</w:t>
            </w:r>
            <w:r w:rsidR="007F5941">
              <w:rPr>
                <w:rFonts w:ascii="方正仿宋_GB2312" w:eastAsia="方正仿宋_GB2312" w:hAnsi="方正仿宋_GB2312" w:cs="方正仿宋_GB2312" w:hint="eastAsia"/>
                <w:color w:val="000000"/>
                <w:sz w:val="20"/>
                <w:szCs w:val="20"/>
                <w:lang/>
              </w:rPr>
              <w:t>部门</w:t>
            </w:r>
            <w:r>
              <w:rPr>
                <w:rFonts w:ascii="方正仿宋_GB2312" w:eastAsia="方正仿宋_GB2312" w:hAnsi="方正仿宋_GB2312" w:cs="方正仿宋_GB2312" w:hint="eastAsia"/>
                <w:color w:val="000000"/>
                <w:sz w:val="20"/>
                <w:szCs w:val="20"/>
                <w:lang/>
              </w:rPr>
              <w:t>：万元</w:t>
            </w:r>
          </w:p>
        </w:tc>
      </w:tr>
      <w:tr w:rsidR="00314A00">
        <w:trPr>
          <w:trHeight w:val="510"/>
        </w:trPr>
        <w:tc>
          <w:tcPr>
            <w:tcW w:w="1461" w:type="pct"/>
            <w:gridSpan w:val="2"/>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项目</w:t>
            </w:r>
          </w:p>
        </w:tc>
        <w:tc>
          <w:tcPr>
            <w:tcW w:w="3538" w:type="pct"/>
            <w:gridSpan w:val="5"/>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本年支出</w:t>
            </w:r>
          </w:p>
        </w:tc>
      </w:tr>
      <w:tr w:rsidR="00314A00">
        <w:trPr>
          <w:trHeight w:val="369"/>
        </w:trPr>
        <w:tc>
          <w:tcPr>
            <w:tcW w:w="704" w:type="pct"/>
            <w:vMerge w:val="restart"/>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科目代码</w:t>
            </w:r>
          </w:p>
        </w:tc>
        <w:tc>
          <w:tcPr>
            <w:tcW w:w="756"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科目名称</w:t>
            </w:r>
          </w:p>
        </w:tc>
        <w:tc>
          <w:tcPr>
            <w:tcW w:w="1160" w:type="pct"/>
            <w:gridSpan w:val="2"/>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小计</w:t>
            </w:r>
          </w:p>
        </w:tc>
        <w:tc>
          <w:tcPr>
            <w:tcW w:w="1160" w:type="pct"/>
            <w:gridSpan w:val="2"/>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基本支出</w:t>
            </w:r>
          </w:p>
        </w:tc>
        <w:tc>
          <w:tcPr>
            <w:tcW w:w="1218" w:type="pct"/>
            <w:vMerge w:val="restart"/>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项目支出</w:t>
            </w:r>
          </w:p>
        </w:tc>
      </w:tr>
      <w:tr w:rsidR="00314A00">
        <w:trPr>
          <w:trHeight w:val="346"/>
        </w:trPr>
        <w:tc>
          <w:tcPr>
            <w:tcW w:w="704" w:type="pct"/>
            <w:vMerge/>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756"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1160" w:type="pct"/>
            <w:gridSpan w:val="2"/>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1160" w:type="pct"/>
            <w:gridSpan w:val="2"/>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1218" w:type="pct"/>
            <w:vMerge/>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314A00">
            <w:pPr>
              <w:jc w:val="center"/>
              <w:rPr>
                <w:rFonts w:ascii="宋体" w:eastAsia="宋体" w:hAnsi="宋体"/>
                <w:color w:val="000000"/>
                <w:sz w:val="20"/>
                <w:szCs w:val="20"/>
              </w:rPr>
            </w:pPr>
          </w:p>
        </w:tc>
      </w:tr>
      <w:tr w:rsidR="00314A00">
        <w:trPr>
          <w:trHeight w:val="369"/>
        </w:trPr>
        <w:tc>
          <w:tcPr>
            <w:tcW w:w="704" w:type="pct"/>
            <w:vMerge/>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756"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1160" w:type="pct"/>
            <w:gridSpan w:val="2"/>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1160" w:type="pct"/>
            <w:gridSpan w:val="2"/>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宋体" w:eastAsia="宋体" w:hAnsi="宋体"/>
                <w:color w:val="000000"/>
                <w:sz w:val="20"/>
                <w:szCs w:val="20"/>
              </w:rPr>
            </w:pPr>
          </w:p>
        </w:tc>
        <w:tc>
          <w:tcPr>
            <w:tcW w:w="1218" w:type="pct"/>
            <w:vMerge/>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314A00">
            <w:pPr>
              <w:jc w:val="center"/>
              <w:rPr>
                <w:rFonts w:ascii="宋体" w:eastAsia="宋体" w:hAnsi="宋体"/>
                <w:color w:val="000000"/>
                <w:sz w:val="20"/>
                <w:szCs w:val="20"/>
              </w:rPr>
            </w:pPr>
          </w:p>
        </w:tc>
      </w:tr>
      <w:tr w:rsidR="00314A00">
        <w:trPr>
          <w:trHeight w:val="369"/>
        </w:trPr>
        <w:tc>
          <w:tcPr>
            <w:tcW w:w="1461" w:type="pct"/>
            <w:gridSpan w:val="2"/>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栏次</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w:t>
            </w:r>
          </w:p>
        </w:tc>
        <w:tc>
          <w:tcPr>
            <w:tcW w:w="1218" w:type="pct"/>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B456B2">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w:t>
            </w:r>
          </w:p>
        </w:tc>
      </w:tr>
      <w:tr w:rsidR="00314A00">
        <w:trPr>
          <w:trHeight w:val="369"/>
        </w:trPr>
        <w:tc>
          <w:tcPr>
            <w:tcW w:w="1461" w:type="pct"/>
            <w:gridSpan w:val="2"/>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合计</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1,073.86</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978.49</w:t>
            </w:r>
          </w:p>
        </w:tc>
        <w:tc>
          <w:tcPr>
            <w:tcW w:w="1218" w:type="pct"/>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hAnsi="Times New Roman" w:cs="Times New Roman"/>
                <w:sz w:val="20"/>
                <w:szCs w:val="20"/>
              </w:rPr>
              <w:t>95.37</w:t>
            </w:r>
          </w:p>
        </w:tc>
      </w:tr>
      <w:tr w:rsidR="00314A00">
        <w:trPr>
          <w:trHeight w:val="661"/>
        </w:trPr>
        <w:tc>
          <w:tcPr>
            <w:tcW w:w="704" w:type="pct"/>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201</w:t>
            </w:r>
          </w:p>
        </w:tc>
        <w:tc>
          <w:tcPr>
            <w:tcW w:w="7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一般公共服务支出</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895.70</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800.32</w:t>
            </w:r>
          </w:p>
        </w:tc>
        <w:tc>
          <w:tcPr>
            <w:tcW w:w="1218" w:type="pct"/>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95.37</w:t>
            </w:r>
          </w:p>
        </w:tc>
      </w:tr>
      <w:tr w:rsidR="00314A00">
        <w:trPr>
          <w:trHeight w:val="661"/>
        </w:trPr>
        <w:tc>
          <w:tcPr>
            <w:tcW w:w="704" w:type="pct"/>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20111</w:t>
            </w:r>
          </w:p>
        </w:tc>
        <w:tc>
          <w:tcPr>
            <w:tcW w:w="7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纪检监察事务</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895.70</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800.32</w:t>
            </w:r>
          </w:p>
        </w:tc>
        <w:tc>
          <w:tcPr>
            <w:tcW w:w="1218" w:type="pct"/>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95.37</w:t>
            </w:r>
          </w:p>
        </w:tc>
      </w:tr>
      <w:tr w:rsidR="00314A00">
        <w:trPr>
          <w:trHeight w:val="661"/>
        </w:trPr>
        <w:tc>
          <w:tcPr>
            <w:tcW w:w="704" w:type="pct"/>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2011101</w:t>
            </w:r>
          </w:p>
        </w:tc>
        <w:tc>
          <w:tcPr>
            <w:tcW w:w="7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行政运行</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800.32</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800.32</w:t>
            </w:r>
          </w:p>
        </w:tc>
        <w:tc>
          <w:tcPr>
            <w:tcW w:w="1218" w:type="pct"/>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661"/>
        </w:trPr>
        <w:tc>
          <w:tcPr>
            <w:tcW w:w="704" w:type="pct"/>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2011199</w:t>
            </w:r>
          </w:p>
        </w:tc>
        <w:tc>
          <w:tcPr>
            <w:tcW w:w="7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其他纪检监察事务支出</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95.37</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1218" w:type="pct"/>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95.37</w:t>
            </w:r>
          </w:p>
        </w:tc>
      </w:tr>
      <w:tr w:rsidR="00314A00">
        <w:trPr>
          <w:trHeight w:val="661"/>
        </w:trPr>
        <w:tc>
          <w:tcPr>
            <w:tcW w:w="704" w:type="pct"/>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208</w:t>
            </w:r>
          </w:p>
        </w:tc>
        <w:tc>
          <w:tcPr>
            <w:tcW w:w="7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社会保障和就业支出</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146.92</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146.92</w:t>
            </w:r>
          </w:p>
        </w:tc>
        <w:tc>
          <w:tcPr>
            <w:tcW w:w="1218" w:type="pct"/>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661"/>
        </w:trPr>
        <w:tc>
          <w:tcPr>
            <w:tcW w:w="704" w:type="pct"/>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20805</w:t>
            </w:r>
          </w:p>
        </w:tc>
        <w:tc>
          <w:tcPr>
            <w:tcW w:w="7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行政事业</w:t>
            </w:r>
            <w:r w:rsidR="007F5941">
              <w:rPr>
                <w:rFonts w:ascii="方正仿宋_GB2312" w:eastAsia="方正仿宋_GB2312" w:hAnsi="方正仿宋_GB2312" w:cs="方正仿宋_GB2312" w:hint="eastAsia"/>
                <w:color w:val="000000"/>
                <w:sz w:val="20"/>
                <w:szCs w:val="20"/>
              </w:rPr>
              <w:t>部门</w:t>
            </w:r>
            <w:r>
              <w:rPr>
                <w:rFonts w:ascii="方正仿宋_GB2312" w:eastAsia="方正仿宋_GB2312" w:hAnsi="方正仿宋_GB2312" w:cs="方正仿宋_GB2312" w:hint="eastAsia"/>
                <w:color w:val="000000"/>
                <w:sz w:val="20"/>
                <w:szCs w:val="20"/>
              </w:rPr>
              <w:t>养老支出</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122.51</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122.51</w:t>
            </w:r>
          </w:p>
        </w:tc>
        <w:tc>
          <w:tcPr>
            <w:tcW w:w="1218" w:type="pct"/>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661"/>
        </w:trPr>
        <w:tc>
          <w:tcPr>
            <w:tcW w:w="704" w:type="pct"/>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2080501</w:t>
            </w:r>
          </w:p>
        </w:tc>
        <w:tc>
          <w:tcPr>
            <w:tcW w:w="7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行政</w:t>
            </w:r>
            <w:r w:rsidR="007F5941">
              <w:rPr>
                <w:rFonts w:ascii="方正仿宋_GB2312" w:eastAsia="方正仿宋_GB2312" w:hAnsi="方正仿宋_GB2312" w:cs="方正仿宋_GB2312" w:hint="eastAsia"/>
                <w:color w:val="000000"/>
                <w:sz w:val="20"/>
                <w:szCs w:val="20"/>
              </w:rPr>
              <w:t>部门</w:t>
            </w:r>
            <w:r>
              <w:rPr>
                <w:rFonts w:ascii="方正仿宋_GB2312" w:eastAsia="方正仿宋_GB2312" w:hAnsi="方正仿宋_GB2312" w:cs="方正仿宋_GB2312" w:hint="eastAsia"/>
                <w:color w:val="000000"/>
                <w:sz w:val="20"/>
                <w:szCs w:val="20"/>
              </w:rPr>
              <w:t>离退休</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13.60</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13.60</w:t>
            </w:r>
          </w:p>
        </w:tc>
        <w:tc>
          <w:tcPr>
            <w:tcW w:w="1218" w:type="pct"/>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661"/>
        </w:trPr>
        <w:tc>
          <w:tcPr>
            <w:tcW w:w="704" w:type="pct"/>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2080505</w:t>
            </w:r>
          </w:p>
        </w:tc>
        <w:tc>
          <w:tcPr>
            <w:tcW w:w="7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机关事业</w:t>
            </w:r>
            <w:r w:rsidR="007F5941">
              <w:rPr>
                <w:rFonts w:ascii="方正仿宋_GB2312" w:eastAsia="方正仿宋_GB2312" w:hAnsi="方正仿宋_GB2312" w:cs="方正仿宋_GB2312" w:hint="eastAsia"/>
                <w:color w:val="000000"/>
                <w:sz w:val="20"/>
                <w:szCs w:val="20"/>
              </w:rPr>
              <w:t>部门</w:t>
            </w:r>
            <w:r>
              <w:rPr>
                <w:rFonts w:ascii="方正仿宋_GB2312" w:eastAsia="方正仿宋_GB2312" w:hAnsi="方正仿宋_GB2312" w:cs="方正仿宋_GB2312" w:hint="eastAsia"/>
                <w:color w:val="000000"/>
                <w:sz w:val="20"/>
                <w:szCs w:val="20"/>
              </w:rPr>
              <w:t>基本养老保险缴费支出</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93.78</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93.78</w:t>
            </w:r>
          </w:p>
        </w:tc>
        <w:tc>
          <w:tcPr>
            <w:tcW w:w="1218" w:type="pct"/>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661"/>
        </w:trPr>
        <w:tc>
          <w:tcPr>
            <w:tcW w:w="704" w:type="pct"/>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2080506</w:t>
            </w:r>
          </w:p>
        </w:tc>
        <w:tc>
          <w:tcPr>
            <w:tcW w:w="7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机关事业</w:t>
            </w:r>
            <w:r w:rsidR="007F5941">
              <w:rPr>
                <w:rFonts w:ascii="方正仿宋_GB2312" w:eastAsia="方正仿宋_GB2312" w:hAnsi="方正仿宋_GB2312" w:cs="方正仿宋_GB2312" w:hint="eastAsia"/>
                <w:color w:val="000000"/>
                <w:sz w:val="20"/>
                <w:szCs w:val="20"/>
              </w:rPr>
              <w:t>部门</w:t>
            </w:r>
            <w:r>
              <w:rPr>
                <w:rFonts w:ascii="方正仿宋_GB2312" w:eastAsia="方正仿宋_GB2312" w:hAnsi="方正仿宋_GB2312" w:cs="方正仿宋_GB2312" w:hint="eastAsia"/>
                <w:color w:val="000000"/>
                <w:sz w:val="20"/>
                <w:szCs w:val="20"/>
              </w:rPr>
              <w:t>职业年金缴费支出</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15.13</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15.13</w:t>
            </w:r>
          </w:p>
        </w:tc>
        <w:tc>
          <w:tcPr>
            <w:tcW w:w="1218" w:type="pct"/>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661"/>
        </w:trPr>
        <w:tc>
          <w:tcPr>
            <w:tcW w:w="704" w:type="pct"/>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20808</w:t>
            </w:r>
          </w:p>
        </w:tc>
        <w:tc>
          <w:tcPr>
            <w:tcW w:w="7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抚恤</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24.41</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24.41</w:t>
            </w:r>
          </w:p>
        </w:tc>
        <w:tc>
          <w:tcPr>
            <w:tcW w:w="1218" w:type="pct"/>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661"/>
        </w:trPr>
        <w:tc>
          <w:tcPr>
            <w:tcW w:w="704" w:type="pct"/>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2080801</w:t>
            </w:r>
          </w:p>
        </w:tc>
        <w:tc>
          <w:tcPr>
            <w:tcW w:w="7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死亡抚恤</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24.41</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24.41</w:t>
            </w:r>
          </w:p>
        </w:tc>
        <w:tc>
          <w:tcPr>
            <w:tcW w:w="1218" w:type="pct"/>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661"/>
        </w:trPr>
        <w:tc>
          <w:tcPr>
            <w:tcW w:w="704" w:type="pct"/>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210</w:t>
            </w:r>
          </w:p>
        </w:tc>
        <w:tc>
          <w:tcPr>
            <w:tcW w:w="7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卫生健康支出</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31.25</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31.25</w:t>
            </w:r>
          </w:p>
        </w:tc>
        <w:tc>
          <w:tcPr>
            <w:tcW w:w="1218" w:type="pct"/>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661"/>
        </w:trPr>
        <w:tc>
          <w:tcPr>
            <w:tcW w:w="704" w:type="pct"/>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21007</w:t>
            </w:r>
          </w:p>
        </w:tc>
        <w:tc>
          <w:tcPr>
            <w:tcW w:w="7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计划生育事务</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0.30</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0.30</w:t>
            </w:r>
          </w:p>
        </w:tc>
        <w:tc>
          <w:tcPr>
            <w:tcW w:w="1218" w:type="pct"/>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661"/>
        </w:trPr>
        <w:tc>
          <w:tcPr>
            <w:tcW w:w="704" w:type="pct"/>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2100799</w:t>
            </w:r>
          </w:p>
        </w:tc>
        <w:tc>
          <w:tcPr>
            <w:tcW w:w="7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其他计划生育事务支出</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0.30</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0.30</w:t>
            </w:r>
          </w:p>
        </w:tc>
        <w:tc>
          <w:tcPr>
            <w:tcW w:w="1218" w:type="pct"/>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661"/>
        </w:trPr>
        <w:tc>
          <w:tcPr>
            <w:tcW w:w="704" w:type="pct"/>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lastRenderedPageBreak/>
              <w:t>21011</w:t>
            </w:r>
          </w:p>
        </w:tc>
        <w:tc>
          <w:tcPr>
            <w:tcW w:w="7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行政事业</w:t>
            </w:r>
            <w:r w:rsidR="007F5941">
              <w:rPr>
                <w:rFonts w:ascii="方正仿宋_GB2312" w:eastAsia="方正仿宋_GB2312" w:hAnsi="方正仿宋_GB2312" w:cs="方正仿宋_GB2312" w:hint="eastAsia"/>
                <w:color w:val="000000"/>
                <w:sz w:val="20"/>
                <w:szCs w:val="20"/>
              </w:rPr>
              <w:t>部门</w:t>
            </w:r>
            <w:r>
              <w:rPr>
                <w:rFonts w:ascii="方正仿宋_GB2312" w:eastAsia="方正仿宋_GB2312" w:hAnsi="方正仿宋_GB2312" w:cs="方正仿宋_GB2312" w:hint="eastAsia"/>
                <w:color w:val="000000"/>
                <w:sz w:val="20"/>
                <w:szCs w:val="20"/>
              </w:rPr>
              <w:t>医疗</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30.95</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30.95</w:t>
            </w:r>
          </w:p>
        </w:tc>
        <w:tc>
          <w:tcPr>
            <w:tcW w:w="1218" w:type="pct"/>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661"/>
        </w:trPr>
        <w:tc>
          <w:tcPr>
            <w:tcW w:w="704" w:type="pct"/>
            <w:tcBorders>
              <w:top w:val="single" w:sz="8" w:space="0" w:color="000000" w:themeColor="text1"/>
              <w:left w:val="single" w:sz="8" w:space="0" w:color="auto"/>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2101101</w:t>
            </w:r>
          </w:p>
        </w:tc>
        <w:tc>
          <w:tcPr>
            <w:tcW w:w="75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行政</w:t>
            </w:r>
            <w:r w:rsidR="007F5941">
              <w:rPr>
                <w:rFonts w:ascii="方正仿宋_GB2312" w:eastAsia="方正仿宋_GB2312" w:hAnsi="方正仿宋_GB2312" w:cs="方正仿宋_GB2312" w:hint="eastAsia"/>
                <w:color w:val="000000"/>
                <w:sz w:val="20"/>
                <w:szCs w:val="20"/>
              </w:rPr>
              <w:t>部门</w:t>
            </w:r>
            <w:r>
              <w:rPr>
                <w:rFonts w:ascii="方正仿宋_GB2312" w:eastAsia="方正仿宋_GB2312" w:hAnsi="方正仿宋_GB2312" w:cs="方正仿宋_GB2312" w:hint="eastAsia"/>
                <w:color w:val="000000"/>
                <w:sz w:val="20"/>
                <w:szCs w:val="20"/>
              </w:rPr>
              <w:t>医疗</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30.95</w:t>
            </w:r>
          </w:p>
        </w:tc>
        <w:tc>
          <w:tcPr>
            <w:tcW w:w="116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30.95</w:t>
            </w:r>
          </w:p>
        </w:tc>
        <w:tc>
          <w:tcPr>
            <w:tcW w:w="1218" w:type="pct"/>
            <w:tcBorders>
              <w:top w:val="single" w:sz="8" w:space="0" w:color="000000" w:themeColor="text1"/>
              <w:left w:val="single" w:sz="8" w:space="0" w:color="000000" w:themeColor="text1"/>
              <w:bottom w:val="single" w:sz="8" w:space="0" w:color="000000" w:themeColor="text1"/>
              <w:right w:val="single" w:sz="8" w:space="0" w:color="auto"/>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661"/>
        </w:trPr>
        <w:tc>
          <w:tcPr>
            <w:tcW w:w="5000" w:type="pct"/>
            <w:gridSpan w:val="7"/>
            <w:tcBorders>
              <w:top w:val="single" w:sz="8" w:space="0" w:color="000000" w:themeColor="text1"/>
              <w:left w:val="nil"/>
              <w:bottom w:val="nil"/>
              <w:right w:val="nil"/>
            </w:tcBorders>
            <w:noWrap/>
            <w:vAlign w:val="center"/>
          </w:tcPr>
          <w:p w:rsidR="00314A00" w:rsidRDefault="00B456B2">
            <w:pPr>
              <w:widowControl/>
              <w:jc w:val="left"/>
              <w:textAlignment w:val="center"/>
              <w:rPr>
                <w:rFonts w:ascii="方正仿宋_GB2312" w:eastAsia="方正仿宋_GB2312" w:hAnsi="方正仿宋_GB2312" w:cs="方正仿宋_GB2312"/>
                <w:color w:val="000000"/>
                <w:sz w:val="20"/>
                <w:szCs w:val="20"/>
                <w:lang/>
              </w:rPr>
            </w:pPr>
            <w:r>
              <w:rPr>
                <w:rFonts w:ascii="方正仿宋_GB2312" w:eastAsia="方正仿宋_GB2312" w:hAnsi="方正仿宋_GB2312" w:cs="方正仿宋_GB2312" w:hint="eastAsia"/>
                <w:color w:val="000000"/>
                <w:sz w:val="20"/>
                <w:szCs w:val="20"/>
                <w:lang/>
              </w:rPr>
              <w:t>注：本表反映部门本年度一般公共预算财政拨款支出情况。</w:t>
            </w:r>
          </w:p>
        </w:tc>
      </w:tr>
    </w:tbl>
    <w:p w:rsidR="00314A00" w:rsidRDefault="00314A00">
      <w:pPr>
        <w:rPr>
          <w:rFonts w:ascii="仿宋_GB2312" w:eastAsia="仿宋_GB2312" w:hAnsi="宋体"/>
          <w:b/>
          <w:sz w:val="32"/>
          <w:szCs w:val="32"/>
        </w:rPr>
      </w:pPr>
    </w:p>
    <w:p w:rsidR="00314A00" w:rsidRDefault="00B456B2">
      <w:pPr>
        <w:rPr>
          <w:rFonts w:ascii="仿宋_GB2312" w:eastAsia="仿宋_GB2312" w:hAnsi="宋体"/>
          <w:b/>
          <w:sz w:val="32"/>
          <w:szCs w:val="32"/>
        </w:rPr>
      </w:pPr>
      <w:r>
        <w:rPr>
          <w:rFonts w:ascii="仿宋_GB2312" w:eastAsia="仿宋_GB2312" w:hAnsi="宋体" w:hint="eastAsia"/>
          <w:b/>
          <w:sz w:val="32"/>
          <w:szCs w:val="32"/>
        </w:rPr>
        <w:br w:type="page"/>
      </w:r>
    </w:p>
    <w:tbl>
      <w:tblPr>
        <w:tblW w:w="11601" w:type="dxa"/>
        <w:jc w:val="center"/>
        <w:tblLayout w:type="fixed"/>
        <w:tblLook w:val="04A0"/>
      </w:tblPr>
      <w:tblGrid>
        <w:gridCol w:w="666"/>
        <w:gridCol w:w="1332"/>
        <w:gridCol w:w="1896"/>
        <w:gridCol w:w="666"/>
        <w:gridCol w:w="933"/>
        <w:gridCol w:w="122"/>
        <w:gridCol w:w="1774"/>
        <w:gridCol w:w="666"/>
        <w:gridCol w:w="1650"/>
        <w:gridCol w:w="1896"/>
      </w:tblGrid>
      <w:tr w:rsidR="00314A00">
        <w:trPr>
          <w:jc w:val="center"/>
        </w:trPr>
        <w:tc>
          <w:tcPr>
            <w:tcW w:w="11601" w:type="dxa"/>
            <w:gridSpan w:val="10"/>
            <w:tcBorders>
              <w:top w:val="nil"/>
              <w:left w:val="nil"/>
              <w:bottom w:val="nil"/>
              <w:right w:val="nil"/>
            </w:tcBorders>
            <w:shd w:val="clear" w:color="auto" w:fill="auto"/>
            <w:noWrap/>
            <w:vAlign w:val="bottom"/>
          </w:tcPr>
          <w:p w:rsidR="00314A00" w:rsidRDefault="00B456B2">
            <w:pPr>
              <w:widowControl/>
              <w:snapToGrid w:val="0"/>
              <w:jc w:val="center"/>
              <w:textAlignment w:val="bottom"/>
              <w:rPr>
                <w:rFonts w:ascii="方正仿宋_GB2312" w:eastAsia="方正仿宋_GB2312" w:hAnsi="方正仿宋_GB2312" w:cs="方正仿宋_GB2312"/>
                <w:color w:val="000000"/>
                <w:sz w:val="32"/>
                <w:szCs w:val="32"/>
              </w:rPr>
            </w:pPr>
            <w:r>
              <w:rPr>
                <w:rFonts w:ascii="方正仿宋_GB2312" w:eastAsia="方正仿宋_GB2312" w:hAnsi="方正仿宋_GB2312" w:cs="方正仿宋_GB2312" w:hint="eastAsia"/>
                <w:color w:val="000000"/>
                <w:sz w:val="32"/>
                <w:szCs w:val="32"/>
                <w:lang/>
              </w:rPr>
              <w:lastRenderedPageBreak/>
              <w:t>一般公共预算财政拨款基本支出决算明细表</w:t>
            </w:r>
          </w:p>
        </w:tc>
      </w:tr>
      <w:tr w:rsidR="00314A00">
        <w:trPr>
          <w:jc w:val="center"/>
        </w:trPr>
        <w:tc>
          <w:tcPr>
            <w:tcW w:w="11601" w:type="dxa"/>
            <w:gridSpan w:val="10"/>
            <w:tcBorders>
              <w:top w:val="nil"/>
              <w:left w:val="nil"/>
              <w:bottom w:val="nil"/>
              <w:right w:val="nil"/>
            </w:tcBorders>
            <w:shd w:val="clear" w:color="auto" w:fill="auto"/>
            <w:noWrap/>
            <w:vAlign w:val="bottom"/>
          </w:tcPr>
          <w:p w:rsidR="00314A00" w:rsidRDefault="00B456B2">
            <w:pPr>
              <w:widowControl/>
              <w:snapToGrid w:val="0"/>
              <w:jc w:val="right"/>
              <w:textAlignment w:val="bottom"/>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公开</w:t>
            </w:r>
            <w:r>
              <w:rPr>
                <w:rFonts w:ascii="Times New Roman" w:eastAsia="方正仿宋_GB2312" w:hAnsi="Times New Roman" w:cs="Times New Roman"/>
                <w:color w:val="000000"/>
                <w:sz w:val="18"/>
                <w:szCs w:val="18"/>
                <w:lang/>
              </w:rPr>
              <w:t>06</w:t>
            </w:r>
            <w:r>
              <w:rPr>
                <w:rStyle w:val="font21"/>
                <w:rFonts w:hint="default"/>
                <w:lang/>
              </w:rPr>
              <w:t>表</w:t>
            </w:r>
          </w:p>
        </w:tc>
      </w:tr>
      <w:tr w:rsidR="00314A00">
        <w:trPr>
          <w:jc w:val="center"/>
        </w:trPr>
        <w:tc>
          <w:tcPr>
            <w:tcW w:w="5615" w:type="dxa"/>
            <w:gridSpan w:val="6"/>
            <w:tcBorders>
              <w:top w:val="nil"/>
              <w:left w:val="nil"/>
              <w:bottom w:val="single" w:sz="8" w:space="0" w:color="000000"/>
              <w:right w:val="nil"/>
            </w:tcBorders>
            <w:shd w:val="clear" w:color="auto" w:fill="auto"/>
            <w:noWrap/>
            <w:vAlign w:val="bottom"/>
          </w:tcPr>
          <w:p w:rsidR="00314A00" w:rsidRDefault="00B456B2">
            <w:pPr>
              <w:widowControl/>
              <w:snapToGrid w:val="0"/>
              <w:textAlignment w:val="bottom"/>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部门（</w:t>
            </w:r>
            <w:r w:rsidR="007F5941">
              <w:rPr>
                <w:rFonts w:ascii="方正仿宋_GB2312" w:eastAsia="方正仿宋_GB2312" w:hAnsi="方正仿宋_GB2312" w:cs="方正仿宋_GB2312" w:hint="eastAsia"/>
                <w:color w:val="000000"/>
                <w:sz w:val="18"/>
                <w:szCs w:val="18"/>
                <w:lang/>
              </w:rPr>
              <w:t>部门</w:t>
            </w:r>
            <w:r>
              <w:rPr>
                <w:rFonts w:ascii="方正仿宋_GB2312" w:eastAsia="方正仿宋_GB2312" w:hAnsi="方正仿宋_GB2312" w:cs="方正仿宋_GB2312" w:hint="eastAsia"/>
                <w:color w:val="000000"/>
                <w:sz w:val="18"/>
                <w:szCs w:val="18"/>
                <w:lang/>
              </w:rPr>
              <w:t>）：中国共产党无极县纪律检查委员会</w:t>
            </w:r>
          </w:p>
        </w:tc>
        <w:tc>
          <w:tcPr>
            <w:tcW w:w="1774" w:type="dxa"/>
            <w:tcBorders>
              <w:top w:val="nil"/>
              <w:left w:val="nil"/>
              <w:bottom w:val="single" w:sz="8" w:space="0" w:color="000000"/>
              <w:right w:val="nil"/>
            </w:tcBorders>
            <w:shd w:val="clear" w:color="auto" w:fill="auto"/>
            <w:noWrap/>
            <w:vAlign w:val="bottom"/>
          </w:tcPr>
          <w:p w:rsidR="00314A00" w:rsidRDefault="00B456B2">
            <w:pPr>
              <w:widowControl/>
              <w:snapToGrid w:val="0"/>
              <w:jc w:val="center"/>
              <w:textAlignment w:val="bottom"/>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2025</w:t>
            </w:r>
            <w:r>
              <w:rPr>
                <w:rStyle w:val="font21"/>
                <w:rFonts w:hint="default"/>
                <w:lang/>
              </w:rPr>
              <w:t>年度</w:t>
            </w:r>
          </w:p>
        </w:tc>
        <w:tc>
          <w:tcPr>
            <w:tcW w:w="4212" w:type="dxa"/>
            <w:gridSpan w:val="3"/>
            <w:tcBorders>
              <w:top w:val="nil"/>
              <w:left w:val="nil"/>
              <w:bottom w:val="single" w:sz="8" w:space="0" w:color="000000"/>
              <w:right w:val="nil"/>
            </w:tcBorders>
            <w:shd w:val="clear" w:color="auto" w:fill="auto"/>
            <w:noWrap/>
            <w:vAlign w:val="bottom"/>
          </w:tcPr>
          <w:p w:rsidR="00314A00" w:rsidRDefault="00B456B2">
            <w:pPr>
              <w:widowControl/>
              <w:snapToGrid w:val="0"/>
              <w:jc w:val="right"/>
              <w:textAlignment w:val="bottom"/>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金额</w:t>
            </w:r>
            <w:r w:rsidR="007F5941">
              <w:rPr>
                <w:rFonts w:ascii="方正仿宋_GB2312" w:eastAsia="方正仿宋_GB2312" w:hAnsi="方正仿宋_GB2312" w:cs="方正仿宋_GB2312" w:hint="eastAsia"/>
                <w:color w:val="000000"/>
                <w:sz w:val="18"/>
                <w:szCs w:val="18"/>
                <w:lang/>
              </w:rPr>
              <w:t>部门</w:t>
            </w:r>
            <w:r>
              <w:rPr>
                <w:rFonts w:ascii="方正仿宋_GB2312" w:eastAsia="方正仿宋_GB2312" w:hAnsi="方正仿宋_GB2312" w:cs="方正仿宋_GB2312" w:hint="eastAsia"/>
                <w:color w:val="000000"/>
                <w:sz w:val="18"/>
                <w:szCs w:val="18"/>
                <w:lang/>
              </w:rPr>
              <w:t>：万元</w:t>
            </w:r>
          </w:p>
        </w:tc>
      </w:tr>
      <w:tr w:rsidR="00314A00">
        <w:trPr>
          <w:jc w:val="center"/>
        </w:trPr>
        <w:tc>
          <w:tcPr>
            <w:tcW w:w="3894" w:type="dxa"/>
            <w:gridSpan w:val="3"/>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人员经费</w:t>
            </w:r>
          </w:p>
        </w:tc>
        <w:tc>
          <w:tcPr>
            <w:tcW w:w="7707" w:type="dxa"/>
            <w:gridSpan w:val="7"/>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公用经费</w:t>
            </w: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vAlign w:val="center"/>
          </w:tcPr>
          <w:p w:rsidR="00314A00" w:rsidRDefault="00B456B2">
            <w:pPr>
              <w:widowControl/>
              <w:snapToGrid w:val="0"/>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科目代码</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科目名称</w:t>
            </w:r>
          </w:p>
        </w:tc>
        <w:tc>
          <w:tcPr>
            <w:tcW w:w="1896" w:type="dxa"/>
            <w:tcBorders>
              <w:top w:val="single" w:sz="8" w:space="0" w:color="000000"/>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金额</w:t>
            </w:r>
          </w:p>
        </w:tc>
        <w:tc>
          <w:tcPr>
            <w:tcW w:w="666" w:type="dxa"/>
            <w:tcBorders>
              <w:top w:val="single" w:sz="8" w:space="0" w:color="000000"/>
              <w:left w:val="nil"/>
              <w:bottom w:val="single" w:sz="8" w:space="0" w:color="000000"/>
              <w:right w:val="single" w:sz="8" w:space="0" w:color="000000"/>
            </w:tcBorders>
            <w:shd w:val="clear" w:color="auto" w:fill="auto"/>
            <w:vAlign w:val="center"/>
          </w:tcPr>
          <w:p w:rsidR="00314A00" w:rsidRDefault="00B456B2">
            <w:pPr>
              <w:widowControl/>
              <w:snapToGrid w:val="0"/>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科目代码</w:t>
            </w:r>
          </w:p>
        </w:tc>
        <w:tc>
          <w:tcPr>
            <w:tcW w:w="1055" w:type="dxa"/>
            <w:gridSpan w:val="2"/>
            <w:tcBorders>
              <w:top w:val="single" w:sz="8" w:space="0" w:color="000000"/>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科目名称</w:t>
            </w:r>
          </w:p>
        </w:tc>
        <w:tc>
          <w:tcPr>
            <w:tcW w:w="1774" w:type="dxa"/>
            <w:tcBorders>
              <w:top w:val="single" w:sz="8" w:space="0" w:color="000000"/>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金额</w:t>
            </w:r>
          </w:p>
        </w:tc>
        <w:tc>
          <w:tcPr>
            <w:tcW w:w="666" w:type="dxa"/>
            <w:tcBorders>
              <w:top w:val="single" w:sz="8" w:space="0" w:color="000000"/>
              <w:left w:val="nil"/>
              <w:bottom w:val="single" w:sz="8" w:space="0" w:color="000000"/>
              <w:right w:val="single" w:sz="8" w:space="0" w:color="000000"/>
            </w:tcBorders>
            <w:shd w:val="clear" w:color="auto" w:fill="auto"/>
            <w:vAlign w:val="center"/>
          </w:tcPr>
          <w:p w:rsidR="00314A00" w:rsidRDefault="00B456B2">
            <w:pPr>
              <w:widowControl/>
              <w:snapToGrid w:val="0"/>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科目代码</w:t>
            </w:r>
          </w:p>
        </w:tc>
        <w:tc>
          <w:tcPr>
            <w:tcW w:w="1650" w:type="dxa"/>
            <w:tcBorders>
              <w:top w:val="single" w:sz="8" w:space="0" w:color="000000"/>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科目名称</w:t>
            </w:r>
          </w:p>
        </w:tc>
        <w:tc>
          <w:tcPr>
            <w:tcW w:w="1896" w:type="dxa"/>
            <w:tcBorders>
              <w:top w:val="single" w:sz="8" w:space="0" w:color="000000"/>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金额</w:t>
            </w: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301</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工资福利支出</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566.94</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商品和服务支出</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320.70</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307</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债务利息及费用支出</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30101</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Style w:val="font21"/>
                <w:rFonts w:hint="default"/>
                <w:lang/>
              </w:rPr>
              <w:t>基本工资</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190.18</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30201</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办公费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158.38</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30701</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国内债务付息</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30102</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Style w:val="font21"/>
                <w:rFonts w:hint="default"/>
                <w:lang/>
              </w:rPr>
              <w:t>津贴补贴</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120.15</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30202</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印刷费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30702</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国外债务付息</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30103</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Style w:val="font21"/>
                <w:rFonts w:hint="default"/>
                <w:lang/>
              </w:rPr>
              <w:t>奖金</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115.15</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30204</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手续费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310</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资本性支出</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30106</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Style w:val="font21"/>
                <w:rFonts w:hint="default"/>
                <w:lang/>
              </w:rPr>
              <w:t>伙食补助费</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30205</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水费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31001</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房屋建筑物购建</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30107</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Style w:val="font21"/>
                <w:rFonts w:hint="default"/>
                <w:lang/>
              </w:rPr>
              <w:t>绩效工资</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30206</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电费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31002</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办公设备购置</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30108</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机关事业</w:t>
            </w:r>
            <w:r w:rsidR="007F5941">
              <w:rPr>
                <w:rFonts w:ascii="方正仿宋_GB2312" w:eastAsia="方正仿宋_GB2312" w:hAnsi="方正仿宋_GB2312" w:cs="方正仿宋_GB2312" w:hint="eastAsia"/>
                <w:color w:val="000000"/>
                <w:sz w:val="18"/>
                <w:szCs w:val="18"/>
                <w:lang/>
              </w:rPr>
              <w:t>部门</w:t>
            </w:r>
            <w:r>
              <w:rPr>
                <w:rFonts w:ascii="方正仿宋_GB2312" w:eastAsia="方正仿宋_GB2312" w:hAnsi="方正仿宋_GB2312" w:cs="方正仿宋_GB2312" w:hint="eastAsia"/>
                <w:color w:val="000000"/>
                <w:sz w:val="18"/>
                <w:szCs w:val="18"/>
                <w:lang/>
              </w:rPr>
              <w:t>基本养老保险缴费</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93.78</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30207</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邮电费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23.02</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31003</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专用设备购置</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30109</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职业年金缴费</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15.13</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30208</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取暖费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31005</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基础设施建设</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30110</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职工基本医疗保险缴费</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30.95</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30209</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物业管理费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31006</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大型修缮</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30111</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公务员医疗补助缴费</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30211</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差旅费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7.03</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31007</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信息网络及软件购置更新</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30112</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其他社会保障缴费</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1.60</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30212</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因公出国（境）费用</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31008</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物资储备</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30113</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住房公积金</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30213</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维修（护）费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31009</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土地补偿</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trHeight w:val="297"/>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30114</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医疗费</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30214</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Style w:val="font21"/>
                <w:rFonts w:hint="default"/>
                <w:lang/>
              </w:rPr>
              <w:t>租赁费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31010</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安置补助</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trHeight w:val="605"/>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30199</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其他工资福利支出</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30215</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会议费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31011</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地上附着物和青苗补偿</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303</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对个人和家庭的补助</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90.84</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30216</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培训费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31012</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拆迁补偿</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30301</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离休费</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13.60</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30217</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公务接待费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31013</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公务用车购置</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30302</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退休费</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52.53</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30218</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专用材料费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31019</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其他交通工具购置</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30303</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退职（役）费</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30224</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被装购置费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31021</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文物和陈列品购置</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30304</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抚恤金</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24.41</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30225</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专用燃料费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31022</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无形资产购置</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trHeight w:val="530"/>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30305</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生活补助</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30226</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劳务费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31099</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其他资本性支出</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trHeight w:val="605"/>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30306</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救济费</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30227</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委托业务费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399</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其他支出</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trHeight w:val="636"/>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30307</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医疗费补助</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30228</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工会经费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7.65</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39907</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国家赔偿费用支出</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trHeight w:val="90"/>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30308</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助学金</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30229</w:t>
            </w:r>
          </w:p>
        </w:tc>
        <w:tc>
          <w:tcPr>
            <w:tcW w:w="1055"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福利费</w:t>
            </w:r>
          </w:p>
        </w:tc>
        <w:tc>
          <w:tcPr>
            <w:tcW w:w="1774"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39908</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对民间非营利组织和群众性自治组织补贴</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lastRenderedPageBreak/>
              <w:t>30309</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奖励金</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0.30</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30231</w:t>
            </w:r>
          </w:p>
        </w:tc>
        <w:tc>
          <w:tcPr>
            <w:tcW w:w="933"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公务用车运行维护费</w:t>
            </w:r>
          </w:p>
        </w:tc>
        <w:tc>
          <w:tcPr>
            <w:tcW w:w="1896"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18.50</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39909</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经常性赠与</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30310</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个人农业生产补贴</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30239</w:t>
            </w:r>
          </w:p>
        </w:tc>
        <w:tc>
          <w:tcPr>
            <w:tcW w:w="933"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其他交通费用</w:t>
            </w:r>
          </w:p>
        </w:tc>
        <w:tc>
          <w:tcPr>
            <w:tcW w:w="1896"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31.16</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39910</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资本性赠与</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30311</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代缴社会保险费</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30240</w:t>
            </w:r>
          </w:p>
        </w:tc>
        <w:tc>
          <w:tcPr>
            <w:tcW w:w="933"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税金及附加费用</w:t>
            </w:r>
          </w:p>
        </w:tc>
        <w:tc>
          <w:tcPr>
            <w:tcW w:w="1896" w:type="dxa"/>
            <w:gridSpan w:val="2"/>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39999</w:t>
            </w: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其他支出</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r>
      <w:tr w:rsidR="00314A00">
        <w:trPr>
          <w:jc w:val="center"/>
        </w:trPr>
        <w:tc>
          <w:tcPr>
            <w:tcW w:w="666" w:type="dxa"/>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30399</w:t>
            </w:r>
          </w:p>
        </w:tc>
        <w:tc>
          <w:tcPr>
            <w:tcW w:w="1332"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其他对个人和家庭的补助</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widowControl/>
              <w:snapToGrid w:val="0"/>
              <w:jc w:val="right"/>
              <w:textAlignment w:val="center"/>
              <w:rPr>
                <w:rFonts w:ascii="Times New Roman" w:eastAsia="宋体" w:hAnsi="Times New Roman" w:cs="Times New Roman"/>
                <w:color w:val="000000"/>
                <w:sz w:val="18"/>
                <w:szCs w:val="18"/>
              </w:rPr>
            </w:pPr>
          </w:p>
        </w:tc>
        <w:tc>
          <w:tcPr>
            <w:tcW w:w="66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30299</w:t>
            </w:r>
          </w:p>
        </w:tc>
        <w:tc>
          <w:tcPr>
            <w:tcW w:w="933"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其他商品和服务支出</w:t>
            </w:r>
          </w:p>
        </w:tc>
        <w:tc>
          <w:tcPr>
            <w:tcW w:w="1896" w:type="dxa"/>
            <w:gridSpan w:val="2"/>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74.97</w:t>
            </w:r>
          </w:p>
        </w:tc>
        <w:tc>
          <w:tcPr>
            <w:tcW w:w="666" w:type="dxa"/>
            <w:tcBorders>
              <w:top w:val="nil"/>
              <w:left w:val="nil"/>
              <w:bottom w:val="single" w:sz="8" w:space="0" w:color="000000"/>
              <w:right w:val="single" w:sz="8" w:space="0" w:color="000000"/>
            </w:tcBorders>
            <w:shd w:val="clear" w:color="auto" w:fill="auto"/>
            <w:noWrap/>
            <w:vAlign w:val="center"/>
          </w:tcPr>
          <w:p w:rsidR="00314A00" w:rsidRDefault="00314A00">
            <w:pPr>
              <w:snapToGrid w:val="0"/>
              <w:jc w:val="center"/>
              <w:rPr>
                <w:rFonts w:ascii="Times New Roman" w:eastAsia="宋体" w:hAnsi="Times New Roman" w:cs="Times New Roman"/>
                <w:color w:val="000000"/>
                <w:sz w:val="18"/>
                <w:szCs w:val="18"/>
              </w:rPr>
            </w:pPr>
          </w:p>
        </w:tc>
        <w:tc>
          <w:tcPr>
            <w:tcW w:w="1650" w:type="dxa"/>
            <w:tcBorders>
              <w:top w:val="nil"/>
              <w:left w:val="nil"/>
              <w:bottom w:val="single" w:sz="8" w:space="0" w:color="000000"/>
              <w:right w:val="single" w:sz="8" w:space="0" w:color="000000"/>
            </w:tcBorders>
            <w:shd w:val="clear" w:color="auto" w:fill="auto"/>
            <w:noWrap/>
            <w:vAlign w:val="center"/>
          </w:tcPr>
          <w:p w:rsidR="00314A00" w:rsidRDefault="00314A00">
            <w:pPr>
              <w:snapToGrid w:val="0"/>
              <w:jc w:val="left"/>
              <w:rPr>
                <w:rFonts w:ascii="方正仿宋_GB2312" w:eastAsia="方正仿宋_GB2312" w:hAnsi="方正仿宋_GB2312" w:cs="方正仿宋_GB2312"/>
                <w:color w:val="000000"/>
                <w:sz w:val="18"/>
                <w:szCs w:val="18"/>
              </w:rPr>
            </w:pP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314A00">
            <w:pPr>
              <w:snapToGrid w:val="0"/>
              <w:jc w:val="right"/>
              <w:rPr>
                <w:rFonts w:ascii="Times New Roman" w:eastAsia="宋体" w:hAnsi="Times New Roman" w:cs="Times New Roman"/>
                <w:color w:val="000000"/>
                <w:sz w:val="18"/>
                <w:szCs w:val="18"/>
              </w:rPr>
            </w:pPr>
          </w:p>
        </w:tc>
      </w:tr>
      <w:tr w:rsidR="00314A00">
        <w:trPr>
          <w:jc w:val="center"/>
        </w:trPr>
        <w:tc>
          <w:tcPr>
            <w:tcW w:w="1998" w:type="dxa"/>
            <w:gridSpan w:val="2"/>
            <w:tcBorders>
              <w:top w:val="nil"/>
              <w:left w:val="single" w:sz="8" w:space="0" w:color="000000"/>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人员经费合计</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657.78</w:t>
            </w:r>
          </w:p>
        </w:tc>
        <w:tc>
          <w:tcPr>
            <w:tcW w:w="5811" w:type="dxa"/>
            <w:gridSpan w:val="6"/>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公用经费合计</w:t>
            </w:r>
          </w:p>
        </w:tc>
        <w:tc>
          <w:tcPr>
            <w:tcW w:w="1896" w:type="dxa"/>
            <w:tcBorders>
              <w:top w:val="nil"/>
              <w:left w:val="nil"/>
              <w:bottom w:val="single" w:sz="8" w:space="0" w:color="000000"/>
              <w:right w:val="single" w:sz="8" w:space="0" w:color="000000"/>
            </w:tcBorders>
            <w:shd w:val="clear" w:color="auto" w:fill="auto"/>
            <w:noWrap/>
            <w:vAlign w:val="center"/>
          </w:tcPr>
          <w:p w:rsidR="00314A00" w:rsidRDefault="00B456B2">
            <w:pPr>
              <w:widowControl/>
              <w:snapToGrid w:val="0"/>
              <w:jc w:val="righ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rPr>
              <w:t>320.70</w:t>
            </w:r>
            <w:bookmarkStart w:id="0" w:name="_GoBack"/>
            <w:bookmarkEnd w:id="0"/>
          </w:p>
        </w:tc>
      </w:tr>
      <w:tr w:rsidR="00314A00">
        <w:trPr>
          <w:jc w:val="center"/>
        </w:trPr>
        <w:tc>
          <w:tcPr>
            <w:tcW w:w="11601" w:type="dxa"/>
            <w:gridSpan w:val="10"/>
            <w:tcBorders>
              <w:top w:val="nil"/>
              <w:left w:val="nil"/>
              <w:bottom w:val="nil"/>
              <w:right w:val="nil"/>
            </w:tcBorders>
            <w:shd w:val="clear" w:color="auto" w:fill="auto"/>
            <w:noWrap/>
            <w:vAlign w:val="center"/>
          </w:tcPr>
          <w:p w:rsidR="00314A00" w:rsidRDefault="00B456B2">
            <w:pPr>
              <w:widowControl/>
              <w:snapToGrid w:val="0"/>
              <w:jc w:val="left"/>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注：本表反映部门本年度一般公共预算财政拨款基本支出明细情况。</w:t>
            </w:r>
          </w:p>
        </w:tc>
      </w:tr>
    </w:tbl>
    <w:p w:rsidR="00314A00" w:rsidRDefault="00314A00">
      <w:pPr>
        <w:rPr>
          <w:rFonts w:ascii="仿宋_GB2312" w:eastAsia="仿宋_GB2312" w:hAnsi="宋体"/>
          <w:b/>
          <w:sz w:val="32"/>
          <w:szCs w:val="32"/>
        </w:rPr>
      </w:pPr>
    </w:p>
    <w:p w:rsidR="00314A00" w:rsidRDefault="00B456B2">
      <w:pPr>
        <w:rPr>
          <w:rFonts w:ascii="仿宋_GB2312" w:eastAsia="仿宋_GB2312" w:hAnsi="宋体"/>
          <w:b/>
          <w:sz w:val="32"/>
          <w:szCs w:val="32"/>
        </w:rPr>
      </w:pPr>
      <w:r>
        <w:rPr>
          <w:rFonts w:ascii="仿宋_GB2312" w:eastAsia="仿宋_GB2312" w:hAnsi="宋体" w:hint="eastAsia"/>
          <w:b/>
          <w:sz w:val="32"/>
          <w:szCs w:val="32"/>
        </w:rPr>
        <w:br w:type="page"/>
      </w:r>
    </w:p>
    <w:tbl>
      <w:tblPr>
        <w:tblW w:w="6517" w:type="pct"/>
        <w:tblInd w:w="-1404" w:type="dxa"/>
        <w:tblLayout w:type="fixed"/>
        <w:tblLook w:val="04A0"/>
      </w:tblPr>
      <w:tblGrid>
        <w:gridCol w:w="1260"/>
        <w:gridCol w:w="1473"/>
        <w:gridCol w:w="1306"/>
        <w:gridCol w:w="1025"/>
        <w:gridCol w:w="1107"/>
        <w:gridCol w:w="419"/>
        <w:gridCol w:w="700"/>
        <w:gridCol w:w="1146"/>
        <w:gridCol w:w="2043"/>
      </w:tblGrid>
      <w:tr w:rsidR="00314A00">
        <w:trPr>
          <w:trHeight w:val="550"/>
        </w:trPr>
        <w:tc>
          <w:tcPr>
            <w:tcW w:w="5000" w:type="pct"/>
            <w:gridSpan w:val="9"/>
            <w:tcBorders>
              <w:top w:val="nil"/>
              <w:left w:val="nil"/>
              <w:bottom w:val="nil"/>
              <w:right w:val="nil"/>
            </w:tcBorders>
            <w:noWrap/>
            <w:vAlign w:val="bottom"/>
          </w:tcPr>
          <w:p w:rsidR="00314A00" w:rsidRDefault="00B456B2">
            <w:pPr>
              <w:widowControl/>
              <w:jc w:val="center"/>
              <w:textAlignment w:val="bottom"/>
              <w:rPr>
                <w:rFonts w:ascii="宋体" w:eastAsia="宋体" w:hAnsi="宋体"/>
                <w:color w:val="000000"/>
                <w:sz w:val="20"/>
                <w:szCs w:val="20"/>
              </w:rPr>
            </w:pPr>
            <w:r>
              <w:rPr>
                <w:rFonts w:ascii="方正仿宋_GB2312" w:eastAsia="方正仿宋_GB2312" w:hAnsi="方正仿宋_GB2312" w:cs="方正仿宋_GB2312" w:hint="eastAsia"/>
                <w:bCs/>
                <w:sz w:val="32"/>
                <w:szCs w:val="32"/>
              </w:rPr>
              <w:lastRenderedPageBreak/>
              <w:t>政府性基金预算财政拨款收入支出决算表</w:t>
            </w:r>
          </w:p>
        </w:tc>
      </w:tr>
      <w:tr w:rsidR="00314A00">
        <w:trPr>
          <w:trHeight w:val="90"/>
        </w:trPr>
        <w:tc>
          <w:tcPr>
            <w:tcW w:w="5000" w:type="pct"/>
            <w:gridSpan w:val="9"/>
            <w:tcBorders>
              <w:top w:val="nil"/>
              <w:left w:val="nil"/>
              <w:bottom w:val="nil"/>
              <w:right w:val="nil"/>
            </w:tcBorders>
            <w:noWrap/>
            <w:vAlign w:val="bottom"/>
          </w:tcPr>
          <w:p w:rsidR="00314A00" w:rsidRDefault="00B456B2">
            <w:pPr>
              <w:widowControl/>
              <w:jc w:val="right"/>
              <w:textAlignment w:val="bottom"/>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公开</w:t>
            </w:r>
            <w:r>
              <w:rPr>
                <w:rFonts w:ascii="Times New Roman" w:eastAsia="宋体" w:hAnsi="Times New Roman" w:cs="Times New Roman"/>
                <w:color w:val="000000"/>
                <w:sz w:val="20"/>
                <w:szCs w:val="20"/>
                <w:lang/>
              </w:rPr>
              <w:t>07</w:t>
            </w:r>
            <w:r>
              <w:rPr>
                <w:rFonts w:ascii="方正仿宋_GB2312" w:eastAsia="方正仿宋_GB2312" w:hAnsi="方正仿宋_GB2312" w:cs="方正仿宋_GB2312" w:hint="eastAsia"/>
                <w:color w:val="000000"/>
                <w:sz w:val="20"/>
                <w:szCs w:val="20"/>
                <w:lang/>
              </w:rPr>
              <w:t>表</w:t>
            </w:r>
          </w:p>
        </w:tc>
      </w:tr>
      <w:tr w:rsidR="00314A00">
        <w:trPr>
          <w:trHeight w:val="300"/>
        </w:trPr>
        <w:tc>
          <w:tcPr>
            <w:tcW w:w="1927" w:type="pct"/>
            <w:gridSpan w:val="3"/>
            <w:tcBorders>
              <w:top w:val="nil"/>
              <w:left w:val="nil"/>
              <w:bottom w:val="single" w:sz="8" w:space="0" w:color="000000" w:themeColor="text1"/>
              <w:right w:val="nil"/>
            </w:tcBorders>
            <w:noWrap/>
            <w:vAlign w:val="bottom"/>
          </w:tcPr>
          <w:p w:rsidR="00314A00" w:rsidRDefault="00B456B2">
            <w:pPr>
              <w:widowControl/>
              <w:jc w:val="left"/>
              <w:textAlignment w:val="bottom"/>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部门（</w:t>
            </w:r>
            <w:r w:rsidR="007F5941">
              <w:rPr>
                <w:rFonts w:ascii="方正仿宋_GB2312" w:eastAsia="方正仿宋_GB2312" w:hAnsi="方正仿宋_GB2312" w:cs="方正仿宋_GB2312" w:hint="eastAsia"/>
                <w:color w:val="000000"/>
                <w:sz w:val="20"/>
                <w:szCs w:val="20"/>
                <w:lang/>
              </w:rPr>
              <w:t>部门</w:t>
            </w:r>
            <w:r>
              <w:rPr>
                <w:rFonts w:ascii="方正仿宋_GB2312" w:eastAsia="方正仿宋_GB2312" w:hAnsi="方正仿宋_GB2312" w:cs="方正仿宋_GB2312" w:hint="eastAsia"/>
                <w:color w:val="000000"/>
                <w:sz w:val="20"/>
                <w:szCs w:val="20"/>
                <w:lang/>
              </w:rPr>
              <w:t>）：中国共产党无极县纪律检查委员会</w:t>
            </w:r>
            <w:r>
              <w:rPr>
                <w:rFonts w:ascii="方正仿宋_GB2312" w:eastAsia="方正仿宋_GB2312" w:hAnsi="方正仿宋_GB2312" w:cs="方正仿宋_GB2312" w:hint="eastAsia"/>
                <w:color w:val="000000"/>
                <w:sz w:val="20"/>
                <w:szCs w:val="20"/>
                <w:lang/>
              </w:rPr>
              <w:t xml:space="preserve"> </w:t>
            </w:r>
          </w:p>
        </w:tc>
        <w:tc>
          <w:tcPr>
            <w:tcW w:w="1217" w:type="pct"/>
            <w:gridSpan w:val="3"/>
            <w:tcBorders>
              <w:top w:val="nil"/>
              <w:left w:val="nil"/>
              <w:bottom w:val="single" w:sz="8" w:space="0" w:color="000000" w:themeColor="text1"/>
              <w:right w:val="nil"/>
            </w:tcBorders>
            <w:noWrap/>
            <w:vAlign w:val="bottom"/>
          </w:tcPr>
          <w:p w:rsidR="00314A00" w:rsidRDefault="00B456B2">
            <w:pPr>
              <w:widowControl/>
              <w:jc w:val="center"/>
              <w:textAlignment w:val="bottom"/>
              <w:rPr>
                <w:rFonts w:ascii="宋体" w:eastAsia="宋体" w:hAnsi="宋体"/>
                <w:color w:val="000000"/>
                <w:sz w:val="20"/>
                <w:szCs w:val="20"/>
                <w:lang/>
              </w:rPr>
            </w:pPr>
            <w:r>
              <w:rPr>
                <w:rFonts w:ascii="Times New Roman" w:eastAsia="宋体" w:hAnsi="Times New Roman" w:cs="Times New Roman"/>
                <w:color w:val="000000"/>
                <w:sz w:val="20"/>
                <w:szCs w:val="20"/>
                <w:lang/>
              </w:rPr>
              <w:t>202</w:t>
            </w:r>
            <w:r>
              <w:rPr>
                <w:rFonts w:ascii="Times New Roman" w:eastAsia="宋体" w:hAnsi="Times New Roman" w:cs="Times New Roman" w:hint="eastAsia"/>
                <w:color w:val="000000"/>
                <w:sz w:val="20"/>
                <w:szCs w:val="20"/>
                <w:lang/>
              </w:rPr>
              <w:t>5</w:t>
            </w:r>
            <w:r>
              <w:rPr>
                <w:rFonts w:ascii="方正仿宋_GB2312" w:eastAsia="方正仿宋_GB2312" w:hAnsi="方正仿宋_GB2312" w:cs="方正仿宋_GB2312" w:hint="eastAsia"/>
                <w:color w:val="000000"/>
                <w:sz w:val="20"/>
                <w:szCs w:val="20"/>
                <w:lang/>
              </w:rPr>
              <w:t>年度</w:t>
            </w:r>
          </w:p>
        </w:tc>
        <w:tc>
          <w:tcPr>
            <w:tcW w:w="1854" w:type="pct"/>
            <w:gridSpan w:val="3"/>
            <w:tcBorders>
              <w:top w:val="nil"/>
              <w:left w:val="nil"/>
              <w:bottom w:val="single" w:sz="8" w:space="0" w:color="000000" w:themeColor="text1"/>
              <w:right w:val="nil"/>
            </w:tcBorders>
            <w:noWrap/>
            <w:vAlign w:val="bottom"/>
          </w:tcPr>
          <w:p w:rsidR="00314A00" w:rsidRDefault="00B456B2">
            <w:pPr>
              <w:widowControl/>
              <w:jc w:val="right"/>
              <w:textAlignment w:val="bottom"/>
              <w:rPr>
                <w:rFonts w:ascii="宋体" w:eastAsia="宋体" w:hAnsi="宋体"/>
                <w:color w:val="000000"/>
                <w:sz w:val="20"/>
                <w:szCs w:val="20"/>
                <w:lang/>
              </w:rPr>
            </w:pPr>
            <w:r>
              <w:rPr>
                <w:rFonts w:ascii="方正仿宋_GB2312" w:eastAsia="方正仿宋_GB2312" w:hAnsi="方正仿宋_GB2312" w:cs="方正仿宋_GB2312" w:hint="eastAsia"/>
                <w:color w:val="000000"/>
                <w:sz w:val="20"/>
                <w:szCs w:val="20"/>
                <w:lang/>
              </w:rPr>
              <w:t>金额</w:t>
            </w:r>
            <w:r w:rsidR="007F5941">
              <w:rPr>
                <w:rFonts w:ascii="方正仿宋_GB2312" w:eastAsia="方正仿宋_GB2312" w:hAnsi="方正仿宋_GB2312" w:cs="方正仿宋_GB2312" w:hint="eastAsia"/>
                <w:color w:val="000000"/>
                <w:sz w:val="20"/>
                <w:szCs w:val="20"/>
                <w:lang/>
              </w:rPr>
              <w:t>部门</w:t>
            </w:r>
            <w:r>
              <w:rPr>
                <w:rFonts w:ascii="方正仿宋_GB2312" w:eastAsia="方正仿宋_GB2312" w:hAnsi="方正仿宋_GB2312" w:cs="方正仿宋_GB2312" w:hint="eastAsia"/>
                <w:color w:val="000000"/>
                <w:sz w:val="20"/>
                <w:szCs w:val="20"/>
                <w:lang/>
              </w:rPr>
              <w:t>：万元</w:t>
            </w:r>
          </w:p>
        </w:tc>
      </w:tr>
      <w:tr w:rsidR="00314A00">
        <w:trPr>
          <w:trHeight w:val="308"/>
        </w:trPr>
        <w:tc>
          <w:tcPr>
            <w:tcW w:w="1304"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项目</w:t>
            </w:r>
          </w:p>
        </w:tc>
        <w:tc>
          <w:tcPr>
            <w:tcW w:w="623"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年初结转和结余</w:t>
            </w:r>
          </w:p>
        </w:tc>
        <w:tc>
          <w:tcPr>
            <w:tcW w:w="489"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本年收入</w:t>
            </w:r>
          </w:p>
        </w:tc>
        <w:tc>
          <w:tcPr>
            <w:tcW w:w="1609" w:type="pct"/>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本年支出</w:t>
            </w:r>
          </w:p>
        </w:tc>
        <w:tc>
          <w:tcPr>
            <w:tcW w:w="973"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年末结转和结余</w:t>
            </w:r>
          </w:p>
        </w:tc>
      </w:tr>
      <w:tr w:rsidR="00314A00">
        <w:trPr>
          <w:trHeight w:val="312"/>
        </w:trPr>
        <w:tc>
          <w:tcPr>
            <w:tcW w:w="601"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科目代码</w:t>
            </w:r>
          </w:p>
        </w:tc>
        <w:tc>
          <w:tcPr>
            <w:tcW w:w="703"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科目名称</w:t>
            </w:r>
          </w:p>
        </w:tc>
        <w:tc>
          <w:tcPr>
            <w:tcW w:w="623"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489"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528"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小计</w:t>
            </w:r>
          </w:p>
        </w:tc>
        <w:tc>
          <w:tcPr>
            <w:tcW w:w="534" w:type="pct"/>
            <w:gridSpan w:val="2"/>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基本支出</w:t>
            </w:r>
          </w:p>
        </w:tc>
        <w:tc>
          <w:tcPr>
            <w:tcW w:w="546"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项目支出</w:t>
            </w:r>
          </w:p>
        </w:tc>
        <w:tc>
          <w:tcPr>
            <w:tcW w:w="973"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合计</w:t>
            </w:r>
          </w:p>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结转</w:t>
            </w:r>
          </w:p>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结余</w:t>
            </w:r>
          </w:p>
        </w:tc>
      </w:tr>
      <w:tr w:rsidR="00314A00">
        <w:trPr>
          <w:trHeight w:val="312"/>
        </w:trPr>
        <w:tc>
          <w:tcPr>
            <w:tcW w:w="601"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703"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623"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489"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528"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534" w:type="pct"/>
            <w:gridSpan w:val="2"/>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546"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973"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r>
      <w:tr w:rsidR="00314A00">
        <w:trPr>
          <w:trHeight w:val="312"/>
        </w:trPr>
        <w:tc>
          <w:tcPr>
            <w:tcW w:w="601"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703"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623"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489"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528"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534" w:type="pct"/>
            <w:gridSpan w:val="2"/>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546"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973"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r>
      <w:tr w:rsidR="00314A00">
        <w:trPr>
          <w:trHeight w:val="308"/>
        </w:trPr>
        <w:tc>
          <w:tcPr>
            <w:tcW w:w="1304"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栏次</w:t>
            </w:r>
          </w:p>
        </w:tc>
        <w:tc>
          <w:tcPr>
            <w:tcW w:w="62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20"/>
                <w:szCs w:val="20"/>
              </w:rPr>
            </w:pPr>
            <w:r>
              <w:rPr>
                <w:rFonts w:ascii="Times New Roman" w:eastAsia="方正仿宋_GB2312" w:hAnsi="Times New Roman" w:cs="Times New Roman"/>
                <w:color w:val="000000"/>
                <w:sz w:val="20"/>
                <w:szCs w:val="20"/>
                <w:lang/>
              </w:rPr>
              <w:t>1</w:t>
            </w:r>
          </w:p>
        </w:tc>
        <w:tc>
          <w:tcPr>
            <w:tcW w:w="4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20"/>
                <w:szCs w:val="20"/>
              </w:rPr>
            </w:pPr>
            <w:r>
              <w:rPr>
                <w:rFonts w:ascii="Times New Roman" w:eastAsia="方正仿宋_GB2312" w:hAnsi="Times New Roman" w:cs="Times New Roman"/>
                <w:color w:val="000000"/>
                <w:sz w:val="20"/>
                <w:szCs w:val="20"/>
                <w:lang/>
              </w:rPr>
              <w:t>2</w:t>
            </w:r>
          </w:p>
        </w:tc>
        <w:tc>
          <w:tcPr>
            <w:tcW w:w="528"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20"/>
                <w:szCs w:val="20"/>
              </w:rPr>
            </w:pPr>
            <w:r>
              <w:rPr>
                <w:rFonts w:ascii="Times New Roman" w:eastAsia="方正仿宋_GB2312" w:hAnsi="Times New Roman" w:cs="Times New Roman"/>
                <w:color w:val="000000"/>
                <w:sz w:val="20"/>
                <w:szCs w:val="20"/>
                <w:lang/>
              </w:rPr>
              <w:t>3</w:t>
            </w:r>
          </w:p>
        </w:tc>
        <w:tc>
          <w:tcPr>
            <w:tcW w:w="534"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20"/>
                <w:szCs w:val="20"/>
              </w:rPr>
            </w:pPr>
            <w:r>
              <w:rPr>
                <w:rFonts w:ascii="Times New Roman" w:eastAsia="方正仿宋_GB2312" w:hAnsi="Times New Roman" w:cs="Times New Roman"/>
                <w:color w:val="000000"/>
                <w:sz w:val="20"/>
                <w:szCs w:val="20"/>
                <w:lang/>
              </w:rPr>
              <w:t>4</w:t>
            </w:r>
          </w:p>
        </w:tc>
        <w:tc>
          <w:tcPr>
            <w:tcW w:w="54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20"/>
                <w:szCs w:val="20"/>
              </w:rPr>
            </w:pPr>
            <w:r>
              <w:rPr>
                <w:rFonts w:ascii="Times New Roman" w:eastAsia="方正仿宋_GB2312" w:hAnsi="Times New Roman" w:cs="Times New Roman"/>
                <w:color w:val="000000"/>
                <w:sz w:val="20"/>
                <w:szCs w:val="20"/>
                <w:lang/>
              </w:rPr>
              <w:t>5</w:t>
            </w:r>
          </w:p>
        </w:tc>
        <w:tc>
          <w:tcPr>
            <w:tcW w:w="97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20"/>
                <w:szCs w:val="20"/>
              </w:rPr>
            </w:pPr>
            <w:r>
              <w:rPr>
                <w:rFonts w:ascii="Times New Roman" w:eastAsia="方正仿宋_GB2312" w:hAnsi="Times New Roman" w:cs="Times New Roman"/>
                <w:color w:val="000000"/>
                <w:sz w:val="20"/>
                <w:szCs w:val="20"/>
              </w:rPr>
              <w:t>6</w:t>
            </w:r>
          </w:p>
        </w:tc>
      </w:tr>
      <w:tr w:rsidR="00314A00">
        <w:trPr>
          <w:trHeight w:val="869"/>
        </w:trPr>
        <w:tc>
          <w:tcPr>
            <w:tcW w:w="1304"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合计</w:t>
            </w:r>
          </w:p>
        </w:tc>
        <w:tc>
          <w:tcPr>
            <w:tcW w:w="62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4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58.76</w:t>
            </w:r>
          </w:p>
        </w:tc>
        <w:tc>
          <w:tcPr>
            <w:tcW w:w="528"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58.76</w:t>
            </w:r>
          </w:p>
        </w:tc>
        <w:tc>
          <w:tcPr>
            <w:tcW w:w="534"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4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58.76</w:t>
            </w:r>
          </w:p>
        </w:tc>
        <w:tc>
          <w:tcPr>
            <w:tcW w:w="97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601"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229</w:t>
            </w:r>
          </w:p>
        </w:tc>
        <w:tc>
          <w:tcPr>
            <w:tcW w:w="7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其他支出</w:t>
            </w:r>
          </w:p>
        </w:tc>
        <w:tc>
          <w:tcPr>
            <w:tcW w:w="62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4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58.76</w:t>
            </w:r>
          </w:p>
        </w:tc>
        <w:tc>
          <w:tcPr>
            <w:tcW w:w="528"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58.76</w:t>
            </w:r>
          </w:p>
        </w:tc>
        <w:tc>
          <w:tcPr>
            <w:tcW w:w="534"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4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58.76</w:t>
            </w:r>
          </w:p>
        </w:tc>
        <w:tc>
          <w:tcPr>
            <w:tcW w:w="97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601"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22904</w:t>
            </w:r>
          </w:p>
        </w:tc>
        <w:tc>
          <w:tcPr>
            <w:tcW w:w="7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其他政府性基金及对应专项债务收入安排的支出</w:t>
            </w:r>
          </w:p>
        </w:tc>
        <w:tc>
          <w:tcPr>
            <w:tcW w:w="62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4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58.76</w:t>
            </w:r>
          </w:p>
        </w:tc>
        <w:tc>
          <w:tcPr>
            <w:tcW w:w="528"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58.76</w:t>
            </w:r>
          </w:p>
        </w:tc>
        <w:tc>
          <w:tcPr>
            <w:tcW w:w="534"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4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58.76</w:t>
            </w:r>
          </w:p>
        </w:tc>
        <w:tc>
          <w:tcPr>
            <w:tcW w:w="97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601"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Times New Roman" w:eastAsia="方正仿宋_GB2312" w:hAnsi="Times New Roman" w:cs="Times New Roman"/>
                <w:color w:val="000000"/>
                <w:sz w:val="20"/>
                <w:szCs w:val="20"/>
              </w:rPr>
              <w:t>2290402</w:t>
            </w:r>
          </w:p>
        </w:tc>
        <w:tc>
          <w:tcPr>
            <w:tcW w:w="70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left"/>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其他地方自行试点项目收益专项债券收入安排的支出</w:t>
            </w:r>
          </w:p>
        </w:tc>
        <w:tc>
          <w:tcPr>
            <w:tcW w:w="62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489"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58.76</w:t>
            </w:r>
          </w:p>
        </w:tc>
        <w:tc>
          <w:tcPr>
            <w:tcW w:w="528"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58.76</w:t>
            </w:r>
          </w:p>
        </w:tc>
        <w:tc>
          <w:tcPr>
            <w:tcW w:w="534"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54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宋体" w:hAnsi="Times New Roman" w:cs="Times New Roman"/>
                <w:color w:val="000000"/>
                <w:sz w:val="20"/>
                <w:szCs w:val="20"/>
              </w:rPr>
            </w:pPr>
            <w:r>
              <w:rPr>
                <w:rFonts w:ascii="Times New Roman" w:eastAsia="宋体" w:hAnsi="Times New Roman" w:cs="Times New Roman"/>
                <w:spacing w:val="-2"/>
                <w:sz w:val="20"/>
                <w:szCs w:val="20"/>
              </w:rPr>
              <w:t>58.76</w:t>
            </w:r>
          </w:p>
        </w:tc>
        <w:tc>
          <w:tcPr>
            <w:tcW w:w="973"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5000" w:type="pct"/>
            <w:gridSpan w:val="9"/>
            <w:tcBorders>
              <w:top w:val="single" w:sz="8" w:space="0" w:color="000000" w:themeColor="text1"/>
              <w:left w:val="nil"/>
              <w:bottom w:val="nil"/>
              <w:right w:val="nil"/>
            </w:tcBorders>
            <w:noWrap/>
            <w:vAlign w:val="center"/>
          </w:tcPr>
          <w:p w:rsidR="00314A00" w:rsidRDefault="00B456B2">
            <w:pPr>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注：本表反映部门本年度政府性基金预算财政拨款收入、支出及结转和结余情况。</w:t>
            </w:r>
            <w:r>
              <w:rPr>
                <w:rFonts w:ascii="方正仿宋_GB2312" w:eastAsia="方正仿宋_GB2312" w:hAnsi="方正仿宋_GB2312" w:cs="方正仿宋_GB2312" w:hint="eastAsia"/>
                <w:color w:val="000000"/>
                <w:sz w:val="20"/>
                <w:szCs w:val="20"/>
                <w:lang/>
              </w:rPr>
              <w:br w:type="page"/>
            </w:r>
          </w:p>
        </w:tc>
      </w:tr>
    </w:tbl>
    <w:p w:rsidR="00314A00" w:rsidRDefault="00314A00">
      <w:pPr>
        <w:rPr>
          <w:rFonts w:ascii="仿宋_GB2312" w:eastAsia="仿宋_GB2312" w:hAnsi="宋体"/>
          <w:b/>
          <w:sz w:val="32"/>
          <w:szCs w:val="32"/>
        </w:rPr>
      </w:pPr>
    </w:p>
    <w:p w:rsidR="00314A00" w:rsidRDefault="00B456B2">
      <w:pPr>
        <w:rPr>
          <w:rFonts w:ascii="仿宋_GB2312" w:eastAsia="仿宋_GB2312" w:hAnsi="宋体"/>
          <w:b/>
          <w:sz w:val="32"/>
          <w:szCs w:val="32"/>
        </w:rPr>
      </w:pPr>
      <w:r>
        <w:rPr>
          <w:rFonts w:ascii="仿宋_GB2312" w:eastAsia="仿宋_GB2312" w:hAnsi="宋体" w:hint="eastAsia"/>
          <w:b/>
          <w:sz w:val="32"/>
          <w:szCs w:val="32"/>
        </w:rPr>
        <w:br w:type="page"/>
      </w:r>
    </w:p>
    <w:tbl>
      <w:tblPr>
        <w:tblW w:w="5863" w:type="pct"/>
        <w:tblInd w:w="-976" w:type="dxa"/>
        <w:tblLayout w:type="fixed"/>
        <w:tblLook w:val="04A0"/>
      </w:tblPr>
      <w:tblGrid>
        <w:gridCol w:w="2992"/>
        <w:gridCol w:w="730"/>
        <w:gridCol w:w="1297"/>
        <w:gridCol w:w="1337"/>
        <w:gridCol w:w="45"/>
        <w:gridCol w:w="1286"/>
        <w:gridCol w:w="6"/>
        <w:gridCol w:w="1735"/>
      </w:tblGrid>
      <w:tr w:rsidR="00314A00">
        <w:trPr>
          <w:trHeight w:val="550"/>
        </w:trPr>
        <w:tc>
          <w:tcPr>
            <w:tcW w:w="5000" w:type="pct"/>
            <w:gridSpan w:val="8"/>
            <w:tcBorders>
              <w:top w:val="nil"/>
              <w:left w:val="nil"/>
              <w:bottom w:val="nil"/>
              <w:right w:val="nil"/>
            </w:tcBorders>
            <w:noWrap/>
            <w:vAlign w:val="bottom"/>
          </w:tcPr>
          <w:p w:rsidR="00314A00" w:rsidRDefault="00B456B2">
            <w:pPr>
              <w:widowControl/>
              <w:jc w:val="center"/>
              <w:textAlignment w:val="bottom"/>
              <w:rPr>
                <w:rFonts w:ascii="宋体" w:eastAsia="宋体" w:hAnsi="宋体"/>
                <w:color w:val="000000"/>
                <w:sz w:val="20"/>
                <w:szCs w:val="20"/>
              </w:rPr>
            </w:pPr>
            <w:r>
              <w:rPr>
                <w:rFonts w:ascii="方正仿宋_GB2312" w:eastAsia="方正仿宋_GB2312" w:hAnsi="方正仿宋_GB2312" w:cs="方正仿宋_GB2312" w:hint="eastAsia"/>
                <w:bCs/>
                <w:sz w:val="32"/>
                <w:szCs w:val="32"/>
              </w:rPr>
              <w:lastRenderedPageBreak/>
              <w:t>国有资本经营预算财政拨款支出决算表</w:t>
            </w:r>
          </w:p>
        </w:tc>
      </w:tr>
      <w:tr w:rsidR="00314A00">
        <w:trPr>
          <w:trHeight w:val="300"/>
        </w:trPr>
        <w:tc>
          <w:tcPr>
            <w:tcW w:w="5000" w:type="pct"/>
            <w:gridSpan w:val="8"/>
            <w:tcBorders>
              <w:top w:val="nil"/>
              <w:left w:val="nil"/>
              <w:bottom w:val="nil"/>
              <w:right w:val="nil"/>
            </w:tcBorders>
            <w:noWrap/>
            <w:vAlign w:val="bottom"/>
          </w:tcPr>
          <w:p w:rsidR="00314A00" w:rsidRDefault="00B456B2">
            <w:pPr>
              <w:widowControl/>
              <w:jc w:val="right"/>
              <w:textAlignment w:val="bottom"/>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公开</w:t>
            </w:r>
            <w:r>
              <w:rPr>
                <w:rFonts w:ascii="Times New Roman" w:eastAsia="方正仿宋_GB2312" w:hAnsi="Times New Roman" w:cs="Times New Roman"/>
                <w:color w:val="000000"/>
                <w:sz w:val="20"/>
                <w:szCs w:val="20"/>
                <w:lang/>
              </w:rPr>
              <w:t>08</w:t>
            </w:r>
            <w:r>
              <w:rPr>
                <w:rFonts w:ascii="方正仿宋_GB2312" w:eastAsia="方正仿宋_GB2312" w:hAnsi="方正仿宋_GB2312" w:cs="方正仿宋_GB2312" w:hint="eastAsia"/>
                <w:color w:val="000000"/>
                <w:sz w:val="20"/>
                <w:szCs w:val="20"/>
                <w:lang/>
              </w:rPr>
              <w:t>表</w:t>
            </w:r>
          </w:p>
        </w:tc>
      </w:tr>
      <w:tr w:rsidR="00314A00">
        <w:trPr>
          <w:trHeight w:val="300"/>
        </w:trPr>
        <w:tc>
          <w:tcPr>
            <w:tcW w:w="1974" w:type="pct"/>
            <w:gridSpan w:val="2"/>
            <w:tcBorders>
              <w:top w:val="nil"/>
              <w:left w:val="nil"/>
              <w:bottom w:val="single" w:sz="8" w:space="0" w:color="000000" w:themeColor="text1"/>
              <w:right w:val="nil"/>
            </w:tcBorders>
            <w:noWrap/>
            <w:vAlign w:val="bottom"/>
          </w:tcPr>
          <w:p w:rsidR="00314A00" w:rsidRDefault="00B456B2">
            <w:pPr>
              <w:widowControl/>
              <w:textAlignment w:val="bottom"/>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部门（</w:t>
            </w:r>
            <w:r w:rsidR="007F5941">
              <w:rPr>
                <w:rFonts w:ascii="方正仿宋_GB2312" w:eastAsia="方正仿宋_GB2312" w:hAnsi="方正仿宋_GB2312" w:cs="方正仿宋_GB2312" w:hint="eastAsia"/>
                <w:color w:val="000000"/>
                <w:sz w:val="20"/>
                <w:szCs w:val="20"/>
                <w:lang/>
              </w:rPr>
              <w:t>部门</w:t>
            </w:r>
            <w:r>
              <w:rPr>
                <w:rFonts w:ascii="方正仿宋_GB2312" w:eastAsia="方正仿宋_GB2312" w:hAnsi="方正仿宋_GB2312" w:cs="方正仿宋_GB2312" w:hint="eastAsia"/>
                <w:color w:val="000000"/>
                <w:sz w:val="20"/>
                <w:szCs w:val="20"/>
                <w:lang/>
              </w:rPr>
              <w:t>）：中国共产党无极县纪律检查委员会</w:t>
            </w:r>
          </w:p>
        </w:tc>
        <w:tc>
          <w:tcPr>
            <w:tcW w:w="1421" w:type="pct"/>
            <w:gridSpan w:val="3"/>
            <w:tcBorders>
              <w:top w:val="nil"/>
              <w:left w:val="nil"/>
              <w:bottom w:val="single" w:sz="8" w:space="0" w:color="000000" w:themeColor="text1"/>
              <w:right w:val="nil"/>
            </w:tcBorders>
            <w:noWrap/>
            <w:vAlign w:val="bottom"/>
          </w:tcPr>
          <w:p w:rsidR="00314A00" w:rsidRDefault="00B456B2">
            <w:pPr>
              <w:widowControl/>
              <w:jc w:val="center"/>
              <w:textAlignment w:val="bottom"/>
              <w:rPr>
                <w:rFonts w:ascii="宋体" w:eastAsia="宋体" w:hAnsi="宋体"/>
                <w:color w:val="000000"/>
                <w:sz w:val="20"/>
                <w:szCs w:val="20"/>
                <w:lang/>
              </w:rPr>
            </w:pPr>
            <w:r>
              <w:rPr>
                <w:rFonts w:ascii="Times New Roman" w:eastAsia="宋体" w:hAnsi="Times New Roman" w:cs="Times New Roman"/>
                <w:color w:val="000000"/>
                <w:sz w:val="20"/>
                <w:szCs w:val="20"/>
                <w:lang/>
              </w:rPr>
              <w:t>202</w:t>
            </w:r>
            <w:r>
              <w:rPr>
                <w:rFonts w:ascii="Times New Roman" w:eastAsia="宋体" w:hAnsi="Times New Roman" w:cs="Times New Roman" w:hint="eastAsia"/>
                <w:color w:val="000000"/>
                <w:sz w:val="20"/>
                <w:szCs w:val="20"/>
                <w:lang/>
              </w:rPr>
              <w:t>5</w:t>
            </w:r>
            <w:r>
              <w:rPr>
                <w:rFonts w:ascii="方正仿宋_GB2312" w:eastAsia="方正仿宋_GB2312" w:hAnsi="方正仿宋_GB2312" w:cs="方正仿宋_GB2312" w:hint="eastAsia"/>
                <w:color w:val="000000"/>
                <w:sz w:val="20"/>
                <w:szCs w:val="20"/>
                <w:lang/>
              </w:rPr>
              <w:t>年度</w:t>
            </w:r>
          </w:p>
        </w:tc>
        <w:tc>
          <w:tcPr>
            <w:tcW w:w="1603" w:type="pct"/>
            <w:gridSpan w:val="3"/>
            <w:tcBorders>
              <w:top w:val="nil"/>
              <w:left w:val="nil"/>
              <w:bottom w:val="single" w:sz="8" w:space="0" w:color="000000" w:themeColor="text1"/>
              <w:right w:val="nil"/>
            </w:tcBorders>
            <w:noWrap/>
            <w:vAlign w:val="bottom"/>
          </w:tcPr>
          <w:p w:rsidR="00314A00" w:rsidRDefault="00B456B2">
            <w:pPr>
              <w:widowControl/>
              <w:jc w:val="right"/>
              <w:textAlignment w:val="bottom"/>
              <w:rPr>
                <w:rFonts w:ascii="宋体" w:eastAsia="宋体" w:hAnsi="宋体"/>
                <w:color w:val="000000"/>
                <w:sz w:val="20"/>
                <w:szCs w:val="20"/>
                <w:lang/>
              </w:rPr>
            </w:pPr>
            <w:r>
              <w:rPr>
                <w:rFonts w:ascii="方正仿宋_GB2312" w:eastAsia="方正仿宋_GB2312" w:hAnsi="方正仿宋_GB2312" w:cs="方正仿宋_GB2312" w:hint="eastAsia"/>
                <w:color w:val="000000"/>
                <w:sz w:val="20"/>
                <w:szCs w:val="20"/>
                <w:lang/>
              </w:rPr>
              <w:t>金额</w:t>
            </w:r>
            <w:r w:rsidR="007F5941">
              <w:rPr>
                <w:rFonts w:ascii="方正仿宋_GB2312" w:eastAsia="方正仿宋_GB2312" w:hAnsi="方正仿宋_GB2312" w:cs="方正仿宋_GB2312" w:hint="eastAsia"/>
                <w:color w:val="000000"/>
                <w:sz w:val="20"/>
                <w:szCs w:val="20"/>
                <w:lang/>
              </w:rPr>
              <w:t>部门</w:t>
            </w:r>
            <w:r>
              <w:rPr>
                <w:rFonts w:ascii="方正仿宋_GB2312" w:eastAsia="方正仿宋_GB2312" w:hAnsi="方正仿宋_GB2312" w:cs="方正仿宋_GB2312" w:hint="eastAsia"/>
                <w:color w:val="000000"/>
                <w:sz w:val="20"/>
                <w:szCs w:val="20"/>
                <w:lang/>
              </w:rPr>
              <w:t>：万元</w:t>
            </w:r>
          </w:p>
        </w:tc>
      </w:tr>
      <w:tr w:rsidR="00314A00">
        <w:trPr>
          <w:trHeight w:val="312"/>
        </w:trPr>
        <w:tc>
          <w:tcPr>
            <w:tcW w:w="2662" w:type="pct"/>
            <w:gridSpan w:val="3"/>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lang/>
              </w:rPr>
              <w:t xml:space="preserve"> </w:t>
            </w:r>
            <w:r>
              <w:rPr>
                <w:rFonts w:ascii="方正仿宋_GB2312" w:eastAsia="方正仿宋_GB2312" w:hAnsi="方正仿宋_GB2312" w:cs="方正仿宋_GB2312" w:hint="eastAsia"/>
                <w:color w:val="000000"/>
                <w:sz w:val="20"/>
                <w:szCs w:val="20"/>
                <w:lang/>
              </w:rPr>
              <w:t>项目</w:t>
            </w:r>
          </w:p>
        </w:tc>
        <w:tc>
          <w:tcPr>
            <w:tcW w:w="2337" w:type="pct"/>
            <w:gridSpan w:val="5"/>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本年支出</w:t>
            </w:r>
          </w:p>
        </w:tc>
      </w:tr>
      <w:tr w:rsidR="00314A00">
        <w:trPr>
          <w:trHeight w:val="312"/>
        </w:trPr>
        <w:tc>
          <w:tcPr>
            <w:tcW w:w="2662" w:type="pct"/>
            <w:gridSpan w:val="3"/>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widowControl/>
              <w:jc w:val="center"/>
              <w:textAlignment w:val="center"/>
              <w:rPr>
                <w:rFonts w:ascii="方正仿宋_GB2312" w:eastAsia="方正仿宋_GB2312" w:hAnsi="方正仿宋_GB2312" w:cs="方正仿宋_GB2312"/>
                <w:color w:val="000000"/>
                <w:sz w:val="20"/>
                <w:szCs w:val="20"/>
              </w:rPr>
            </w:pPr>
          </w:p>
        </w:tc>
        <w:tc>
          <w:tcPr>
            <w:tcW w:w="2337" w:type="pct"/>
            <w:gridSpan w:val="5"/>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widowControl/>
              <w:jc w:val="center"/>
              <w:textAlignment w:val="center"/>
              <w:rPr>
                <w:rFonts w:ascii="方正仿宋_GB2312" w:eastAsia="方正仿宋_GB2312" w:hAnsi="方正仿宋_GB2312" w:cs="方正仿宋_GB2312"/>
                <w:color w:val="000000"/>
                <w:sz w:val="20"/>
                <w:szCs w:val="20"/>
              </w:rPr>
            </w:pPr>
          </w:p>
        </w:tc>
      </w:tr>
      <w:tr w:rsidR="00314A00">
        <w:trPr>
          <w:trHeight w:val="312"/>
        </w:trPr>
        <w:tc>
          <w:tcPr>
            <w:tcW w:w="1587"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科目代码</w:t>
            </w:r>
          </w:p>
        </w:tc>
        <w:tc>
          <w:tcPr>
            <w:tcW w:w="1074" w:type="pct"/>
            <w:gridSpan w:val="2"/>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科目名称</w:t>
            </w:r>
          </w:p>
        </w:tc>
        <w:tc>
          <w:tcPr>
            <w:tcW w:w="709"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合计</w:t>
            </w:r>
          </w:p>
        </w:tc>
        <w:tc>
          <w:tcPr>
            <w:tcW w:w="709" w:type="pct"/>
            <w:gridSpan w:val="3"/>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基本支出</w:t>
            </w:r>
          </w:p>
        </w:tc>
        <w:tc>
          <w:tcPr>
            <w:tcW w:w="919" w:type="pct"/>
            <w:vMerge w:val="restart"/>
            <w:tcBorders>
              <w:top w:val="single" w:sz="8" w:space="0" w:color="000000" w:themeColor="text1"/>
              <w:left w:val="single" w:sz="8" w:space="0" w:color="000000" w:themeColor="text1"/>
              <w:bottom w:val="single" w:sz="8" w:space="0" w:color="000000" w:themeColor="text1"/>
              <w:right w:val="single" w:sz="4" w:space="0" w:color="000000"/>
            </w:tcBorders>
            <w:noWrap/>
            <w:vAlign w:val="center"/>
          </w:tcPr>
          <w:p w:rsidR="00314A00" w:rsidRDefault="00B456B2">
            <w:pPr>
              <w:jc w:val="center"/>
              <w:rPr>
                <w:rFonts w:ascii="方正仿宋_GB2312" w:eastAsia="方正仿宋_GB2312" w:hAnsi="方正仿宋_GB2312" w:cs="方正仿宋_GB2312"/>
                <w:color w:val="000000"/>
                <w:sz w:val="20"/>
                <w:szCs w:val="20"/>
              </w:rPr>
            </w:pPr>
            <w:r>
              <w:rPr>
                <w:rFonts w:ascii="方正仿宋_GB2312" w:eastAsia="方正仿宋_GB2312" w:hAnsi="方正仿宋_GB2312" w:cs="方正仿宋_GB2312" w:hint="eastAsia"/>
                <w:color w:val="000000"/>
                <w:sz w:val="20"/>
                <w:szCs w:val="20"/>
              </w:rPr>
              <w:t>项目支出</w:t>
            </w:r>
          </w:p>
        </w:tc>
      </w:tr>
      <w:tr w:rsidR="00314A00">
        <w:trPr>
          <w:trHeight w:val="312"/>
        </w:trPr>
        <w:tc>
          <w:tcPr>
            <w:tcW w:w="1587"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1074" w:type="pct"/>
            <w:gridSpan w:val="2"/>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709"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709" w:type="pct"/>
            <w:gridSpan w:val="3"/>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c>
          <w:tcPr>
            <w:tcW w:w="919" w:type="pct"/>
            <w:vMerge/>
            <w:tcBorders>
              <w:top w:val="single" w:sz="8" w:space="0" w:color="000000" w:themeColor="text1"/>
              <w:left w:val="single" w:sz="8" w:space="0" w:color="000000" w:themeColor="text1"/>
              <w:bottom w:val="single" w:sz="8" w:space="0" w:color="000000" w:themeColor="text1"/>
              <w:right w:val="single" w:sz="4" w:space="0" w:color="000000"/>
            </w:tcBorders>
            <w:noWrap/>
            <w:vAlign w:val="center"/>
          </w:tcPr>
          <w:p w:rsidR="00314A00" w:rsidRDefault="00314A00">
            <w:pPr>
              <w:jc w:val="center"/>
              <w:rPr>
                <w:rFonts w:ascii="方正仿宋_GB2312" w:eastAsia="方正仿宋_GB2312" w:hAnsi="方正仿宋_GB2312" w:cs="方正仿宋_GB2312"/>
                <w:color w:val="000000"/>
                <w:sz w:val="20"/>
                <w:szCs w:val="20"/>
              </w:rPr>
            </w:pPr>
          </w:p>
        </w:tc>
      </w:tr>
      <w:tr w:rsidR="00314A00">
        <w:trPr>
          <w:trHeight w:val="308"/>
        </w:trPr>
        <w:tc>
          <w:tcPr>
            <w:tcW w:w="2662" w:type="pct"/>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20"/>
                <w:szCs w:val="20"/>
              </w:rPr>
            </w:pPr>
            <w:r>
              <w:rPr>
                <w:rFonts w:ascii="Times New Roman" w:eastAsia="方正仿宋_GB2312" w:hAnsi="Times New Roman" w:cs="Times New Roman" w:hint="eastAsia"/>
                <w:color w:val="000000"/>
                <w:sz w:val="20"/>
                <w:szCs w:val="20"/>
              </w:rPr>
              <w:t>栏次</w:t>
            </w:r>
          </w:p>
        </w:tc>
        <w:tc>
          <w:tcPr>
            <w:tcW w:w="70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20"/>
                <w:szCs w:val="20"/>
              </w:rPr>
            </w:pPr>
            <w:r>
              <w:rPr>
                <w:rFonts w:ascii="Times New Roman" w:eastAsia="方正仿宋_GB2312" w:hAnsi="Times New Roman" w:cs="Times New Roman" w:hint="eastAsia"/>
                <w:color w:val="000000"/>
                <w:sz w:val="20"/>
                <w:szCs w:val="20"/>
              </w:rPr>
              <w:t>1</w:t>
            </w:r>
          </w:p>
        </w:tc>
        <w:tc>
          <w:tcPr>
            <w:tcW w:w="70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20"/>
                <w:szCs w:val="20"/>
              </w:rPr>
            </w:pPr>
            <w:r>
              <w:rPr>
                <w:rFonts w:ascii="Times New Roman" w:eastAsia="方正仿宋_GB2312" w:hAnsi="Times New Roman" w:cs="Times New Roman" w:hint="eastAsia"/>
                <w:color w:val="000000"/>
                <w:sz w:val="20"/>
                <w:szCs w:val="20"/>
              </w:rPr>
              <w:t>2</w:t>
            </w:r>
          </w:p>
        </w:tc>
        <w:tc>
          <w:tcPr>
            <w:tcW w:w="924" w:type="pct"/>
            <w:gridSpan w:val="2"/>
            <w:tcBorders>
              <w:top w:val="single" w:sz="8" w:space="0" w:color="000000" w:themeColor="text1"/>
              <w:left w:val="single" w:sz="8" w:space="0" w:color="000000" w:themeColor="text1"/>
              <w:bottom w:val="single" w:sz="8" w:space="0" w:color="000000" w:themeColor="text1"/>
              <w:right w:val="single" w:sz="4" w:space="0" w:color="000000"/>
            </w:tcBorders>
            <w:noWrap/>
            <w:vAlign w:val="center"/>
          </w:tcPr>
          <w:p w:rsidR="00314A00" w:rsidRDefault="00B456B2">
            <w:pPr>
              <w:widowControl/>
              <w:jc w:val="center"/>
              <w:textAlignment w:val="center"/>
              <w:rPr>
                <w:rFonts w:ascii="Times New Roman" w:eastAsia="方正仿宋_GB2312" w:hAnsi="Times New Roman" w:cs="Times New Roman"/>
                <w:color w:val="000000"/>
                <w:sz w:val="20"/>
                <w:szCs w:val="20"/>
              </w:rPr>
            </w:pPr>
            <w:r>
              <w:rPr>
                <w:rFonts w:ascii="Times New Roman" w:eastAsia="方正仿宋_GB2312" w:hAnsi="Times New Roman" w:cs="Times New Roman" w:hint="eastAsia"/>
                <w:color w:val="000000"/>
                <w:sz w:val="20"/>
                <w:szCs w:val="20"/>
              </w:rPr>
              <w:t>3</w:t>
            </w:r>
          </w:p>
        </w:tc>
      </w:tr>
      <w:tr w:rsidR="00314A00">
        <w:trPr>
          <w:trHeight w:val="308"/>
        </w:trPr>
        <w:tc>
          <w:tcPr>
            <w:tcW w:w="2662" w:type="pct"/>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center"/>
              <w:rPr>
                <w:rFonts w:ascii="Times New Roman" w:eastAsia="宋体" w:hAnsi="Times New Roman" w:cs="Times New Roman"/>
                <w:color w:val="000000"/>
                <w:sz w:val="20"/>
                <w:szCs w:val="20"/>
              </w:rPr>
            </w:pPr>
            <w:r>
              <w:rPr>
                <w:rFonts w:ascii="Times New Roman" w:eastAsia="方正仿宋_GB2312" w:hAnsi="Times New Roman" w:cs="Times New Roman" w:hint="eastAsia"/>
                <w:color w:val="000000"/>
                <w:sz w:val="20"/>
                <w:szCs w:val="20"/>
              </w:rPr>
              <w:t>合计</w:t>
            </w:r>
          </w:p>
        </w:tc>
        <w:tc>
          <w:tcPr>
            <w:tcW w:w="70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706"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宋体" w:hAnsi="Times New Roman" w:cs="Times New Roman"/>
                <w:color w:val="000000"/>
                <w:sz w:val="20"/>
                <w:szCs w:val="20"/>
              </w:rPr>
            </w:pPr>
          </w:p>
        </w:tc>
        <w:tc>
          <w:tcPr>
            <w:tcW w:w="924" w:type="pct"/>
            <w:gridSpan w:val="2"/>
            <w:tcBorders>
              <w:top w:val="single" w:sz="8" w:space="0" w:color="000000" w:themeColor="text1"/>
              <w:left w:val="single" w:sz="8" w:space="0" w:color="000000" w:themeColor="text1"/>
              <w:bottom w:val="single" w:sz="8" w:space="0" w:color="000000" w:themeColor="text1"/>
              <w:right w:val="single" w:sz="4" w:space="0" w:color="000000"/>
            </w:tcBorders>
            <w:noWrap/>
            <w:vAlign w:val="center"/>
          </w:tcPr>
          <w:p w:rsidR="00314A00" w:rsidRDefault="00314A00">
            <w:pPr>
              <w:jc w:val="right"/>
              <w:rPr>
                <w:rFonts w:ascii="Times New Roman" w:eastAsia="宋体" w:hAnsi="Times New Roman" w:cs="Times New Roman"/>
                <w:color w:val="000000"/>
                <w:sz w:val="20"/>
                <w:szCs w:val="20"/>
              </w:rPr>
            </w:pPr>
          </w:p>
        </w:tc>
      </w:tr>
      <w:tr w:rsidR="00314A00">
        <w:trPr>
          <w:trHeight w:val="308"/>
        </w:trPr>
        <w:tc>
          <w:tcPr>
            <w:tcW w:w="5000" w:type="pct"/>
            <w:gridSpan w:val="8"/>
            <w:tcBorders>
              <w:top w:val="single" w:sz="8" w:space="0" w:color="000000" w:themeColor="text1"/>
              <w:left w:val="nil"/>
              <w:bottom w:val="nil"/>
              <w:right w:val="nil"/>
            </w:tcBorders>
            <w:noWrap/>
            <w:vAlign w:val="center"/>
          </w:tcPr>
          <w:p w:rsidR="00314A00" w:rsidRDefault="00B456B2">
            <w:pPr>
              <w:widowControl/>
              <w:jc w:val="left"/>
              <w:textAlignment w:val="center"/>
              <w:rPr>
                <w:rFonts w:ascii="宋体" w:eastAsia="宋体" w:hAnsi="宋体"/>
                <w:color w:val="000000"/>
                <w:sz w:val="20"/>
                <w:szCs w:val="20"/>
              </w:rPr>
            </w:pPr>
            <w:r>
              <w:rPr>
                <w:rFonts w:ascii="方正仿宋_GB2312" w:eastAsia="方正仿宋_GB2312" w:hAnsi="方正仿宋_GB2312" w:cs="方正仿宋_GB2312" w:hint="eastAsia"/>
                <w:color w:val="000000"/>
                <w:sz w:val="20"/>
                <w:szCs w:val="20"/>
                <w:lang/>
              </w:rPr>
              <w:t>注：本表反映部门本年度国有资本经营预算财政拨款支出情况。（如无相关数据，则需注明空表列示）</w:t>
            </w:r>
          </w:p>
        </w:tc>
      </w:tr>
    </w:tbl>
    <w:p w:rsidR="00314A00" w:rsidRDefault="00314A00">
      <w:pPr>
        <w:rPr>
          <w:rFonts w:ascii="仿宋_GB2312" w:eastAsia="仿宋_GB2312" w:hAnsi="宋体"/>
          <w:b/>
          <w:sz w:val="32"/>
          <w:szCs w:val="32"/>
        </w:rPr>
      </w:pPr>
    </w:p>
    <w:p w:rsidR="00314A00" w:rsidRDefault="00B456B2">
      <w:pPr>
        <w:rPr>
          <w:rFonts w:ascii="仿宋_GB2312" w:eastAsia="仿宋_GB2312" w:hAnsi="宋体"/>
          <w:b/>
          <w:sz w:val="32"/>
          <w:szCs w:val="32"/>
        </w:rPr>
      </w:pPr>
      <w:r>
        <w:rPr>
          <w:rFonts w:ascii="仿宋_GB2312" w:eastAsia="仿宋_GB2312" w:hAnsi="宋体" w:hint="eastAsia"/>
          <w:b/>
          <w:sz w:val="32"/>
          <w:szCs w:val="32"/>
        </w:rPr>
        <w:br w:type="page"/>
      </w:r>
    </w:p>
    <w:tbl>
      <w:tblPr>
        <w:tblpPr w:leftFromText="180" w:rightFromText="180" w:vertAnchor="text" w:horzAnchor="page" w:tblpX="282" w:tblpY="39"/>
        <w:tblOverlap w:val="never"/>
        <w:tblW w:w="7211" w:type="pct"/>
        <w:tblLayout w:type="fixed"/>
        <w:tblLook w:val="04A0"/>
      </w:tblPr>
      <w:tblGrid>
        <w:gridCol w:w="985"/>
        <w:gridCol w:w="1224"/>
        <w:gridCol w:w="812"/>
        <w:gridCol w:w="944"/>
        <w:gridCol w:w="524"/>
        <w:gridCol w:w="543"/>
        <w:gridCol w:w="779"/>
        <w:gridCol w:w="849"/>
        <w:gridCol w:w="1132"/>
        <w:gridCol w:w="638"/>
        <w:gridCol w:w="1025"/>
        <w:gridCol w:w="948"/>
        <w:gridCol w:w="1192"/>
      </w:tblGrid>
      <w:tr w:rsidR="00314A00">
        <w:trPr>
          <w:trHeight w:val="550"/>
        </w:trPr>
        <w:tc>
          <w:tcPr>
            <w:tcW w:w="5000" w:type="pct"/>
            <w:gridSpan w:val="13"/>
            <w:tcBorders>
              <w:top w:val="nil"/>
              <w:left w:val="nil"/>
              <w:bottom w:val="nil"/>
              <w:right w:val="nil"/>
            </w:tcBorders>
            <w:noWrap/>
            <w:vAlign w:val="bottom"/>
          </w:tcPr>
          <w:p w:rsidR="00314A00" w:rsidRDefault="00B456B2">
            <w:pPr>
              <w:widowControl/>
              <w:jc w:val="center"/>
              <w:textAlignment w:val="bottom"/>
              <w:rPr>
                <w:rFonts w:ascii="宋体" w:eastAsia="宋体" w:hAnsi="宋体"/>
                <w:color w:val="000000"/>
                <w:sz w:val="18"/>
                <w:szCs w:val="18"/>
              </w:rPr>
            </w:pPr>
            <w:r>
              <w:rPr>
                <w:rFonts w:ascii="方正仿宋_GB2312" w:eastAsia="方正仿宋_GB2312" w:hAnsi="方正仿宋_GB2312" w:cs="方正仿宋_GB2312" w:hint="eastAsia"/>
                <w:bCs/>
                <w:sz w:val="32"/>
                <w:szCs w:val="32"/>
              </w:rPr>
              <w:lastRenderedPageBreak/>
              <w:t>财政拨款“三公”经费支出决算表</w:t>
            </w:r>
          </w:p>
        </w:tc>
      </w:tr>
      <w:tr w:rsidR="00314A00">
        <w:trPr>
          <w:trHeight w:val="260"/>
        </w:trPr>
        <w:tc>
          <w:tcPr>
            <w:tcW w:w="5000" w:type="pct"/>
            <w:gridSpan w:val="13"/>
            <w:tcBorders>
              <w:top w:val="nil"/>
              <w:left w:val="nil"/>
              <w:bottom w:val="nil"/>
              <w:right w:val="nil"/>
            </w:tcBorders>
            <w:noWrap/>
            <w:vAlign w:val="bottom"/>
          </w:tcPr>
          <w:p w:rsidR="00314A00" w:rsidRDefault="00B456B2">
            <w:pPr>
              <w:widowControl/>
              <w:jc w:val="right"/>
              <w:textAlignment w:val="bottom"/>
              <w:rPr>
                <w:rFonts w:ascii="宋体" w:eastAsia="宋体" w:hAnsi="宋体"/>
                <w:color w:val="000000"/>
                <w:sz w:val="18"/>
                <w:szCs w:val="18"/>
              </w:rPr>
            </w:pPr>
            <w:r>
              <w:rPr>
                <w:rFonts w:ascii="方正仿宋_GB2312" w:eastAsia="方正仿宋_GB2312" w:hAnsi="方正仿宋_GB2312" w:cs="方正仿宋_GB2312" w:hint="eastAsia"/>
                <w:color w:val="000000"/>
                <w:sz w:val="18"/>
                <w:szCs w:val="18"/>
                <w:lang/>
              </w:rPr>
              <w:t>公开</w:t>
            </w:r>
            <w:r>
              <w:rPr>
                <w:rFonts w:ascii="Times New Roman" w:eastAsia="方正仿宋_GB2312" w:hAnsi="Times New Roman" w:cs="Times New Roman"/>
                <w:color w:val="000000"/>
                <w:sz w:val="18"/>
                <w:szCs w:val="18"/>
                <w:lang/>
              </w:rPr>
              <w:t>09</w:t>
            </w:r>
            <w:r>
              <w:rPr>
                <w:rFonts w:ascii="方正仿宋_GB2312" w:eastAsia="方正仿宋_GB2312" w:hAnsi="方正仿宋_GB2312" w:cs="方正仿宋_GB2312" w:hint="eastAsia"/>
                <w:color w:val="000000"/>
                <w:sz w:val="18"/>
                <w:szCs w:val="18"/>
                <w:lang/>
              </w:rPr>
              <w:t>表</w:t>
            </w:r>
          </w:p>
        </w:tc>
      </w:tr>
      <w:tr w:rsidR="00314A00">
        <w:trPr>
          <w:trHeight w:val="260"/>
        </w:trPr>
        <w:tc>
          <w:tcPr>
            <w:tcW w:w="1936" w:type="pct"/>
            <w:gridSpan w:val="5"/>
            <w:tcBorders>
              <w:top w:val="nil"/>
              <w:left w:val="nil"/>
              <w:bottom w:val="single" w:sz="8" w:space="0" w:color="000000" w:themeColor="text1"/>
              <w:right w:val="nil"/>
            </w:tcBorders>
            <w:noWrap/>
            <w:vAlign w:val="bottom"/>
          </w:tcPr>
          <w:p w:rsidR="00314A00" w:rsidRDefault="00B456B2">
            <w:pPr>
              <w:widowControl/>
              <w:jc w:val="left"/>
              <w:textAlignment w:val="bottom"/>
              <w:rPr>
                <w:rFonts w:ascii="宋体" w:eastAsia="宋体" w:hAnsi="宋体"/>
                <w:color w:val="000000"/>
                <w:sz w:val="18"/>
                <w:szCs w:val="18"/>
              </w:rPr>
            </w:pPr>
            <w:r>
              <w:rPr>
                <w:rFonts w:ascii="方正仿宋_GB2312" w:eastAsia="方正仿宋_GB2312" w:hAnsi="方正仿宋_GB2312" w:cs="方正仿宋_GB2312" w:hint="eastAsia"/>
                <w:color w:val="000000"/>
                <w:sz w:val="18"/>
                <w:szCs w:val="18"/>
                <w:lang/>
              </w:rPr>
              <w:t>部门（</w:t>
            </w:r>
            <w:r w:rsidR="007F5941">
              <w:rPr>
                <w:rFonts w:ascii="方正仿宋_GB2312" w:eastAsia="方正仿宋_GB2312" w:hAnsi="方正仿宋_GB2312" w:cs="方正仿宋_GB2312" w:hint="eastAsia"/>
                <w:color w:val="000000"/>
                <w:sz w:val="18"/>
                <w:szCs w:val="18"/>
                <w:lang/>
              </w:rPr>
              <w:t>部门</w:t>
            </w:r>
            <w:r>
              <w:rPr>
                <w:rFonts w:ascii="方正仿宋_GB2312" w:eastAsia="方正仿宋_GB2312" w:hAnsi="方正仿宋_GB2312" w:cs="方正仿宋_GB2312" w:hint="eastAsia"/>
                <w:color w:val="000000"/>
                <w:sz w:val="18"/>
                <w:szCs w:val="18"/>
                <w:lang/>
              </w:rPr>
              <w:t>）：中国共产党无极县纪律检查委员会</w:t>
            </w:r>
          </w:p>
        </w:tc>
        <w:tc>
          <w:tcPr>
            <w:tcW w:w="933" w:type="pct"/>
            <w:gridSpan w:val="3"/>
            <w:tcBorders>
              <w:top w:val="nil"/>
              <w:left w:val="nil"/>
              <w:bottom w:val="single" w:sz="8" w:space="0" w:color="000000" w:themeColor="text1"/>
              <w:right w:val="nil"/>
            </w:tcBorders>
            <w:noWrap/>
            <w:vAlign w:val="bottom"/>
          </w:tcPr>
          <w:p w:rsidR="00314A00" w:rsidRDefault="00B456B2">
            <w:pPr>
              <w:widowControl/>
              <w:jc w:val="center"/>
              <w:textAlignment w:val="bottom"/>
              <w:rPr>
                <w:rFonts w:ascii="宋体" w:eastAsia="宋体" w:hAnsi="宋体"/>
                <w:color w:val="000000"/>
                <w:sz w:val="18"/>
                <w:szCs w:val="18"/>
                <w:lang/>
              </w:rPr>
            </w:pPr>
            <w:r>
              <w:rPr>
                <w:rFonts w:ascii="Times New Roman" w:eastAsia="宋体" w:hAnsi="Times New Roman" w:cs="Times New Roman"/>
                <w:color w:val="000000"/>
                <w:sz w:val="18"/>
                <w:szCs w:val="18"/>
                <w:lang/>
              </w:rPr>
              <w:t>202</w:t>
            </w:r>
            <w:r>
              <w:rPr>
                <w:rFonts w:ascii="Times New Roman" w:eastAsia="宋体" w:hAnsi="Times New Roman" w:cs="Times New Roman" w:hint="eastAsia"/>
                <w:color w:val="000000"/>
                <w:sz w:val="18"/>
                <w:szCs w:val="18"/>
                <w:lang/>
              </w:rPr>
              <w:t>5</w:t>
            </w:r>
            <w:r>
              <w:rPr>
                <w:rFonts w:ascii="方正仿宋_GB2312" w:eastAsia="方正仿宋_GB2312" w:hAnsi="方正仿宋_GB2312" w:cs="方正仿宋_GB2312" w:hint="eastAsia"/>
                <w:color w:val="000000"/>
                <w:sz w:val="18"/>
                <w:szCs w:val="18"/>
                <w:lang/>
              </w:rPr>
              <w:t>年度</w:t>
            </w:r>
          </w:p>
        </w:tc>
        <w:tc>
          <w:tcPr>
            <w:tcW w:w="2129" w:type="pct"/>
            <w:gridSpan w:val="5"/>
            <w:tcBorders>
              <w:top w:val="nil"/>
              <w:left w:val="nil"/>
              <w:bottom w:val="single" w:sz="8" w:space="0" w:color="000000" w:themeColor="text1"/>
              <w:right w:val="nil"/>
            </w:tcBorders>
            <w:noWrap/>
            <w:vAlign w:val="bottom"/>
          </w:tcPr>
          <w:p w:rsidR="00314A00" w:rsidRDefault="00B456B2">
            <w:pPr>
              <w:widowControl/>
              <w:jc w:val="right"/>
              <w:textAlignment w:val="bottom"/>
              <w:rPr>
                <w:rFonts w:ascii="宋体" w:eastAsia="宋体" w:hAnsi="宋体"/>
                <w:color w:val="000000"/>
                <w:sz w:val="18"/>
                <w:szCs w:val="18"/>
                <w:lang/>
              </w:rPr>
            </w:pPr>
            <w:r>
              <w:rPr>
                <w:rFonts w:ascii="方正仿宋_GB2312" w:eastAsia="方正仿宋_GB2312" w:hAnsi="方正仿宋_GB2312" w:cs="方正仿宋_GB2312" w:hint="eastAsia"/>
                <w:color w:val="000000"/>
                <w:sz w:val="18"/>
                <w:szCs w:val="18"/>
                <w:lang/>
              </w:rPr>
              <w:t>金额</w:t>
            </w:r>
            <w:r w:rsidR="007F5941">
              <w:rPr>
                <w:rFonts w:ascii="方正仿宋_GB2312" w:eastAsia="方正仿宋_GB2312" w:hAnsi="方正仿宋_GB2312" w:cs="方正仿宋_GB2312" w:hint="eastAsia"/>
                <w:color w:val="000000"/>
                <w:sz w:val="18"/>
                <w:szCs w:val="18"/>
                <w:lang/>
              </w:rPr>
              <w:t>部门</w:t>
            </w:r>
            <w:r>
              <w:rPr>
                <w:rFonts w:ascii="方正仿宋_GB2312" w:eastAsia="方正仿宋_GB2312" w:hAnsi="方正仿宋_GB2312" w:cs="方正仿宋_GB2312" w:hint="eastAsia"/>
                <w:color w:val="000000"/>
                <w:sz w:val="18"/>
                <w:szCs w:val="18"/>
                <w:lang/>
              </w:rPr>
              <w:t>：万元</w:t>
            </w:r>
          </w:p>
        </w:tc>
      </w:tr>
      <w:tr w:rsidR="00314A00">
        <w:trPr>
          <w:trHeight w:val="431"/>
        </w:trPr>
        <w:tc>
          <w:tcPr>
            <w:tcW w:w="2506" w:type="pct"/>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预算数</w:t>
            </w:r>
          </w:p>
        </w:tc>
        <w:tc>
          <w:tcPr>
            <w:tcW w:w="2493" w:type="pct"/>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决算数</w:t>
            </w:r>
          </w:p>
        </w:tc>
      </w:tr>
      <w:tr w:rsidR="00314A00">
        <w:trPr>
          <w:trHeight w:val="431"/>
        </w:trPr>
        <w:tc>
          <w:tcPr>
            <w:tcW w:w="425"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合计</w:t>
            </w:r>
          </w:p>
        </w:tc>
        <w:tc>
          <w:tcPr>
            <w:tcW w:w="528"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因公出国（境）费</w:t>
            </w:r>
          </w:p>
        </w:tc>
        <w:tc>
          <w:tcPr>
            <w:tcW w:w="1217" w:type="pct"/>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公务用车购置及运行维护费</w:t>
            </w:r>
          </w:p>
        </w:tc>
        <w:tc>
          <w:tcPr>
            <w:tcW w:w="335"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公务接待费</w:t>
            </w:r>
          </w:p>
        </w:tc>
        <w:tc>
          <w:tcPr>
            <w:tcW w:w="366"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合计</w:t>
            </w:r>
          </w:p>
        </w:tc>
        <w:tc>
          <w:tcPr>
            <w:tcW w:w="488"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因公出国（境）费</w:t>
            </w:r>
          </w:p>
        </w:tc>
        <w:tc>
          <w:tcPr>
            <w:tcW w:w="1126" w:type="pct"/>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公务用车购置及运行维护费</w:t>
            </w:r>
          </w:p>
        </w:tc>
        <w:tc>
          <w:tcPr>
            <w:tcW w:w="511"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公务接待费</w:t>
            </w:r>
          </w:p>
        </w:tc>
      </w:tr>
      <w:tr w:rsidR="00314A00">
        <w:trPr>
          <w:trHeight w:val="431"/>
        </w:trPr>
        <w:tc>
          <w:tcPr>
            <w:tcW w:w="425"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18"/>
                <w:szCs w:val="18"/>
              </w:rPr>
            </w:pPr>
          </w:p>
        </w:tc>
        <w:tc>
          <w:tcPr>
            <w:tcW w:w="528"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18"/>
                <w:szCs w:val="18"/>
              </w:rPr>
            </w:pPr>
          </w:p>
        </w:tc>
        <w:tc>
          <w:tcPr>
            <w:tcW w:w="35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小计</w:t>
            </w:r>
          </w:p>
        </w:tc>
        <w:tc>
          <w:tcPr>
            <w:tcW w:w="40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公务用车购置费</w:t>
            </w:r>
          </w:p>
        </w:tc>
        <w:tc>
          <w:tcPr>
            <w:tcW w:w="458"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公务用车运行维护费</w:t>
            </w:r>
          </w:p>
        </w:tc>
        <w:tc>
          <w:tcPr>
            <w:tcW w:w="335"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18"/>
                <w:szCs w:val="18"/>
              </w:rPr>
            </w:pPr>
          </w:p>
        </w:tc>
        <w:tc>
          <w:tcPr>
            <w:tcW w:w="366"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18"/>
                <w:szCs w:val="18"/>
              </w:rPr>
            </w:pPr>
          </w:p>
        </w:tc>
        <w:tc>
          <w:tcPr>
            <w:tcW w:w="488"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18"/>
                <w:szCs w:val="18"/>
              </w:rPr>
            </w:pPr>
          </w:p>
        </w:tc>
        <w:tc>
          <w:tcPr>
            <w:tcW w:w="27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小计</w:t>
            </w:r>
          </w:p>
        </w:tc>
        <w:tc>
          <w:tcPr>
            <w:tcW w:w="44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公务用车购置费</w:t>
            </w:r>
          </w:p>
        </w:tc>
        <w:tc>
          <w:tcPr>
            <w:tcW w:w="40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方正仿宋_GB2312" w:eastAsia="方正仿宋_GB2312" w:hAnsi="方正仿宋_GB2312" w:cs="方正仿宋_GB2312"/>
                <w:color w:val="000000"/>
                <w:sz w:val="18"/>
                <w:szCs w:val="18"/>
              </w:rPr>
            </w:pPr>
            <w:r>
              <w:rPr>
                <w:rFonts w:ascii="方正仿宋_GB2312" w:eastAsia="方正仿宋_GB2312" w:hAnsi="方正仿宋_GB2312" w:cs="方正仿宋_GB2312" w:hint="eastAsia"/>
                <w:color w:val="000000"/>
                <w:sz w:val="18"/>
                <w:szCs w:val="18"/>
                <w:lang/>
              </w:rPr>
              <w:t>公务用车运行维护费</w:t>
            </w:r>
          </w:p>
        </w:tc>
        <w:tc>
          <w:tcPr>
            <w:tcW w:w="511" w:type="pct"/>
            <w:vMerge/>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center"/>
              <w:rPr>
                <w:rFonts w:ascii="方正仿宋_GB2312" w:eastAsia="方正仿宋_GB2312" w:hAnsi="方正仿宋_GB2312" w:cs="方正仿宋_GB2312"/>
                <w:color w:val="000000"/>
                <w:sz w:val="18"/>
                <w:szCs w:val="18"/>
              </w:rPr>
            </w:pPr>
          </w:p>
        </w:tc>
      </w:tr>
      <w:tr w:rsidR="00314A00">
        <w:trPr>
          <w:trHeight w:val="431"/>
        </w:trPr>
        <w:tc>
          <w:tcPr>
            <w:tcW w:w="42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18"/>
                <w:szCs w:val="18"/>
              </w:rPr>
            </w:pPr>
            <w:r>
              <w:rPr>
                <w:rFonts w:ascii="Times New Roman" w:eastAsia="方正仿宋_GB2312" w:hAnsi="Times New Roman" w:cs="Times New Roman"/>
                <w:color w:val="000000"/>
                <w:sz w:val="18"/>
                <w:szCs w:val="18"/>
                <w:lang/>
              </w:rPr>
              <w:t>1</w:t>
            </w:r>
          </w:p>
        </w:tc>
        <w:tc>
          <w:tcPr>
            <w:tcW w:w="528"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18"/>
                <w:szCs w:val="18"/>
              </w:rPr>
            </w:pPr>
            <w:r>
              <w:rPr>
                <w:rFonts w:ascii="Times New Roman" w:eastAsia="方正仿宋_GB2312" w:hAnsi="Times New Roman" w:cs="Times New Roman"/>
                <w:color w:val="000000"/>
                <w:sz w:val="18"/>
                <w:szCs w:val="18"/>
                <w:lang/>
              </w:rPr>
              <w:t>2</w:t>
            </w:r>
          </w:p>
        </w:tc>
        <w:tc>
          <w:tcPr>
            <w:tcW w:w="35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18"/>
                <w:szCs w:val="18"/>
              </w:rPr>
            </w:pPr>
            <w:r>
              <w:rPr>
                <w:rFonts w:ascii="Times New Roman" w:eastAsia="方正仿宋_GB2312" w:hAnsi="Times New Roman" w:cs="Times New Roman"/>
                <w:color w:val="000000"/>
                <w:sz w:val="18"/>
                <w:szCs w:val="18"/>
                <w:lang/>
              </w:rPr>
              <w:t>3</w:t>
            </w:r>
          </w:p>
        </w:tc>
        <w:tc>
          <w:tcPr>
            <w:tcW w:w="40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18"/>
                <w:szCs w:val="18"/>
              </w:rPr>
            </w:pPr>
            <w:r>
              <w:rPr>
                <w:rFonts w:ascii="Times New Roman" w:eastAsia="方正仿宋_GB2312" w:hAnsi="Times New Roman" w:cs="Times New Roman"/>
                <w:color w:val="000000"/>
                <w:sz w:val="18"/>
                <w:szCs w:val="18"/>
                <w:lang/>
              </w:rPr>
              <w:t>4</w:t>
            </w:r>
          </w:p>
        </w:tc>
        <w:tc>
          <w:tcPr>
            <w:tcW w:w="458"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18"/>
                <w:szCs w:val="18"/>
              </w:rPr>
            </w:pPr>
            <w:r>
              <w:rPr>
                <w:rFonts w:ascii="Times New Roman" w:eastAsia="方正仿宋_GB2312" w:hAnsi="Times New Roman" w:cs="Times New Roman"/>
                <w:color w:val="000000"/>
                <w:sz w:val="18"/>
                <w:szCs w:val="18"/>
                <w:lang/>
              </w:rPr>
              <w:t>5</w:t>
            </w:r>
          </w:p>
        </w:tc>
        <w:tc>
          <w:tcPr>
            <w:tcW w:w="3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18"/>
                <w:szCs w:val="18"/>
              </w:rPr>
            </w:pPr>
            <w:r>
              <w:rPr>
                <w:rFonts w:ascii="Times New Roman" w:eastAsia="方正仿宋_GB2312" w:hAnsi="Times New Roman" w:cs="Times New Roman"/>
                <w:color w:val="000000"/>
                <w:sz w:val="18"/>
                <w:szCs w:val="18"/>
                <w:lang/>
              </w:rPr>
              <w:t>6</w:t>
            </w:r>
          </w:p>
        </w:tc>
        <w:tc>
          <w:tcPr>
            <w:tcW w:w="3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18"/>
                <w:szCs w:val="18"/>
              </w:rPr>
            </w:pPr>
            <w:r>
              <w:rPr>
                <w:rFonts w:ascii="Times New Roman" w:eastAsia="方正仿宋_GB2312" w:hAnsi="Times New Roman" w:cs="Times New Roman"/>
                <w:color w:val="000000"/>
                <w:sz w:val="18"/>
                <w:szCs w:val="18"/>
                <w:lang/>
              </w:rPr>
              <w:t>7</w:t>
            </w:r>
          </w:p>
        </w:tc>
        <w:tc>
          <w:tcPr>
            <w:tcW w:w="488"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18"/>
                <w:szCs w:val="18"/>
              </w:rPr>
            </w:pPr>
            <w:r>
              <w:rPr>
                <w:rFonts w:ascii="Times New Roman" w:eastAsia="方正仿宋_GB2312" w:hAnsi="Times New Roman" w:cs="Times New Roman"/>
                <w:color w:val="000000"/>
                <w:sz w:val="18"/>
                <w:szCs w:val="18"/>
                <w:lang/>
              </w:rPr>
              <w:t>8</w:t>
            </w:r>
          </w:p>
        </w:tc>
        <w:tc>
          <w:tcPr>
            <w:tcW w:w="27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18"/>
                <w:szCs w:val="18"/>
              </w:rPr>
            </w:pPr>
            <w:r>
              <w:rPr>
                <w:rFonts w:ascii="Times New Roman" w:eastAsia="方正仿宋_GB2312" w:hAnsi="Times New Roman" w:cs="Times New Roman"/>
                <w:color w:val="000000"/>
                <w:sz w:val="18"/>
                <w:szCs w:val="18"/>
                <w:lang/>
              </w:rPr>
              <w:t>9</w:t>
            </w:r>
          </w:p>
        </w:tc>
        <w:tc>
          <w:tcPr>
            <w:tcW w:w="44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18"/>
                <w:szCs w:val="18"/>
              </w:rPr>
            </w:pPr>
            <w:r>
              <w:rPr>
                <w:rFonts w:ascii="Times New Roman" w:eastAsia="方正仿宋_GB2312" w:hAnsi="Times New Roman" w:cs="Times New Roman"/>
                <w:color w:val="000000"/>
                <w:sz w:val="18"/>
                <w:szCs w:val="18"/>
                <w:lang/>
              </w:rPr>
              <w:t>10</w:t>
            </w:r>
          </w:p>
        </w:tc>
        <w:tc>
          <w:tcPr>
            <w:tcW w:w="40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18"/>
                <w:szCs w:val="18"/>
              </w:rPr>
            </w:pPr>
            <w:r>
              <w:rPr>
                <w:rFonts w:ascii="Times New Roman" w:eastAsia="方正仿宋_GB2312" w:hAnsi="Times New Roman" w:cs="Times New Roman"/>
                <w:color w:val="000000"/>
                <w:sz w:val="18"/>
                <w:szCs w:val="18"/>
                <w:lang/>
              </w:rPr>
              <w:t>11</w:t>
            </w:r>
          </w:p>
        </w:tc>
        <w:tc>
          <w:tcPr>
            <w:tcW w:w="511"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widowControl/>
              <w:jc w:val="center"/>
              <w:textAlignment w:val="center"/>
              <w:rPr>
                <w:rFonts w:ascii="Times New Roman" w:eastAsia="方正仿宋_GB2312" w:hAnsi="Times New Roman" w:cs="Times New Roman"/>
                <w:color w:val="000000"/>
                <w:sz w:val="18"/>
                <w:szCs w:val="18"/>
              </w:rPr>
            </w:pPr>
            <w:r>
              <w:rPr>
                <w:rFonts w:ascii="Times New Roman" w:eastAsia="方正仿宋_GB2312" w:hAnsi="Times New Roman" w:cs="Times New Roman"/>
                <w:color w:val="000000"/>
                <w:sz w:val="18"/>
                <w:szCs w:val="18"/>
                <w:lang/>
              </w:rPr>
              <w:t>12</w:t>
            </w:r>
          </w:p>
        </w:tc>
      </w:tr>
      <w:tr w:rsidR="00314A00">
        <w:trPr>
          <w:trHeight w:val="431"/>
        </w:trPr>
        <w:tc>
          <w:tcPr>
            <w:tcW w:w="42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方正仿宋_GB2312" w:hAnsi="Times New Roman" w:cs="Times New Roman"/>
                <w:color w:val="000000"/>
                <w:sz w:val="18"/>
                <w:szCs w:val="18"/>
              </w:rPr>
            </w:pPr>
            <w:r>
              <w:rPr>
                <w:rFonts w:ascii="Times New Roman" w:eastAsia="方正仿宋_GB2312" w:hAnsi="Times New Roman" w:cs="Times New Roman"/>
                <w:color w:val="000000"/>
                <w:sz w:val="18"/>
                <w:szCs w:val="18"/>
              </w:rPr>
              <w:t>21.00</w:t>
            </w:r>
          </w:p>
        </w:tc>
        <w:tc>
          <w:tcPr>
            <w:tcW w:w="528"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方正仿宋_GB2312" w:hAnsi="Times New Roman" w:cs="Times New Roman"/>
                <w:color w:val="000000"/>
                <w:sz w:val="18"/>
                <w:szCs w:val="18"/>
              </w:rPr>
            </w:pPr>
          </w:p>
        </w:tc>
        <w:tc>
          <w:tcPr>
            <w:tcW w:w="350"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方正仿宋_GB2312" w:hAnsi="Times New Roman" w:cs="Times New Roman"/>
                <w:color w:val="000000"/>
                <w:sz w:val="18"/>
                <w:szCs w:val="18"/>
              </w:rPr>
            </w:pPr>
            <w:r>
              <w:rPr>
                <w:rFonts w:ascii="Times New Roman" w:eastAsia="方正仿宋_GB2312" w:hAnsi="Times New Roman" w:cs="Times New Roman"/>
                <w:color w:val="000000"/>
                <w:sz w:val="18"/>
                <w:szCs w:val="18"/>
              </w:rPr>
              <w:t>21.00</w:t>
            </w:r>
          </w:p>
        </w:tc>
        <w:tc>
          <w:tcPr>
            <w:tcW w:w="40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方正仿宋_GB2312" w:hAnsi="Times New Roman" w:cs="Times New Roman"/>
                <w:color w:val="000000"/>
                <w:sz w:val="18"/>
                <w:szCs w:val="18"/>
              </w:rPr>
            </w:pPr>
          </w:p>
        </w:tc>
        <w:tc>
          <w:tcPr>
            <w:tcW w:w="458"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方正仿宋_GB2312" w:hAnsi="Times New Roman" w:cs="Times New Roman"/>
                <w:color w:val="000000"/>
                <w:sz w:val="18"/>
                <w:szCs w:val="18"/>
              </w:rPr>
            </w:pPr>
            <w:r>
              <w:rPr>
                <w:rFonts w:ascii="Times New Roman" w:eastAsia="方正仿宋_GB2312" w:hAnsi="Times New Roman" w:cs="Times New Roman"/>
                <w:color w:val="000000"/>
                <w:sz w:val="18"/>
                <w:szCs w:val="18"/>
              </w:rPr>
              <w:t>21.00</w:t>
            </w:r>
          </w:p>
        </w:tc>
        <w:tc>
          <w:tcPr>
            <w:tcW w:w="33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方正仿宋_GB2312" w:hAnsi="Times New Roman" w:cs="Times New Roman"/>
                <w:color w:val="000000"/>
                <w:sz w:val="18"/>
                <w:szCs w:val="18"/>
              </w:rPr>
            </w:pPr>
          </w:p>
        </w:tc>
        <w:tc>
          <w:tcPr>
            <w:tcW w:w="366"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方正仿宋_GB2312" w:hAnsi="Times New Roman" w:cs="Times New Roman"/>
                <w:color w:val="000000"/>
                <w:sz w:val="18"/>
                <w:szCs w:val="18"/>
              </w:rPr>
            </w:pPr>
            <w:r>
              <w:rPr>
                <w:rFonts w:ascii="Times New Roman" w:eastAsia="方正仿宋_GB2312" w:hAnsi="Times New Roman" w:cs="Times New Roman"/>
                <w:color w:val="000000"/>
                <w:sz w:val="18"/>
                <w:szCs w:val="18"/>
              </w:rPr>
              <w:t>18.50</w:t>
            </w:r>
          </w:p>
        </w:tc>
        <w:tc>
          <w:tcPr>
            <w:tcW w:w="488"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方正仿宋_GB2312" w:hAnsi="Times New Roman" w:cs="Times New Roman"/>
                <w:color w:val="000000"/>
                <w:sz w:val="18"/>
                <w:szCs w:val="18"/>
              </w:rPr>
            </w:pPr>
          </w:p>
        </w:tc>
        <w:tc>
          <w:tcPr>
            <w:tcW w:w="275"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方正仿宋_GB2312" w:hAnsi="Times New Roman" w:cs="Times New Roman"/>
                <w:color w:val="000000"/>
                <w:sz w:val="18"/>
                <w:szCs w:val="18"/>
              </w:rPr>
            </w:pPr>
            <w:r>
              <w:rPr>
                <w:rFonts w:ascii="Times New Roman" w:eastAsia="方正仿宋_GB2312" w:hAnsi="Times New Roman" w:cs="Times New Roman"/>
                <w:color w:val="000000"/>
                <w:sz w:val="18"/>
                <w:szCs w:val="18"/>
              </w:rPr>
              <w:t>18.50</w:t>
            </w:r>
          </w:p>
        </w:tc>
        <w:tc>
          <w:tcPr>
            <w:tcW w:w="442"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方正仿宋_GB2312" w:hAnsi="Times New Roman" w:cs="Times New Roman"/>
                <w:color w:val="000000"/>
                <w:sz w:val="18"/>
                <w:szCs w:val="18"/>
              </w:rPr>
            </w:pPr>
          </w:p>
        </w:tc>
        <w:tc>
          <w:tcPr>
            <w:tcW w:w="407"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B456B2">
            <w:pPr>
              <w:jc w:val="right"/>
              <w:rPr>
                <w:rFonts w:ascii="Times New Roman" w:eastAsia="方正仿宋_GB2312" w:hAnsi="Times New Roman" w:cs="Times New Roman"/>
                <w:color w:val="000000"/>
                <w:sz w:val="18"/>
                <w:szCs w:val="18"/>
              </w:rPr>
            </w:pPr>
            <w:r>
              <w:rPr>
                <w:rFonts w:ascii="Times New Roman" w:eastAsia="方正仿宋_GB2312" w:hAnsi="Times New Roman" w:cs="Times New Roman"/>
                <w:color w:val="000000"/>
                <w:sz w:val="18"/>
                <w:szCs w:val="18"/>
              </w:rPr>
              <w:t>18.50</w:t>
            </w:r>
          </w:p>
        </w:tc>
        <w:tc>
          <w:tcPr>
            <w:tcW w:w="511" w:type="pct"/>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tcPr>
          <w:p w:rsidR="00314A00" w:rsidRDefault="00314A00">
            <w:pPr>
              <w:jc w:val="right"/>
              <w:rPr>
                <w:rFonts w:ascii="Times New Roman" w:eastAsia="方正仿宋_GB2312" w:hAnsi="Times New Roman" w:cs="Times New Roman"/>
                <w:color w:val="000000"/>
                <w:sz w:val="18"/>
                <w:szCs w:val="18"/>
              </w:rPr>
            </w:pPr>
          </w:p>
        </w:tc>
      </w:tr>
      <w:tr w:rsidR="00314A00">
        <w:trPr>
          <w:trHeight w:val="431"/>
        </w:trPr>
        <w:tc>
          <w:tcPr>
            <w:tcW w:w="5000" w:type="pct"/>
            <w:gridSpan w:val="13"/>
            <w:tcBorders>
              <w:top w:val="single" w:sz="8" w:space="0" w:color="000000" w:themeColor="text1"/>
              <w:left w:val="nil"/>
              <w:bottom w:val="nil"/>
              <w:right w:val="nil"/>
            </w:tcBorders>
            <w:noWrap/>
            <w:vAlign w:val="center"/>
          </w:tcPr>
          <w:p w:rsidR="00314A00" w:rsidRDefault="00B456B2">
            <w:pPr>
              <w:widowControl/>
              <w:jc w:val="left"/>
              <w:textAlignment w:val="center"/>
              <w:rPr>
                <w:rFonts w:ascii="宋体" w:eastAsia="宋体" w:hAnsi="宋体"/>
                <w:color w:val="000000"/>
                <w:sz w:val="18"/>
                <w:szCs w:val="18"/>
              </w:rPr>
            </w:pPr>
            <w:r>
              <w:rPr>
                <w:rFonts w:ascii="方正仿宋_GB2312" w:eastAsia="方正仿宋_GB2312" w:hAnsi="方正仿宋_GB2312" w:cs="方正仿宋_GB2312" w:hint="eastAsia"/>
                <w:color w:val="000000"/>
                <w:sz w:val="18"/>
                <w:szCs w:val="18"/>
                <w:lang/>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rsidR="00314A00" w:rsidRDefault="00314A00">
      <w:pPr>
        <w:rPr>
          <w:rFonts w:ascii="仿宋_GB2312" w:eastAsia="仿宋_GB2312" w:hAnsi="宋体"/>
          <w:b/>
          <w:sz w:val="32"/>
          <w:szCs w:val="32"/>
        </w:rPr>
      </w:pPr>
    </w:p>
    <w:p w:rsidR="00314A00" w:rsidRDefault="00B456B2">
      <w:pPr>
        <w:rPr>
          <w:rFonts w:ascii="仿宋_GB2312" w:eastAsia="仿宋_GB2312" w:hAnsi="宋体"/>
          <w:b/>
          <w:sz w:val="32"/>
          <w:szCs w:val="32"/>
        </w:rPr>
      </w:pPr>
      <w:r>
        <w:rPr>
          <w:rFonts w:ascii="仿宋_GB2312" w:eastAsia="仿宋_GB2312" w:hAnsi="宋体" w:hint="eastAsia"/>
          <w:b/>
          <w:sz w:val="32"/>
          <w:szCs w:val="32"/>
        </w:rPr>
        <w:br w:type="page"/>
      </w:r>
    </w:p>
    <w:p w:rsidR="00314A00" w:rsidRDefault="00314A00">
      <w:pPr>
        <w:rPr>
          <w:rFonts w:ascii="仿宋_GB2312" w:eastAsia="仿宋_GB2312" w:hAnsi="宋体"/>
          <w:b/>
          <w:sz w:val="32"/>
          <w:szCs w:val="32"/>
        </w:rPr>
        <w:sectPr w:rsidR="00314A00">
          <w:headerReference w:type="default" r:id="rId15"/>
          <w:footerReference w:type="default" r:id="rId16"/>
          <w:pgSz w:w="11906" w:h="16838"/>
          <w:pgMar w:top="1531" w:right="1984" w:bottom="1531" w:left="2098" w:header="851" w:footer="992" w:gutter="0"/>
          <w:cols w:space="720"/>
          <w:docGrid w:type="lines" w:linePitch="312"/>
        </w:sectPr>
      </w:pPr>
    </w:p>
    <w:p w:rsidR="00314A00" w:rsidRDefault="00314A00">
      <w:pPr>
        <w:pStyle w:val="a7"/>
        <w:widowControl/>
        <w:spacing w:beforeAutospacing="0" w:afterAutospacing="0"/>
        <w:jc w:val="both"/>
        <w:rPr>
          <w:rFonts w:ascii="黑体" w:eastAsia="黑体" w:hAnsi="宋体" w:cs="黑体"/>
          <w:color w:val="000000"/>
          <w:spacing w:val="-20"/>
          <w:sz w:val="72"/>
          <w:szCs w:val="72"/>
          <w:shd w:val="clear" w:color="auto" w:fill="FFFFFF"/>
        </w:rPr>
      </w:pPr>
    </w:p>
    <w:p w:rsidR="00314A00" w:rsidRDefault="00314A00">
      <w:pPr>
        <w:pStyle w:val="a7"/>
        <w:widowControl/>
        <w:spacing w:beforeAutospacing="0" w:afterAutospacing="0"/>
        <w:jc w:val="both"/>
        <w:rPr>
          <w:rFonts w:ascii="黑体" w:eastAsia="黑体" w:hAnsi="宋体" w:cs="黑体"/>
          <w:color w:val="000000"/>
          <w:spacing w:val="-20"/>
          <w:sz w:val="72"/>
          <w:szCs w:val="72"/>
          <w:shd w:val="clear" w:color="auto" w:fill="FFFFFF"/>
        </w:rPr>
      </w:pPr>
    </w:p>
    <w:p w:rsidR="00314A00" w:rsidRDefault="00314A00">
      <w:pPr>
        <w:pStyle w:val="a7"/>
        <w:widowControl/>
        <w:spacing w:beforeAutospacing="0" w:afterAutospacing="0"/>
        <w:jc w:val="both"/>
        <w:rPr>
          <w:rFonts w:ascii="黑体" w:eastAsia="黑体" w:hAnsi="宋体" w:cs="黑体"/>
          <w:color w:val="000000"/>
          <w:spacing w:val="-20"/>
          <w:sz w:val="72"/>
          <w:szCs w:val="72"/>
          <w:shd w:val="clear" w:color="auto" w:fill="FFFFFF"/>
        </w:rPr>
      </w:pPr>
    </w:p>
    <w:p w:rsidR="00314A00" w:rsidRDefault="00314A00">
      <w:pPr>
        <w:pStyle w:val="a7"/>
        <w:widowControl/>
        <w:spacing w:beforeAutospacing="0" w:afterAutospacing="0"/>
        <w:jc w:val="both"/>
        <w:rPr>
          <w:rFonts w:ascii="黑体" w:eastAsia="黑体" w:hAnsi="宋体" w:cs="黑体"/>
          <w:color w:val="000000"/>
          <w:spacing w:val="-20"/>
          <w:sz w:val="72"/>
          <w:szCs w:val="72"/>
          <w:shd w:val="clear" w:color="auto" w:fill="FFFFFF"/>
        </w:rPr>
      </w:pPr>
    </w:p>
    <w:p w:rsidR="00314A00" w:rsidRDefault="00314A00">
      <w:pPr>
        <w:pStyle w:val="a7"/>
        <w:widowControl/>
        <w:spacing w:beforeAutospacing="0" w:afterAutospacing="0"/>
        <w:jc w:val="both"/>
        <w:rPr>
          <w:rFonts w:ascii="黑体" w:eastAsia="黑体" w:hAnsi="宋体" w:cs="黑体"/>
          <w:color w:val="000000"/>
          <w:spacing w:val="-20"/>
          <w:sz w:val="72"/>
          <w:szCs w:val="72"/>
          <w:shd w:val="clear" w:color="auto" w:fill="FFFFFF"/>
        </w:rPr>
      </w:pPr>
    </w:p>
    <w:p w:rsidR="00314A00" w:rsidRDefault="00B456B2">
      <w:pPr>
        <w:widowControl/>
        <w:spacing w:line="360" w:lineRule="auto"/>
        <w:jc w:val="center"/>
        <w:outlineLvl w:val="0"/>
        <w:rPr>
          <w:rFonts w:ascii="Times New Roman" w:eastAsia="黑体"/>
          <w:sz w:val="44"/>
          <w:szCs w:val="44"/>
        </w:rPr>
      </w:pPr>
      <w:r>
        <w:rPr>
          <w:rFonts w:ascii="Times New Roman" w:eastAsia="黑体"/>
          <w:sz w:val="44"/>
          <w:szCs w:val="44"/>
        </w:rPr>
        <w:t>第三部分</w:t>
      </w:r>
      <w:r>
        <w:rPr>
          <w:rFonts w:ascii="Times New Roman" w:eastAsia="仿宋_GB2312"/>
          <w:sz w:val="44"/>
          <w:szCs w:val="44"/>
        </w:rPr>
        <w:t>2025</w:t>
      </w:r>
      <w:r>
        <w:rPr>
          <w:rFonts w:ascii="Times New Roman" w:eastAsia="黑体"/>
          <w:sz w:val="44"/>
          <w:szCs w:val="44"/>
        </w:rPr>
        <w:t>年度部门决算情况说明</w:t>
      </w:r>
    </w:p>
    <w:p w:rsidR="00314A00" w:rsidRDefault="00314A00">
      <w:pPr>
        <w:pStyle w:val="a7"/>
        <w:widowControl/>
        <w:spacing w:beforeAutospacing="0" w:afterAutospacing="0"/>
        <w:jc w:val="both"/>
        <w:outlineLvl w:val="1"/>
        <w:rPr>
          <w:rFonts w:ascii="黑体" w:eastAsia="黑体" w:hAnsi="Calibri"/>
          <w:kern w:val="2"/>
          <w:sz w:val="32"/>
          <w:szCs w:val="32"/>
        </w:rPr>
      </w:pPr>
    </w:p>
    <w:p w:rsidR="00314A00" w:rsidRDefault="00314A00">
      <w:pPr>
        <w:pStyle w:val="a7"/>
        <w:widowControl/>
        <w:spacing w:beforeAutospacing="0" w:afterAutospacing="0"/>
        <w:jc w:val="both"/>
        <w:outlineLvl w:val="1"/>
        <w:rPr>
          <w:rFonts w:ascii="黑体" w:eastAsia="黑体" w:hAnsi="Calibri"/>
          <w:kern w:val="2"/>
          <w:sz w:val="32"/>
          <w:szCs w:val="32"/>
        </w:rPr>
      </w:pPr>
    </w:p>
    <w:p w:rsidR="00314A00" w:rsidRDefault="00314A00">
      <w:pPr>
        <w:pStyle w:val="a7"/>
        <w:widowControl/>
        <w:spacing w:beforeAutospacing="0" w:afterAutospacing="0"/>
        <w:jc w:val="both"/>
        <w:outlineLvl w:val="1"/>
        <w:rPr>
          <w:rFonts w:ascii="黑体" w:eastAsia="黑体" w:hAnsi="Calibri"/>
          <w:kern w:val="2"/>
          <w:sz w:val="32"/>
          <w:szCs w:val="32"/>
        </w:rPr>
      </w:pPr>
    </w:p>
    <w:p w:rsidR="00314A00" w:rsidRDefault="00314A00">
      <w:pPr>
        <w:pStyle w:val="a7"/>
        <w:widowControl/>
        <w:spacing w:beforeAutospacing="0" w:afterAutospacing="0"/>
        <w:jc w:val="both"/>
        <w:outlineLvl w:val="1"/>
        <w:rPr>
          <w:rFonts w:ascii="黑体" w:eastAsia="黑体" w:hAnsi="Calibri"/>
          <w:kern w:val="2"/>
          <w:sz w:val="32"/>
          <w:szCs w:val="32"/>
        </w:rPr>
      </w:pPr>
    </w:p>
    <w:p w:rsidR="00314A00" w:rsidRDefault="00314A00">
      <w:pPr>
        <w:pStyle w:val="a7"/>
        <w:widowControl/>
        <w:spacing w:beforeAutospacing="0" w:afterAutospacing="0"/>
        <w:jc w:val="both"/>
        <w:outlineLvl w:val="1"/>
        <w:rPr>
          <w:rFonts w:ascii="黑体" w:eastAsia="黑体" w:hAnsi="Calibri"/>
          <w:kern w:val="2"/>
          <w:sz w:val="32"/>
          <w:szCs w:val="32"/>
        </w:rPr>
      </w:pPr>
    </w:p>
    <w:p w:rsidR="00314A00" w:rsidRDefault="00314A00">
      <w:pPr>
        <w:pStyle w:val="a7"/>
        <w:widowControl/>
        <w:spacing w:beforeAutospacing="0" w:afterAutospacing="0"/>
        <w:jc w:val="both"/>
        <w:outlineLvl w:val="1"/>
        <w:rPr>
          <w:rFonts w:ascii="黑体" w:eastAsia="黑体" w:hAnsi="Calibri"/>
          <w:kern w:val="2"/>
          <w:sz w:val="32"/>
          <w:szCs w:val="32"/>
        </w:rPr>
      </w:pPr>
    </w:p>
    <w:p w:rsidR="00314A00" w:rsidRDefault="00314A00">
      <w:pPr>
        <w:pStyle w:val="a7"/>
        <w:widowControl/>
        <w:spacing w:beforeAutospacing="0" w:afterAutospacing="0"/>
        <w:jc w:val="both"/>
        <w:outlineLvl w:val="1"/>
        <w:rPr>
          <w:rFonts w:ascii="黑体" w:eastAsia="黑体" w:hAnsi="Calibri"/>
          <w:kern w:val="2"/>
          <w:sz w:val="32"/>
          <w:szCs w:val="32"/>
        </w:rPr>
      </w:pPr>
    </w:p>
    <w:p w:rsidR="00314A00" w:rsidRDefault="00314A00">
      <w:pPr>
        <w:pStyle w:val="a7"/>
        <w:widowControl/>
        <w:spacing w:beforeAutospacing="0" w:afterAutospacing="0"/>
        <w:jc w:val="both"/>
        <w:outlineLvl w:val="1"/>
        <w:rPr>
          <w:rFonts w:ascii="黑体" w:eastAsia="黑体" w:hAnsi="Calibri"/>
          <w:kern w:val="2"/>
          <w:sz w:val="32"/>
          <w:szCs w:val="32"/>
        </w:rPr>
      </w:pPr>
    </w:p>
    <w:p w:rsidR="00314A00" w:rsidRDefault="00314A00">
      <w:pPr>
        <w:pStyle w:val="a7"/>
        <w:widowControl/>
        <w:spacing w:beforeAutospacing="0" w:afterAutospacing="0"/>
        <w:jc w:val="both"/>
        <w:outlineLvl w:val="1"/>
        <w:rPr>
          <w:rFonts w:ascii="黑体" w:eastAsia="黑体" w:hAnsi="Calibri"/>
          <w:kern w:val="2"/>
          <w:sz w:val="32"/>
          <w:szCs w:val="32"/>
        </w:rPr>
      </w:pPr>
    </w:p>
    <w:p w:rsidR="00314A00" w:rsidRDefault="00314A00">
      <w:pPr>
        <w:pStyle w:val="a7"/>
        <w:widowControl/>
        <w:spacing w:beforeAutospacing="0" w:afterAutospacing="0"/>
        <w:jc w:val="both"/>
        <w:outlineLvl w:val="1"/>
        <w:rPr>
          <w:rFonts w:ascii="黑体" w:eastAsia="黑体" w:hAnsi="Calibri"/>
          <w:kern w:val="2"/>
          <w:sz w:val="32"/>
          <w:szCs w:val="32"/>
        </w:rPr>
        <w:sectPr w:rsidR="00314A00">
          <w:footerReference w:type="default" r:id="rId17"/>
          <w:pgSz w:w="11906" w:h="16838"/>
          <w:pgMar w:top="2098" w:right="1417" w:bottom="1871" w:left="1417" w:header="851" w:footer="992" w:gutter="0"/>
          <w:cols w:space="0"/>
          <w:docGrid w:type="lines" w:linePitch="329"/>
        </w:sectPr>
      </w:pPr>
    </w:p>
    <w:p w:rsidR="00314A00" w:rsidRDefault="00B456B2">
      <w:pPr>
        <w:widowControl/>
        <w:spacing w:line="360" w:lineRule="auto"/>
        <w:jc w:val="left"/>
        <w:outlineLvl w:val="1"/>
        <w:rPr>
          <w:rFonts w:ascii="Times New Roman" w:eastAsia="黑体"/>
          <w:sz w:val="32"/>
          <w:szCs w:val="32"/>
        </w:rPr>
      </w:pPr>
      <w:r>
        <w:rPr>
          <w:rFonts w:ascii="Times New Roman" w:eastAsia="黑体"/>
          <w:sz w:val="32"/>
          <w:szCs w:val="32"/>
        </w:rPr>
        <w:lastRenderedPageBreak/>
        <w:t>一、收入支出决算总体情况说明</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本部门</w:t>
      </w:r>
      <w:r>
        <w:rPr>
          <w:rFonts w:ascii="Times New Roman" w:eastAsia="仿宋_GB2312"/>
          <w:sz w:val="32"/>
          <w:szCs w:val="32"/>
        </w:rPr>
        <w:t>2025</w:t>
      </w:r>
      <w:r>
        <w:rPr>
          <w:rFonts w:ascii="Times New Roman" w:eastAsia="仿宋_GB2312"/>
          <w:sz w:val="32"/>
          <w:szCs w:val="32"/>
        </w:rPr>
        <w:t>年度收、支总计（含结转和结余）均为</w:t>
      </w:r>
      <w:r>
        <w:rPr>
          <w:rFonts w:ascii="Times New Roman" w:eastAsia="仿宋_GB2312"/>
          <w:sz w:val="32"/>
          <w:szCs w:val="32"/>
        </w:rPr>
        <w:t>1,132.62</w:t>
      </w:r>
      <w:r>
        <w:rPr>
          <w:rFonts w:ascii="Times New Roman" w:eastAsia="仿宋_GB2312"/>
          <w:sz w:val="32"/>
          <w:szCs w:val="32"/>
        </w:rPr>
        <w:t>万元。与</w:t>
      </w:r>
      <w:r>
        <w:rPr>
          <w:rFonts w:ascii="Times New Roman" w:eastAsia="仿宋_GB2312"/>
          <w:sz w:val="32"/>
          <w:szCs w:val="32"/>
        </w:rPr>
        <w:t>2024</w:t>
      </w:r>
      <w:r>
        <w:rPr>
          <w:rFonts w:ascii="Times New Roman" w:eastAsia="仿宋_GB2312"/>
          <w:sz w:val="32"/>
          <w:szCs w:val="32"/>
        </w:rPr>
        <w:t>年度决算相比，收支各增加</w:t>
      </w:r>
      <w:r>
        <w:rPr>
          <w:rFonts w:ascii="Times New Roman" w:eastAsia="仿宋_GB2312"/>
          <w:sz w:val="32"/>
          <w:szCs w:val="32"/>
        </w:rPr>
        <w:t>370.26</w:t>
      </w:r>
      <w:r>
        <w:rPr>
          <w:rFonts w:ascii="Times New Roman" w:eastAsia="仿宋_GB2312"/>
          <w:sz w:val="32"/>
          <w:szCs w:val="32"/>
        </w:rPr>
        <w:t>万元，增长</w:t>
      </w:r>
      <w:r>
        <w:rPr>
          <w:rFonts w:ascii="Times New Roman" w:eastAsia="仿宋_GB2312"/>
          <w:sz w:val="32"/>
          <w:szCs w:val="32"/>
        </w:rPr>
        <w:t>48.6%</w:t>
      </w:r>
      <w:r>
        <w:rPr>
          <w:rFonts w:ascii="Times New Roman" w:eastAsia="仿宋_GB2312"/>
          <w:sz w:val="32"/>
          <w:szCs w:val="32"/>
        </w:rPr>
        <w:t>，主要原因是。</w:t>
      </w:r>
    </w:p>
    <w:p w:rsidR="00314A00" w:rsidRDefault="00B456B2">
      <w:pPr>
        <w:pStyle w:val="a7"/>
        <w:widowControl/>
        <w:spacing w:beforeAutospacing="0" w:afterAutospacing="0"/>
        <w:jc w:val="center"/>
        <w:rPr>
          <w:rFonts w:ascii="Times New Roman" w:eastAsia="Arial" w:hAnsi="Times New Roman"/>
        </w:rPr>
      </w:pPr>
      <w:r>
        <w:rPr>
          <w:rFonts w:ascii="Times New Roman" w:eastAsia="宋体" w:hAnsi="Times New Roman" w:hint="eastAsia"/>
          <w:noProof/>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Pr>
          <w:rFonts w:ascii="Times New Roman" w:eastAsia="Arial" w:hAnsi="Times New Roman"/>
          <w:color w:val="000000"/>
          <w:sz w:val="18"/>
          <w:szCs w:val="18"/>
          <w:shd w:val="clear" w:color="auto" w:fill="FFFFFF"/>
        </w:rPr>
        <w:t> </w:t>
      </w:r>
    </w:p>
    <w:p w:rsidR="00314A00" w:rsidRDefault="00B456B2">
      <w:pPr>
        <w:widowControl/>
        <w:spacing w:line="360" w:lineRule="auto"/>
        <w:jc w:val="left"/>
        <w:outlineLvl w:val="1"/>
        <w:rPr>
          <w:rFonts w:ascii="Times New Roman" w:eastAsia="黑体"/>
          <w:sz w:val="32"/>
          <w:szCs w:val="32"/>
        </w:rPr>
      </w:pPr>
      <w:r>
        <w:rPr>
          <w:rFonts w:ascii="Times New Roman" w:eastAsia="黑体"/>
          <w:sz w:val="32"/>
          <w:szCs w:val="32"/>
        </w:rPr>
        <w:t>二、收入决算情况说明</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本部门</w:t>
      </w:r>
      <w:r>
        <w:rPr>
          <w:rFonts w:ascii="Times New Roman" w:eastAsia="仿宋_GB2312"/>
          <w:sz w:val="32"/>
          <w:szCs w:val="32"/>
        </w:rPr>
        <w:t>2025</w:t>
      </w:r>
      <w:r>
        <w:rPr>
          <w:rFonts w:ascii="Times New Roman" w:eastAsia="仿宋_GB2312"/>
          <w:sz w:val="32"/>
          <w:szCs w:val="32"/>
        </w:rPr>
        <w:t>年度本年收入合计</w:t>
      </w:r>
      <w:r>
        <w:rPr>
          <w:rFonts w:ascii="Times New Roman" w:eastAsia="仿宋_GB2312"/>
          <w:sz w:val="32"/>
          <w:szCs w:val="32"/>
        </w:rPr>
        <w:t>1,132.62</w:t>
      </w:r>
      <w:r>
        <w:rPr>
          <w:rFonts w:ascii="Times New Roman" w:eastAsia="仿宋_GB2312"/>
          <w:sz w:val="32"/>
          <w:szCs w:val="32"/>
        </w:rPr>
        <w:t>万元，其中：财政拨款收入</w:t>
      </w:r>
      <w:r>
        <w:rPr>
          <w:rFonts w:ascii="Times New Roman" w:eastAsia="仿宋_GB2312"/>
          <w:sz w:val="32"/>
          <w:szCs w:val="32"/>
        </w:rPr>
        <w:t>1,132.62</w:t>
      </w:r>
      <w:r>
        <w:rPr>
          <w:rFonts w:ascii="Times New Roman" w:eastAsia="仿宋_GB2312"/>
          <w:sz w:val="32"/>
          <w:szCs w:val="32"/>
        </w:rPr>
        <w:t>万元，占</w:t>
      </w:r>
      <w:r>
        <w:rPr>
          <w:rFonts w:ascii="Times New Roman" w:eastAsia="仿宋_GB2312"/>
          <w:sz w:val="32"/>
          <w:szCs w:val="32"/>
        </w:rPr>
        <w:t>100.0%</w:t>
      </w:r>
      <w:r>
        <w:rPr>
          <w:rFonts w:ascii="Times New Roman" w:eastAsia="仿宋_GB2312"/>
          <w:sz w:val="32"/>
          <w:szCs w:val="32"/>
        </w:rPr>
        <w:t>；上级补助收入</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；事业收入</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；经营收入</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；附属</w:t>
      </w:r>
      <w:r w:rsidR="007F5941">
        <w:rPr>
          <w:rFonts w:ascii="宋体" w:eastAsia="宋体" w:hAnsi="宋体" w:hint="eastAsia"/>
          <w:sz w:val="32"/>
          <w:szCs w:val="32"/>
        </w:rPr>
        <w:t>部门</w:t>
      </w:r>
      <w:r>
        <w:rPr>
          <w:rFonts w:ascii="Times New Roman" w:eastAsia="仿宋_GB2312"/>
          <w:sz w:val="32"/>
          <w:szCs w:val="32"/>
        </w:rPr>
        <w:t>上缴收入</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；其他收入</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w:t>
      </w:r>
    </w:p>
    <w:p w:rsidR="00314A00" w:rsidRDefault="00B456B2">
      <w:pPr>
        <w:adjustRightInd w:val="0"/>
        <w:snapToGrid w:val="0"/>
        <w:spacing w:line="580" w:lineRule="exact"/>
        <w:rPr>
          <w:rFonts w:ascii="Times New Roman" w:eastAsia="仿宋_GB2312" w:hAnsi="Times New Roman" w:cs="Times New Roman"/>
          <w:kern w:val="2"/>
          <w:sz w:val="32"/>
          <w:szCs w:val="32"/>
          <w:highlight w:val="yellow"/>
          <w:lang w:val="zh-CN"/>
        </w:rPr>
      </w:pPr>
      <w:r>
        <w:rPr>
          <w:rFonts w:ascii="Times New Roman" w:eastAsia="仿宋_GB2312" w:hAnsi="Times New Roman"/>
          <w:noProof/>
          <w:kern w:val="2"/>
          <w:sz w:val="32"/>
          <w:szCs w:val="32"/>
          <w:highlight w:val="yellow"/>
        </w:rPr>
        <w:lastRenderedPageBreak/>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rsidR="00314A00" w:rsidRDefault="00B456B2">
      <w:pPr>
        <w:widowControl/>
        <w:spacing w:line="360" w:lineRule="auto"/>
        <w:jc w:val="left"/>
        <w:outlineLvl w:val="1"/>
        <w:rPr>
          <w:rFonts w:ascii="Times New Roman" w:eastAsia="黑体"/>
          <w:sz w:val="32"/>
          <w:szCs w:val="32"/>
        </w:rPr>
      </w:pPr>
      <w:r>
        <w:rPr>
          <w:rFonts w:ascii="Times New Roman" w:eastAsia="黑体"/>
          <w:sz w:val="32"/>
          <w:szCs w:val="32"/>
        </w:rPr>
        <w:t>三、支出决算情况说明</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本部门</w:t>
      </w:r>
      <w:r>
        <w:rPr>
          <w:rFonts w:ascii="Times New Roman" w:eastAsia="仿宋_GB2312"/>
          <w:sz w:val="32"/>
          <w:szCs w:val="32"/>
        </w:rPr>
        <w:t>2025</w:t>
      </w:r>
      <w:r>
        <w:rPr>
          <w:rFonts w:ascii="Times New Roman" w:eastAsia="仿宋_GB2312"/>
          <w:sz w:val="32"/>
          <w:szCs w:val="32"/>
        </w:rPr>
        <w:t>年度本年支出合计</w:t>
      </w:r>
      <w:r>
        <w:rPr>
          <w:rFonts w:ascii="Times New Roman" w:eastAsia="仿宋_GB2312"/>
          <w:sz w:val="32"/>
          <w:szCs w:val="32"/>
        </w:rPr>
        <w:t>1,132.62</w:t>
      </w:r>
      <w:r>
        <w:rPr>
          <w:rFonts w:ascii="Times New Roman" w:eastAsia="仿宋_GB2312"/>
          <w:sz w:val="32"/>
          <w:szCs w:val="32"/>
        </w:rPr>
        <w:t>万元，其中：基本支出</w:t>
      </w:r>
      <w:r>
        <w:rPr>
          <w:rFonts w:ascii="Times New Roman" w:eastAsia="仿宋_GB2312"/>
          <w:sz w:val="32"/>
          <w:szCs w:val="32"/>
        </w:rPr>
        <w:t>978.49</w:t>
      </w:r>
      <w:r>
        <w:rPr>
          <w:rFonts w:ascii="Times New Roman" w:eastAsia="仿宋_GB2312"/>
          <w:sz w:val="32"/>
          <w:szCs w:val="32"/>
        </w:rPr>
        <w:t>万元，占</w:t>
      </w:r>
      <w:r>
        <w:rPr>
          <w:rFonts w:ascii="Times New Roman" w:eastAsia="仿宋_GB2312"/>
          <w:sz w:val="32"/>
          <w:szCs w:val="32"/>
        </w:rPr>
        <w:t>86.4%</w:t>
      </w:r>
      <w:r>
        <w:rPr>
          <w:rFonts w:ascii="Times New Roman" w:eastAsia="仿宋_GB2312"/>
          <w:sz w:val="32"/>
          <w:szCs w:val="32"/>
        </w:rPr>
        <w:t>；项目支出</w:t>
      </w:r>
      <w:r>
        <w:rPr>
          <w:rFonts w:ascii="Times New Roman" w:eastAsia="仿宋_GB2312"/>
          <w:sz w:val="32"/>
          <w:szCs w:val="32"/>
        </w:rPr>
        <w:t>154.13</w:t>
      </w:r>
      <w:r>
        <w:rPr>
          <w:rFonts w:ascii="Times New Roman" w:eastAsia="仿宋_GB2312"/>
          <w:sz w:val="32"/>
          <w:szCs w:val="32"/>
        </w:rPr>
        <w:t>万元，占</w:t>
      </w:r>
      <w:r>
        <w:rPr>
          <w:rFonts w:ascii="Times New Roman" w:eastAsia="仿宋_GB2312"/>
          <w:sz w:val="32"/>
          <w:szCs w:val="32"/>
        </w:rPr>
        <w:t>13.6%</w:t>
      </w:r>
      <w:r>
        <w:rPr>
          <w:rFonts w:ascii="Times New Roman" w:eastAsia="仿宋_GB2312"/>
          <w:sz w:val="32"/>
          <w:szCs w:val="32"/>
        </w:rPr>
        <w:t>；经营支出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；上缴上级支出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；对附属</w:t>
      </w:r>
      <w:r w:rsidR="007F5941">
        <w:rPr>
          <w:rFonts w:ascii="宋体" w:eastAsia="宋体" w:hAnsi="宋体" w:hint="eastAsia"/>
          <w:sz w:val="32"/>
          <w:szCs w:val="32"/>
        </w:rPr>
        <w:t>部门</w:t>
      </w:r>
      <w:r>
        <w:rPr>
          <w:rFonts w:ascii="Times New Roman" w:eastAsia="仿宋_GB2312"/>
          <w:sz w:val="32"/>
          <w:szCs w:val="32"/>
        </w:rPr>
        <w:t>补助支出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w:t>
      </w:r>
    </w:p>
    <w:p w:rsidR="00314A00" w:rsidRDefault="00B456B2">
      <w:pPr>
        <w:autoSpaceDE w:val="0"/>
        <w:autoSpaceDN w:val="0"/>
        <w:adjustRightInd w:val="0"/>
        <w:jc w:val="center"/>
        <w:rPr>
          <w:rFonts w:ascii="Times New Roman" w:eastAsia="仿宋_GB2312" w:hAnsi="Times New Roman" w:cs="Times New Roman"/>
          <w:sz w:val="32"/>
          <w:szCs w:val="32"/>
        </w:rPr>
      </w:pPr>
      <w:r>
        <w:rPr>
          <w:rFonts w:ascii="Times New Roman" w:eastAsia="仿宋_GB2312" w:hAnsi="Times New Roman" w:cs="Times New Roman"/>
          <w:noProof/>
          <w:sz w:val="32"/>
          <w:szCs w:val="32"/>
        </w:rPr>
        <w:lastRenderedPageBreak/>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314A00" w:rsidRDefault="00B456B2" w:rsidP="007F5941">
      <w:pPr>
        <w:widowControl/>
        <w:spacing w:line="360" w:lineRule="auto"/>
        <w:ind w:firstLineChars="200" w:firstLine="640"/>
        <w:jc w:val="left"/>
        <w:outlineLvl w:val="1"/>
        <w:rPr>
          <w:rFonts w:ascii="Times New Roman" w:eastAsia="黑体"/>
          <w:sz w:val="32"/>
          <w:szCs w:val="32"/>
        </w:rPr>
      </w:pPr>
      <w:r>
        <w:rPr>
          <w:rFonts w:ascii="Times New Roman" w:eastAsia="黑体"/>
          <w:sz w:val="32"/>
          <w:szCs w:val="32"/>
        </w:rPr>
        <w:t>四、财政拨款收入支出决算总体情况说明</w:t>
      </w:r>
    </w:p>
    <w:p w:rsidR="00314A00" w:rsidRDefault="00B456B2" w:rsidP="007F5941">
      <w:pPr>
        <w:widowControl/>
        <w:spacing w:line="360" w:lineRule="auto"/>
        <w:ind w:firstLineChars="200" w:firstLine="641"/>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本部门</w:t>
      </w:r>
      <w:r>
        <w:rPr>
          <w:rFonts w:ascii="Times New Roman" w:eastAsia="仿宋_GB2312"/>
          <w:sz w:val="32"/>
          <w:szCs w:val="32"/>
        </w:rPr>
        <w:t>2025</w:t>
      </w:r>
      <w:r>
        <w:rPr>
          <w:rFonts w:ascii="Times New Roman" w:eastAsia="仿宋_GB2312"/>
          <w:sz w:val="32"/>
          <w:szCs w:val="32"/>
        </w:rPr>
        <w:t>年度财政拨款收、支总计（含结转和结余）均为</w:t>
      </w:r>
      <w:r>
        <w:rPr>
          <w:rFonts w:ascii="Times New Roman" w:eastAsia="仿宋_GB2312"/>
          <w:sz w:val="32"/>
          <w:szCs w:val="32"/>
        </w:rPr>
        <w:t>1,132.62</w:t>
      </w:r>
      <w:r>
        <w:rPr>
          <w:rFonts w:ascii="Times New Roman" w:eastAsia="仿宋_GB2312"/>
          <w:sz w:val="32"/>
          <w:szCs w:val="32"/>
        </w:rPr>
        <w:t>万元。与</w:t>
      </w:r>
      <w:r>
        <w:rPr>
          <w:rFonts w:ascii="Times New Roman" w:eastAsia="仿宋_GB2312"/>
          <w:sz w:val="32"/>
          <w:szCs w:val="32"/>
        </w:rPr>
        <w:t>2024</w:t>
      </w:r>
      <w:r>
        <w:rPr>
          <w:rFonts w:ascii="Times New Roman" w:eastAsia="仿宋_GB2312"/>
          <w:sz w:val="32"/>
          <w:szCs w:val="32"/>
        </w:rPr>
        <w:t>年度相比，财政拨款收支各增加</w:t>
      </w:r>
      <w:r>
        <w:rPr>
          <w:rFonts w:ascii="Times New Roman" w:eastAsia="仿宋_GB2312"/>
          <w:sz w:val="32"/>
          <w:szCs w:val="32"/>
        </w:rPr>
        <w:t>370.26</w:t>
      </w:r>
      <w:r>
        <w:rPr>
          <w:rFonts w:ascii="Times New Roman" w:eastAsia="仿宋_GB2312"/>
          <w:sz w:val="32"/>
          <w:szCs w:val="32"/>
        </w:rPr>
        <w:t>万元，增长</w:t>
      </w:r>
      <w:r>
        <w:rPr>
          <w:rFonts w:ascii="Times New Roman" w:eastAsia="仿宋_GB2312"/>
          <w:sz w:val="32"/>
          <w:szCs w:val="32"/>
        </w:rPr>
        <w:t>48.6%</w:t>
      </w:r>
      <w:r>
        <w:rPr>
          <w:rFonts w:ascii="Times New Roman" w:eastAsia="仿宋_GB2312"/>
          <w:sz w:val="32"/>
          <w:szCs w:val="32"/>
        </w:rPr>
        <w:t>，主要原因是。</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本部门</w:t>
      </w:r>
      <w:r>
        <w:rPr>
          <w:rFonts w:ascii="Times New Roman" w:eastAsia="仿宋_GB2312"/>
          <w:sz w:val="32"/>
          <w:szCs w:val="32"/>
        </w:rPr>
        <w:t>2025</w:t>
      </w:r>
      <w:r>
        <w:rPr>
          <w:rFonts w:ascii="Times New Roman" w:eastAsia="仿宋_GB2312"/>
          <w:sz w:val="32"/>
          <w:szCs w:val="32"/>
        </w:rPr>
        <w:t>年度财政拨款本年收入</w:t>
      </w:r>
      <w:r>
        <w:rPr>
          <w:rFonts w:ascii="Times New Roman" w:eastAsia="仿宋_GB2312"/>
          <w:sz w:val="32"/>
          <w:szCs w:val="32"/>
        </w:rPr>
        <w:t>1,132.62</w:t>
      </w:r>
      <w:r>
        <w:rPr>
          <w:rFonts w:ascii="Times New Roman" w:eastAsia="仿宋_GB2312"/>
          <w:sz w:val="32"/>
          <w:szCs w:val="32"/>
        </w:rPr>
        <w:t>万元</w:t>
      </w:r>
      <w:r>
        <w:rPr>
          <w:rFonts w:ascii="Times New Roman" w:eastAsia="仿宋_GB2312"/>
          <w:sz w:val="32"/>
          <w:szCs w:val="32"/>
        </w:rPr>
        <w:t>,</w:t>
      </w:r>
      <w:r>
        <w:rPr>
          <w:rFonts w:ascii="Times New Roman" w:eastAsia="仿宋_GB2312"/>
          <w:sz w:val="32"/>
          <w:szCs w:val="32"/>
        </w:rPr>
        <w:t>比上年增加</w:t>
      </w:r>
      <w:r>
        <w:rPr>
          <w:rFonts w:ascii="Times New Roman" w:eastAsia="仿宋_GB2312"/>
          <w:sz w:val="32"/>
          <w:szCs w:val="32"/>
        </w:rPr>
        <w:t>370.45</w:t>
      </w:r>
      <w:r>
        <w:rPr>
          <w:rFonts w:ascii="Times New Roman" w:eastAsia="仿宋_GB2312"/>
          <w:sz w:val="32"/>
          <w:szCs w:val="32"/>
        </w:rPr>
        <w:t>万元，增长</w:t>
      </w:r>
      <w:r>
        <w:rPr>
          <w:rFonts w:ascii="Times New Roman" w:eastAsia="仿宋_GB2312"/>
          <w:sz w:val="32"/>
          <w:szCs w:val="32"/>
        </w:rPr>
        <w:t>48.6%</w:t>
      </w:r>
      <w:r>
        <w:rPr>
          <w:rFonts w:ascii="Times New Roman" w:eastAsia="仿宋_GB2312"/>
          <w:sz w:val="32"/>
          <w:szCs w:val="32"/>
        </w:rPr>
        <w:t>，主要原因是；本年支出</w:t>
      </w:r>
      <w:r>
        <w:rPr>
          <w:rFonts w:ascii="Times New Roman" w:eastAsia="仿宋_GB2312"/>
          <w:sz w:val="32"/>
          <w:szCs w:val="32"/>
        </w:rPr>
        <w:t>1,132.62</w:t>
      </w:r>
      <w:r>
        <w:rPr>
          <w:rFonts w:ascii="Times New Roman" w:eastAsia="仿宋_GB2312"/>
          <w:sz w:val="32"/>
          <w:szCs w:val="32"/>
        </w:rPr>
        <w:t>万元，比上年增加</w:t>
      </w:r>
      <w:r>
        <w:rPr>
          <w:rFonts w:ascii="Times New Roman" w:eastAsia="仿宋_GB2312"/>
          <w:sz w:val="32"/>
          <w:szCs w:val="32"/>
        </w:rPr>
        <w:t>370.26</w:t>
      </w:r>
      <w:r>
        <w:rPr>
          <w:rFonts w:ascii="Times New Roman" w:eastAsia="仿宋_GB2312"/>
          <w:sz w:val="32"/>
          <w:szCs w:val="32"/>
        </w:rPr>
        <w:t>万元，增长</w:t>
      </w:r>
      <w:r>
        <w:rPr>
          <w:rFonts w:ascii="Times New Roman" w:eastAsia="仿宋_GB2312"/>
          <w:sz w:val="32"/>
          <w:szCs w:val="32"/>
        </w:rPr>
        <w:t>48.6%</w:t>
      </w:r>
      <w:r>
        <w:rPr>
          <w:rFonts w:ascii="Times New Roman" w:eastAsia="仿宋_GB2312"/>
          <w:sz w:val="32"/>
          <w:szCs w:val="32"/>
        </w:rPr>
        <w:t>，主要原因是。具体情况如下：</w:t>
      </w:r>
    </w:p>
    <w:p w:rsidR="00314A00" w:rsidRDefault="00B456B2" w:rsidP="007F5941">
      <w:pPr>
        <w:widowControl/>
        <w:spacing w:line="360" w:lineRule="auto"/>
        <w:ind w:firstLineChars="200" w:firstLine="640"/>
        <w:jc w:val="left"/>
        <w:outlineLvl w:val="1"/>
        <w:rPr>
          <w:rFonts w:ascii="Times New Roman" w:eastAsia="仿宋_GB2312"/>
          <w:sz w:val="32"/>
          <w:szCs w:val="32"/>
        </w:rPr>
      </w:pPr>
      <w:r>
        <w:rPr>
          <w:rFonts w:ascii="Times New Roman" w:eastAsia="仿宋_GB2312"/>
          <w:sz w:val="32"/>
          <w:szCs w:val="32"/>
        </w:rPr>
        <w:t xml:space="preserve">1. </w:t>
      </w:r>
      <w:r>
        <w:rPr>
          <w:rFonts w:ascii="Times New Roman" w:eastAsia="仿宋_GB2312"/>
          <w:sz w:val="32"/>
          <w:szCs w:val="32"/>
        </w:rPr>
        <w:t>一般公共预算财政拨款本年收入</w:t>
      </w:r>
      <w:r>
        <w:rPr>
          <w:rFonts w:ascii="Times New Roman" w:eastAsia="仿宋_GB2312"/>
          <w:sz w:val="32"/>
          <w:szCs w:val="32"/>
        </w:rPr>
        <w:t>1,073.86</w:t>
      </w:r>
      <w:r>
        <w:rPr>
          <w:rFonts w:ascii="Times New Roman" w:eastAsia="仿宋_GB2312"/>
          <w:sz w:val="32"/>
          <w:szCs w:val="32"/>
        </w:rPr>
        <w:t>万元</w:t>
      </w:r>
      <w:r>
        <w:rPr>
          <w:rFonts w:ascii="Times New Roman" w:eastAsia="仿宋_GB2312"/>
          <w:sz w:val="32"/>
          <w:szCs w:val="32"/>
        </w:rPr>
        <w:t>,</w:t>
      </w:r>
      <w:r>
        <w:rPr>
          <w:rFonts w:ascii="Times New Roman" w:eastAsia="仿宋_GB2312"/>
          <w:sz w:val="32"/>
          <w:szCs w:val="32"/>
        </w:rPr>
        <w:t>比上年增加</w:t>
      </w:r>
      <w:r>
        <w:rPr>
          <w:rFonts w:ascii="Times New Roman" w:eastAsia="仿宋_GB2312"/>
          <w:sz w:val="32"/>
          <w:szCs w:val="32"/>
        </w:rPr>
        <w:t>311.69</w:t>
      </w:r>
      <w:r>
        <w:rPr>
          <w:rFonts w:ascii="Times New Roman" w:eastAsia="仿宋_GB2312"/>
          <w:sz w:val="32"/>
          <w:szCs w:val="32"/>
        </w:rPr>
        <w:t>万元，增长</w:t>
      </w:r>
      <w:r>
        <w:rPr>
          <w:rFonts w:ascii="Times New Roman" w:eastAsia="仿宋_GB2312"/>
          <w:sz w:val="32"/>
          <w:szCs w:val="32"/>
        </w:rPr>
        <w:t>40.9%</w:t>
      </w:r>
      <w:r>
        <w:rPr>
          <w:rFonts w:ascii="Times New Roman" w:eastAsia="仿宋_GB2312"/>
          <w:sz w:val="32"/>
          <w:szCs w:val="32"/>
        </w:rPr>
        <w:t>，主要原因是；本年支出</w:t>
      </w:r>
      <w:r>
        <w:rPr>
          <w:rFonts w:ascii="Times New Roman" w:eastAsia="仿宋_GB2312"/>
          <w:sz w:val="32"/>
          <w:szCs w:val="32"/>
        </w:rPr>
        <w:t>1,073.86</w:t>
      </w:r>
      <w:r>
        <w:rPr>
          <w:rFonts w:ascii="Times New Roman" w:eastAsia="仿宋_GB2312"/>
          <w:sz w:val="32"/>
          <w:szCs w:val="32"/>
        </w:rPr>
        <w:t>万元，比上年增加</w:t>
      </w:r>
      <w:r>
        <w:rPr>
          <w:rFonts w:ascii="Times New Roman" w:eastAsia="仿宋_GB2312"/>
          <w:sz w:val="32"/>
          <w:szCs w:val="32"/>
        </w:rPr>
        <w:t>311.50</w:t>
      </w:r>
      <w:r>
        <w:rPr>
          <w:rFonts w:ascii="Times New Roman" w:eastAsia="仿宋_GB2312"/>
          <w:sz w:val="32"/>
          <w:szCs w:val="32"/>
        </w:rPr>
        <w:t>万元，增长</w:t>
      </w:r>
      <w:r>
        <w:rPr>
          <w:rFonts w:ascii="Times New Roman" w:eastAsia="仿宋_GB2312"/>
          <w:sz w:val="32"/>
          <w:szCs w:val="32"/>
        </w:rPr>
        <w:t>40.9%</w:t>
      </w:r>
      <w:r>
        <w:rPr>
          <w:rFonts w:ascii="Times New Roman" w:eastAsia="仿宋_GB2312"/>
          <w:sz w:val="32"/>
          <w:szCs w:val="32"/>
        </w:rPr>
        <w:t>，主要原因是。</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lastRenderedPageBreak/>
        <w:t xml:space="preserve">2. </w:t>
      </w:r>
      <w:r>
        <w:rPr>
          <w:rFonts w:ascii="Times New Roman" w:eastAsia="仿宋_GB2312"/>
          <w:sz w:val="32"/>
          <w:szCs w:val="32"/>
        </w:rPr>
        <w:t>政府性基金预算财政拨款本年收入</w:t>
      </w:r>
      <w:r>
        <w:rPr>
          <w:rFonts w:ascii="Times New Roman" w:eastAsia="仿宋_GB2312"/>
          <w:sz w:val="32"/>
          <w:szCs w:val="32"/>
        </w:rPr>
        <w:t>58.76</w:t>
      </w:r>
      <w:r>
        <w:rPr>
          <w:rFonts w:ascii="Times New Roman" w:eastAsia="仿宋_GB2312"/>
          <w:sz w:val="32"/>
          <w:szCs w:val="32"/>
        </w:rPr>
        <w:t>万元，比上年增加</w:t>
      </w:r>
      <w:r>
        <w:rPr>
          <w:rFonts w:ascii="Times New Roman" w:eastAsia="仿宋_GB2312"/>
          <w:sz w:val="32"/>
          <w:szCs w:val="32"/>
        </w:rPr>
        <w:t>58.76</w:t>
      </w:r>
      <w:r>
        <w:rPr>
          <w:rFonts w:ascii="Times New Roman" w:eastAsia="仿宋_GB2312"/>
          <w:sz w:val="32"/>
          <w:szCs w:val="32"/>
        </w:rPr>
        <w:t>万元，增长</w:t>
      </w:r>
      <w:r>
        <w:rPr>
          <w:rFonts w:ascii="Times New Roman" w:eastAsia="仿宋_GB2312"/>
          <w:sz w:val="32"/>
          <w:szCs w:val="32"/>
        </w:rPr>
        <w:t>100.00%</w:t>
      </w:r>
      <w:r>
        <w:rPr>
          <w:rFonts w:ascii="Times New Roman" w:eastAsia="仿宋_GB2312"/>
          <w:sz w:val="32"/>
          <w:szCs w:val="32"/>
        </w:rPr>
        <w:t>，主要原因是；本年支出</w:t>
      </w:r>
      <w:r>
        <w:rPr>
          <w:rFonts w:ascii="Times New Roman" w:eastAsia="仿宋_GB2312"/>
          <w:sz w:val="32"/>
          <w:szCs w:val="32"/>
        </w:rPr>
        <w:t>58.76</w:t>
      </w:r>
      <w:r>
        <w:rPr>
          <w:rFonts w:ascii="Times New Roman" w:eastAsia="仿宋_GB2312"/>
          <w:sz w:val="32"/>
          <w:szCs w:val="32"/>
        </w:rPr>
        <w:t>万元，比上年增加</w:t>
      </w:r>
      <w:r>
        <w:rPr>
          <w:rFonts w:ascii="Times New Roman" w:eastAsia="仿宋_GB2312"/>
          <w:sz w:val="32"/>
          <w:szCs w:val="32"/>
        </w:rPr>
        <w:t>58.76</w:t>
      </w:r>
      <w:r>
        <w:rPr>
          <w:rFonts w:ascii="Times New Roman" w:eastAsia="仿宋_GB2312"/>
          <w:sz w:val="32"/>
          <w:szCs w:val="32"/>
        </w:rPr>
        <w:t>万元，增长</w:t>
      </w:r>
      <w:r>
        <w:rPr>
          <w:rFonts w:ascii="Times New Roman" w:eastAsia="仿宋_GB2312"/>
          <w:sz w:val="32"/>
          <w:szCs w:val="32"/>
        </w:rPr>
        <w:t>100.00%</w:t>
      </w:r>
      <w:r>
        <w:rPr>
          <w:rFonts w:ascii="Times New Roman" w:eastAsia="仿宋_GB2312"/>
          <w:sz w:val="32"/>
          <w:szCs w:val="32"/>
        </w:rPr>
        <w:t>，主要原因是。</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 xml:space="preserve">3. </w:t>
      </w:r>
      <w:r>
        <w:rPr>
          <w:rFonts w:ascii="Times New Roman" w:eastAsia="仿宋_GB2312"/>
          <w:sz w:val="32"/>
          <w:szCs w:val="32"/>
        </w:rPr>
        <w:t>国有资本经营预算财政拨款本年收入</w:t>
      </w:r>
      <w:r>
        <w:rPr>
          <w:rFonts w:ascii="Times New Roman" w:eastAsia="仿宋_GB2312"/>
          <w:sz w:val="32"/>
          <w:szCs w:val="32"/>
        </w:rPr>
        <w:t>0.00</w:t>
      </w:r>
      <w:r>
        <w:rPr>
          <w:rFonts w:ascii="Times New Roman" w:eastAsia="仿宋_GB2312"/>
          <w:sz w:val="32"/>
          <w:szCs w:val="32"/>
        </w:rPr>
        <w:t>万元，比上年增加</w:t>
      </w:r>
      <w:r>
        <w:rPr>
          <w:rFonts w:ascii="Times New Roman" w:eastAsia="仿宋_GB2312"/>
          <w:sz w:val="32"/>
          <w:szCs w:val="32"/>
        </w:rPr>
        <w:t>0.00</w:t>
      </w:r>
      <w:r>
        <w:rPr>
          <w:rFonts w:ascii="Times New Roman" w:eastAsia="仿宋_GB2312"/>
          <w:sz w:val="32"/>
          <w:szCs w:val="32"/>
        </w:rPr>
        <w:t>万元，增长</w:t>
      </w:r>
      <w:r>
        <w:rPr>
          <w:rFonts w:ascii="Times New Roman" w:eastAsia="仿宋_GB2312"/>
          <w:sz w:val="32"/>
          <w:szCs w:val="32"/>
        </w:rPr>
        <w:t>0.00%</w:t>
      </w:r>
      <w:r>
        <w:rPr>
          <w:rFonts w:ascii="Times New Roman" w:eastAsia="仿宋_GB2312"/>
          <w:sz w:val="32"/>
          <w:szCs w:val="32"/>
        </w:rPr>
        <w:t>，主要原因是；本年支出</w:t>
      </w:r>
      <w:r>
        <w:rPr>
          <w:rFonts w:ascii="Times New Roman" w:eastAsia="仿宋_GB2312"/>
          <w:sz w:val="32"/>
          <w:szCs w:val="32"/>
        </w:rPr>
        <w:t>0.00</w:t>
      </w:r>
      <w:r>
        <w:rPr>
          <w:rFonts w:ascii="Times New Roman" w:eastAsia="仿宋_GB2312"/>
          <w:sz w:val="32"/>
          <w:szCs w:val="32"/>
        </w:rPr>
        <w:t>万元，比上年增加</w:t>
      </w:r>
      <w:r>
        <w:rPr>
          <w:rFonts w:ascii="Times New Roman" w:eastAsia="仿宋_GB2312"/>
          <w:sz w:val="32"/>
          <w:szCs w:val="32"/>
        </w:rPr>
        <w:t>0.00</w:t>
      </w:r>
      <w:r>
        <w:rPr>
          <w:rFonts w:ascii="Times New Roman" w:eastAsia="仿宋_GB2312"/>
          <w:sz w:val="32"/>
          <w:szCs w:val="32"/>
        </w:rPr>
        <w:t>万元，增长</w:t>
      </w:r>
      <w:r>
        <w:rPr>
          <w:rFonts w:ascii="Times New Roman" w:eastAsia="仿宋_GB2312"/>
          <w:sz w:val="32"/>
          <w:szCs w:val="32"/>
        </w:rPr>
        <w:t>0.00%</w:t>
      </w:r>
      <w:r>
        <w:rPr>
          <w:rFonts w:ascii="Times New Roman" w:eastAsia="仿宋_GB2312"/>
          <w:sz w:val="32"/>
          <w:szCs w:val="32"/>
        </w:rPr>
        <w:t>，主要原因是。</w:t>
      </w:r>
    </w:p>
    <w:p w:rsidR="00314A00" w:rsidRDefault="00B456B2">
      <w:pPr>
        <w:pStyle w:val="a7"/>
        <w:widowControl/>
        <w:spacing w:beforeAutospacing="0" w:afterAutospacing="0"/>
        <w:jc w:val="center"/>
        <w:rPr>
          <w:rFonts w:ascii="Times New Roman" w:eastAsia="仿宋_GB2312" w:hAnsi="Times New Roman"/>
          <w:sz w:val="32"/>
          <w:szCs w:val="32"/>
        </w:rPr>
      </w:pPr>
      <w:r>
        <w:rPr>
          <w:rFonts w:ascii="Times New Roman" w:eastAsia="仿宋_GB2312" w:hAnsi="Times New Roman"/>
          <w:noProof/>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14A00" w:rsidRDefault="00B456B2" w:rsidP="007F5941">
      <w:pPr>
        <w:widowControl/>
        <w:spacing w:line="360" w:lineRule="auto"/>
        <w:ind w:firstLineChars="200" w:firstLine="641"/>
        <w:jc w:val="left"/>
        <w:rPr>
          <w:rFonts w:ascii="Times New Roman" w:eastAsia="楷体_GB2312"/>
          <w:sz w:val="32"/>
          <w:szCs w:val="32"/>
        </w:rPr>
      </w:pPr>
      <w:r>
        <w:rPr>
          <w:rFonts w:ascii="Times New Roman" w:eastAsia="楷体_GB2312"/>
          <w:b/>
          <w:sz w:val="32"/>
          <w:szCs w:val="32"/>
        </w:rPr>
        <w:t>（二）财政拨款收支与年初预算数对比情况</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本部门</w:t>
      </w:r>
      <w:r>
        <w:rPr>
          <w:rFonts w:ascii="Times New Roman" w:eastAsia="仿宋_GB2312"/>
          <w:sz w:val="32"/>
          <w:szCs w:val="32"/>
        </w:rPr>
        <w:t>2025</w:t>
      </w:r>
      <w:r>
        <w:rPr>
          <w:rFonts w:ascii="Times New Roman" w:eastAsia="仿宋_GB2312"/>
          <w:sz w:val="32"/>
          <w:szCs w:val="32"/>
        </w:rPr>
        <w:t>年度财政拨款本年收入</w:t>
      </w:r>
      <w:r>
        <w:rPr>
          <w:rFonts w:ascii="Times New Roman" w:eastAsia="仿宋_GB2312"/>
          <w:sz w:val="32"/>
          <w:szCs w:val="32"/>
        </w:rPr>
        <w:t>1,132.62</w:t>
      </w:r>
      <w:r>
        <w:rPr>
          <w:rFonts w:ascii="Times New Roman" w:eastAsia="仿宋_GB2312"/>
          <w:sz w:val="32"/>
          <w:szCs w:val="32"/>
        </w:rPr>
        <w:t>万元，完成年初预算的</w:t>
      </w:r>
      <w:r>
        <w:rPr>
          <w:rFonts w:ascii="Times New Roman" w:eastAsia="仿宋_GB2312"/>
          <w:sz w:val="32"/>
          <w:szCs w:val="32"/>
        </w:rPr>
        <w:t>116.5%</w:t>
      </w:r>
      <w:r>
        <w:rPr>
          <w:rFonts w:ascii="Times New Roman" w:eastAsia="仿宋_GB2312"/>
          <w:sz w:val="32"/>
          <w:szCs w:val="32"/>
        </w:rPr>
        <w:t>，比年初预算增加</w:t>
      </w:r>
      <w:r>
        <w:rPr>
          <w:rFonts w:ascii="Times New Roman" w:eastAsia="仿宋_GB2312"/>
          <w:sz w:val="32"/>
          <w:szCs w:val="32"/>
        </w:rPr>
        <w:t>160.32</w:t>
      </w:r>
      <w:r>
        <w:rPr>
          <w:rFonts w:ascii="Times New Roman" w:eastAsia="仿宋_GB2312"/>
          <w:sz w:val="32"/>
          <w:szCs w:val="32"/>
        </w:rPr>
        <w:t>万元，决算数大于预算数主要原因是；本年支出</w:t>
      </w:r>
      <w:r>
        <w:rPr>
          <w:rFonts w:ascii="Times New Roman" w:eastAsia="仿宋_GB2312"/>
          <w:sz w:val="32"/>
          <w:szCs w:val="32"/>
        </w:rPr>
        <w:t>1,132.62</w:t>
      </w:r>
      <w:r>
        <w:rPr>
          <w:rFonts w:ascii="Times New Roman" w:eastAsia="仿宋_GB2312"/>
          <w:sz w:val="32"/>
          <w:szCs w:val="32"/>
        </w:rPr>
        <w:t>万元，完成年初预算的</w:t>
      </w:r>
      <w:r>
        <w:rPr>
          <w:rFonts w:ascii="Times New Roman" w:eastAsia="仿宋_GB2312"/>
          <w:sz w:val="32"/>
          <w:szCs w:val="32"/>
        </w:rPr>
        <w:t>116.5%</w:t>
      </w:r>
      <w:r>
        <w:rPr>
          <w:rFonts w:ascii="Times New Roman" w:eastAsia="仿宋_GB2312"/>
          <w:sz w:val="32"/>
          <w:szCs w:val="32"/>
        </w:rPr>
        <w:t>，</w:t>
      </w:r>
      <w:r>
        <w:rPr>
          <w:rFonts w:ascii="Times New Roman" w:eastAsia="仿宋_GB2312"/>
          <w:sz w:val="32"/>
          <w:szCs w:val="32"/>
        </w:rPr>
        <w:lastRenderedPageBreak/>
        <w:t>比年初预算增加</w:t>
      </w:r>
      <w:r>
        <w:rPr>
          <w:rFonts w:ascii="Times New Roman" w:eastAsia="仿宋_GB2312"/>
          <w:sz w:val="32"/>
          <w:szCs w:val="32"/>
        </w:rPr>
        <w:t>160.32</w:t>
      </w:r>
      <w:r>
        <w:rPr>
          <w:rFonts w:ascii="Times New Roman" w:eastAsia="仿宋_GB2312"/>
          <w:sz w:val="32"/>
          <w:szCs w:val="32"/>
        </w:rPr>
        <w:t>万元，决算数大于预算数主要原因是。具体情况如下：</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 xml:space="preserve">1. </w:t>
      </w:r>
      <w:r>
        <w:rPr>
          <w:rFonts w:ascii="Times New Roman" w:eastAsia="仿宋_GB2312"/>
          <w:sz w:val="32"/>
          <w:szCs w:val="32"/>
        </w:rPr>
        <w:t>一般公共预算财政拨款本年收入完成年初预算的</w:t>
      </w:r>
      <w:r>
        <w:rPr>
          <w:rFonts w:ascii="Times New Roman" w:eastAsia="仿宋_GB2312"/>
          <w:sz w:val="32"/>
          <w:szCs w:val="32"/>
        </w:rPr>
        <w:t>110.4%</w:t>
      </w:r>
      <w:r>
        <w:rPr>
          <w:rFonts w:ascii="Times New Roman" w:eastAsia="仿宋_GB2312"/>
          <w:sz w:val="32"/>
          <w:szCs w:val="32"/>
        </w:rPr>
        <w:t>，比年初预算增加</w:t>
      </w:r>
      <w:r>
        <w:rPr>
          <w:rFonts w:ascii="Times New Roman" w:eastAsia="仿宋_GB2312"/>
          <w:sz w:val="32"/>
          <w:szCs w:val="32"/>
        </w:rPr>
        <w:t>101.56</w:t>
      </w:r>
      <w:r>
        <w:rPr>
          <w:rFonts w:ascii="Times New Roman" w:eastAsia="仿宋_GB2312"/>
          <w:sz w:val="32"/>
          <w:szCs w:val="32"/>
        </w:rPr>
        <w:t>万元，主要原因是；支出完成年初预算的</w:t>
      </w:r>
      <w:r>
        <w:rPr>
          <w:rFonts w:ascii="Times New Roman" w:eastAsia="仿宋_GB2312"/>
          <w:sz w:val="32"/>
          <w:szCs w:val="32"/>
        </w:rPr>
        <w:t>110.4%</w:t>
      </w:r>
      <w:r>
        <w:rPr>
          <w:rFonts w:ascii="Times New Roman" w:eastAsia="仿宋_GB2312"/>
          <w:sz w:val="32"/>
          <w:szCs w:val="32"/>
        </w:rPr>
        <w:t>，比年初预算增加</w:t>
      </w:r>
      <w:r>
        <w:rPr>
          <w:rFonts w:ascii="Times New Roman" w:eastAsia="仿宋_GB2312"/>
          <w:sz w:val="32"/>
          <w:szCs w:val="32"/>
        </w:rPr>
        <w:t>101.56</w:t>
      </w:r>
      <w:r>
        <w:rPr>
          <w:rFonts w:ascii="Times New Roman" w:eastAsia="仿宋_GB2312"/>
          <w:sz w:val="32"/>
          <w:szCs w:val="32"/>
        </w:rPr>
        <w:t>万元，主要原因是。</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 xml:space="preserve">2. </w:t>
      </w:r>
      <w:r>
        <w:rPr>
          <w:rFonts w:ascii="Times New Roman" w:eastAsia="仿宋_GB2312"/>
          <w:sz w:val="32"/>
          <w:szCs w:val="32"/>
        </w:rPr>
        <w:t>政府</w:t>
      </w:r>
      <w:r>
        <w:rPr>
          <w:rFonts w:ascii="Times New Roman" w:eastAsia="仿宋_GB2312"/>
          <w:sz w:val="32"/>
          <w:szCs w:val="32"/>
        </w:rPr>
        <w:t>性基金预算财政拨款本年收入完成年初预算的</w:t>
      </w:r>
      <w:r>
        <w:rPr>
          <w:rFonts w:ascii="Times New Roman" w:eastAsia="仿宋_GB2312"/>
          <w:sz w:val="32"/>
          <w:szCs w:val="32"/>
        </w:rPr>
        <w:t>0.0%</w:t>
      </w:r>
      <w:r>
        <w:rPr>
          <w:rFonts w:ascii="Times New Roman" w:eastAsia="仿宋_GB2312"/>
          <w:sz w:val="32"/>
          <w:szCs w:val="32"/>
        </w:rPr>
        <w:t>，比年初预算增加</w:t>
      </w:r>
      <w:r>
        <w:rPr>
          <w:rFonts w:ascii="Times New Roman" w:eastAsia="仿宋_GB2312"/>
          <w:sz w:val="32"/>
          <w:szCs w:val="32"/>
        </w:rPr>
        <w:t>58.76</w:t>
      </w:r>
      <w:r>
        <w:rPr>
          <w:rFonts w:ascii="Times New Roman" w:eastAsia="仿宋_GB2312"/>
          <w:sz w:val="32"/>
          <w:szCs w:val="32"/>
        </w:rPr>
        <w:t>万元，主要原因是；支出完成年初预算的</w:t>
      </w:r>
      <w:r>
        <w:rPr>
          <w:rFonts w:ascii="Times New Roman" w:eastAsia="仿宋_GB2312"/>
          <w:sz w:val="32"/>
          <w:szCs w:val="32"/>
        </w:rPr>
        <w:t>0.0%</w:t>
      </w:r>
      <w:r>
        <w:rPr>
          <w:rFonts w:ascii="Times New Roman" w:eastAsia="仿宋_GB2312"/>
          <w:sz w:val="32"/>
          <w:szCs w:val="32"/>
        </w:rPr>
        <w:t>，比年初预算增加</w:t>
      </w:r>
      <w:r>
        <w:rPr>
          <w:rFonts w:ascii="Times New Roman" w:eastAsia="仿宋_GB2312"/>
          <w:sz w:val="32"/>
          <w:szCs w:val="32"/>
        </w:rPr>
        <w:t>58.76</w:t>
      </w:r>
      <w:r>
        <w:rPr>
          <w:rFonts w:ascii="Times New Roman" w:eastAsia="仿宋_GB2312"/>
          <w:sz w:val="32"/>
          <w:szCs w:val="32"/>
        </w:rPr>
        <w:t>万元，主要原因是。</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 xml:space="preserve">3. </w:t>
      </w:r>
      <w:r>
        <w:rPr>
          <w:rFonts w:ascii="Times New Roman" w:eastAsia="仿宋_GB2312"/>
          <w:sz w:val="32"/>
          <w:szCs w:val="32"/>
        </w:rPr>
        <w:t>国有资本经营预算财政拨款本年收入完成年初预算的</w:t>
      </w:r>
      <w:r>
        <w:rPr>
          <w:rFonts w:ascii="Times New Roman" w:eastAsia="仿宋_GB2312"/>
          <w:sz w:val="32"/>
          <w:szCs w:val="32"/>
        </w:rPr>
        <w:t>0.0%</w:t>
      </w:r>
      <w:r>
        <w:rPr>
          <w:rFonts w:ascii="Times New Roman" w:eastAsia="仿宋_GB2312"/>
          <w:sz w:val="32"/>
          <w:szCs w:val="32"/>
        </w:rPr>
        <w:t>，比年初预算增加</w:t>
      </w:r>
      <w:r>
        <w:rPr>
          <w:rFonts w:ascii="Times New Roman" w:eastAsia="仿宋_GB2312"/>
          <w:sz w:val="32"/>
          <w:szCs w:val="32"/>
        </w:rPr>
        <w:t>0.00</w:t>
      </w:r>
      <w:r>
        <w:rPr>
          <w:rFonts w:ascii="Times New Roman" w:eastAsia="仿宋_GB2312"/>
          <w:sz w:val="32"/>
          <w:szCs w:val="32"/>
        </w:rPr>
        <w:t>万元，主要原因是；支出完成年初预算的</w:t>
      </w:r>
      <w:r>
        <w:rPr>
          <w:rFonts w:ascii="Times New Roman" w:eastAsia="仿宋_GB2312"/>
          <w:sz w:val="32"/>
          <w:szCs w:val="32"/>
        </w:rPr>
        <w:t>0.0%</w:t>
      </w:r>
      <w:r>
        <w:rPr>
          <w:rFonts w:ascii="Times New Roman" w:eastAsia="仿宋_GB2312"/>
          <w:sz w:val="32"/>
          <w:szCs w:val="32"/>
        </w:rPr>
        <w:t>，比年初预算增加</w:t>
      </w:r>
      <w:r>
        <w:rPr>
          <w:rFonts w:ascii="Times New Roman" w:eastAsia="仿宋_GB2312"/>
          <w:sz w:val="32"/>
          <w:szCs w:val="32"/>
        </w:rPr>
        <w:t>0.00</w:t>
      </w:r>
      <w:r>
        <w:rPr>
          <w:rFonts w:ascii="Times New Roman" w:eastAsia="仿宋_GB2312"/>
          <w:sz w:val="32"/>
          <w:szCs w:val="32"/>
        </w:rPr>
        <w:t>万元，主要原因是。</w:t>
      </w:r>
    </w:p>
    <w:p w:rsidR="00314A00" w:rsidRDefault="00B456B2">
      <w:pPr>
        <w:pStyle w:val="a7"/>
        <w:widowControl/>
        <w:spacing w:beforeAutospacing="0" w:afterAutospacing="0"/>
        <w:jc w:val="center"/>
        <w:rPr>
          <w:rFonts w:ascii="Times New Roman" w:eastAsia="仿宋_GB2312" w:hAnsi="Times New Roman"/>
          <w:sz w:val="32"/>
          <w:szCs w:val="32"/>
        </w:rPr>
      </w:pPr>
      <w:r>
        <w:rPr>
          <w:rFonts w:ascii="Times New Roman" w:eastAsia="仿宋_GB2312" w:hAnsi="Times New Roman"/>
          <w:noProof/>
          <w:sz w:val="32"/>
          <w:szCs w:val="32"/>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14A00" w:rsidRDefault="00B456B2" w:rsidP="007F5941">
      <w:pPr>
        <w:widowControl/>
        <w:spacing w:line="360" w:lineRule="auto"/>
        <w:ind w:firstLineChars="200" w:firstLine="641"/>
        <w:jc w:val="left"/>
        <w:rPr>
          <w:rFonts w:ascii="Times New Roman" w:eastAsia="楷体_GB2312"/>
          <w:sz w:val="32"/>
          <w:szCs w:val="32"/>
        </w:rPr>
      </w:pPr>
      <w:r>
        <w:rPr>
          <w:rFonts w:ascii="Times New Roman" w:eastAsia="楷体_GB2312"/>
          <w:b/>
          <w:sz w:val="32"/>
          <w:szCs w:val="32"/>
        </w:rPr>
        <w:t>（三）财政拨款支出决算结构情况</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lastRenderedPageBreak/>
        <w:t>2025</w:t>
      </w:r>
      <w:r>
        <w:rPr>
          <w:rFonts w:ascii="Times New Roman" w:eastAsia="仿宋_GB2312"/>
          <w:sz w:val="32"/>
          <w:szCs w:val="32"/>
        </w:rPr>
        <w:t>年度财政拨款支出</w:t>
      </w:r>
      <w:r>
        <w:rPr>
          <w:rFonts w:ascii="Times New Roman" w:eastAsia="仿宋_GB2312"/>
          <w:sz w:val="32"/>
          <w:szCs w:val="32"/>
        </w:rPr>
        <w:t>1,132.62</w:t>
      </w:r>
      <w:r>
        <w:rPr>
          <w:rFonts w:ascii="Times New Roman" w:eastAsia="仿宋_GB2312"/>
          <w:sz w:val="32"/>
          <w:szCs w:val="32"/>
        </w:rPr>
        <w:t>万元，主要用于以下方面：</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一般公共预算财政拨款支出：</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一般公共服务（类）支出</w:t>
      </w:r>
      <w:r>
        <w:rPr>
          <w:rFonts w:ascii="Times New Roman" w:eastAsia="仿宋_GB2312"/>
          <w:sz w:val="32"/>
          <w:szCs w:val="32"/>
        </w:rPr>
        <w:t>895.70</w:t>
      </w:r>
      <w:r>
        <w:rPr>
          <w:rFonts w:ascii="Times New Roman" w:eastAsia="仿宋_GB2312"/>
          <w:sz w:val="32"/>
          <w:szCs w:val="32"/>
        </w:rPr>
        <w:t>万元，占</w:t>
      </w:r>
      <w:r>
        <w:rPr>
          <w:rFonts w:ascii="Times New Roman" w:eastAsia="仿宋_GB2312"/>
          <w:sz w:val="32"/>
          <w:szCs w:val="32"/>
        </w:rPr>
        <w:t>79</w:t>
      </w:r>
      <w:r>
        <w:rPr>
          <w:rFonts w:ascii="Times New Roman" w:eastAsia="仿宋_GB2312"/>
          <w:sz w:val="32"/>
          <w:szCs w:val="32"/>
        </w:rPr>
        <w:t>.1%</w:t>
      </w:r>
      <w:r>
        <w:rPr>
          <w:rFonts w:ascii="Times New Roman" w:eastAsia="仿宋_GB2312"/>
          <w:sz w:val="32"/>
          <w:szCs w:val="32"/>
        </w:rPr>
        <w:t>，主要用于等支出；外交（类）支出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，主要用于等支出；国防（类）支出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，主要用于等支出；公共安全类（类）支出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，主要用于等支出；教育（类）支出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，主要用于等支出；科学技术（类）支出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，主要用于等支出；文化旅游体育与传媒（类）支出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，主要用于等支出；社会保障和就业</w:t>
      </w:r>
      <w:r>
        <w:rPr>
          <w:rFonts w:ascii="Times New Roman" w:eastAsia="仿宋_GB2312"/>
          <w:sz w:val="32"/>
          <w:szCs w:val="32"/>
        </w:rPr>
        <w:t xml:space="preserve"> </w:t>
      </w:r>
      <w:r>
        <w:rPr>
          <w:rFonts w:ascii="Times New Roman" w:eastAsia="仿宋_GB2312"/>
          <w:sz w:val="32"/>
          <w:szCs w:val="32"/>
        </w:rPr>
        <w:t>（类）支出</w:t>
      </w:r>
      <w:r>
        <w:rPr>
          <w:rFonts w:ascii="Times New Roman" w:eastAsia="仿宋_GB2312"/>
          <w:sz w:val="32"/>
          <w:szCs w:val="32"/>
        </w:rPr>
        <w:t>146.92</w:t>
      </w:r>
      <w:r>
        <w:rPr>
          <w:rFonts w:ascii="Times New Roman" w:eastAsia="仿宋_GB2312"/>
          <w:sz w:val="32"/>
          <w:szCs w:val="32"/>
        </w:rPr>
        <w:t>万元，占</w:t>
      </w:r>
      <w:r>
        <w:rPr>
          <w:rFonts w:ascii="Times New Roman" w:eastAsia="仿宋_GB2312"/>
          <w:sz w:val="32"/>
          <w:szCs w:val="32"/>
        </w:rPr>
        <w:t>13.0%</w:t>
      </w:r>
      <w:r>
        <w:rPr>
          <w:rFonts w:ascii="Times New Roman" w:eastAsia="仿宋_GB2312"/>
          <w:sz w:val="32"/>
          <w:szCs w:val="32"/>
        </w:rPr>
        <w:t>，主要用于等支出；卫生健康（类）支出</w:t>
      </w:r>
      <w:r>
        <w:rPr>
          <w:rFonts w:ascii="Times New Roman" w:eastAsia="仿宋_GB2312"/>
          <w:sz w:val="32"/>
          <w:szCs w:val="32"/>
        </w:rPr>
        <w:t>31.25</w:t>
      </w:r>
      <w:r>
        <w:rPr>
          <w:rFonts w:ascii="Times New Roman" w:eastAsia="仿宋_GB2312"/>
          <w:sz w:val="32"/>
          <w:szCs w:val="32"/>
        </w:rPr>
        <w:t>万元，占</w:t>
      </w:r>
      <w:r>
        <w:rPr>
          <w:rFonts w:ascii="Times New Roman" w:eastAsia="仿宋_GB2312"/>
          <w:sz w:val="32"/>
          <w:szCs w:val="32"/>
        </w:rPr>
        <w:t>2.8%</w:t>
      </w:r>
      <w:r>
        <w:rPr>
          <w:rFonts w:ascii="Times New Roman" w:eastAsia="仿宋_GB2312"/>
          <w:sz w:val="32"/>
          <w:szCs w:val="32"/>
        </w:rPr>
        <w:t>，主要用于</w:t>
      </w:r>
      <w:r>
        <w:rPr>
          <w:rFonts w:ascii="Times New Roman" w:eastAsia="仿宋_GB2312"/>
          <w:sz w:val="32"/>
          <w:szCs w:val="32"/>
        </w:rPr>
        <w:t>等支出；节能环保（类）支出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，主要用于等支出；城乡社区（类）支出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，主要用于等支出；农林水（类）支出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，主要用于等支出；交通运输（类）支出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，主要用于等支出；资源勘探信息等（类）支出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，主要用于等支出；商业服务业等（类）支出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，主要用于等支出；金融（类）支出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，主要用于等支出；援助其他地区（类）支出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，主要用于等支出；自然资源海洋气象</w:t>
      </w:r>
      <w:r>
        <w:rPr>
          <w:rFonts w:ascii="Times New Roman" w:eastAsia="仿宋_GB2312"/>
          <w:sz w:val="32"/>
          <w:szCs w:val="32"/>
        </w:rPr>
        <w:t>等（类）支出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w:t>
      </w:r>
      <w:r>
        <w:rPr>
          <w:rFonts w:ascii="Times New Roman" w:eastAsia="仿宋_GB2312"/>
          <w:sz w:val="32"/>
          <w:szCs w:val="32"/>
        </w:rPr>
        <w:lastRenderedPageBreak/>
        <w:t>要用于等支出；住房保障（类）支出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，主要用于等支出；粮油物资储备（类）支出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，主要用于等支出；国有资本经营预算支出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，主要用于等支出；灾害防治及应急管理（类）支出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，主要用于等支出；其他（类）支出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，主要用于等支出；债务还本（类）支出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，主要用于等支出；债务付息（类）支出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，主要用于等支出；抗疫特别国债安排的支出</w:t>
      </w:r>
      <w:r>
        <w:rPr>
          <w:rFonts w:ascii="Times New Roman" w:eastAsia="仿宋_GB2312"/>
          <w:sz w:val="32"/>
          <w:szCs w:val="32"/>
        </w:rPr>
        <w:t>0.</w:t>
      </w:r>
      <w:r>
        <w:rPr>
          <w:rFonts w:ascii="Times New Roman" w:eastAsia="仿宋_GB2312"/>
          <w:sz w:val="32"/>
          <w:szCs w:val="32"/>
        </w:rPr>
        <w:t>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政府性基金预算财政拨款支出：</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一般公共服务（类）支出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，主要用于等支出；外交（类）支出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，主要用于等支出；国防（类）支出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，主要用于等支出；公共安全类（类）支出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，主要用于等支出；教育（类）支出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，主要用于等支出；科学技术（类）支出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，主要用于等支出；文化旅游体育与传媒（类）支出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，主要用于等支出；社会保障和就业</w:t>
      </w:r>
      <w:r>
        <w:rPr>
          <w:rFonts w:ascii="Times New Roman" w:eastAsia="仿宋_GB2312"/>
          <w:sz w:val="32"/>
          <w:szCs w:val="32"/>
        </w:rPr>
        <w:t xml:space="preserve"> </w:t>
      </w:r>
      <w:r>
        <w:rPr>
          <w:rFonts w:ascii="Times New Roman" w:eastAsia="仿宋_GB2312"/>
          <w:sz w:val="32"/>
          <w:szCs w:val="32"/>
        </w:rPr>
        <w:t>（</w:t>
      </w:r>
      <w:r>
        <w:rPr>
          <w:rFonts w:ascii="Times New Roman" w:eastAsia="仿宋_GB2312"/>
          <w:sz w:val="32"/>
          <w:szCs w:val="32"/>
        </w:rPr>
        <w:t>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，主要用于等支出；卫生健康（类）支出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，主要用于等支出；节能环保（类）支出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，主要用于等支出；城乡社区（类）支出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w:t>
      </w:r>
      <w:r>
        <w:rPr>
          <w:rFonts w:ascii="Times New Roman" w:eastAsia="仿宋_GB2312"/>
          <w:sz w:val="32"/>
          <w:szCs w:val="32"/>
        </w:rPr>
        <w:lastRenderedPageBreak/>
        <w:t>主要用于等支出；农林水（类）支出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，主要用于等支出；交通运输（类）支出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，主要用于等支出；资源勘探信息等（类）支出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，主要用于等支出；商业服务业等（类）支出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，主要用于等支出；金融（类）支出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w:t>
      </w:r>
      <w:r>
        <w:rPr>
          <w:rFonts w:ascii="Times New Roman" w:eastAsia="仿宋_GB2312"/>
          <w:sz w:val="32"/>
          <w:szCs w:val="32"/>
        </w:rPr>
        <w:t>0%</w:t>
      </w:r>
      <w:r>
        <w:rPr>
          <w:rFonts w:ascii="Times New Roman" w:eastAsia="仿宋_GB2312"/>
          <w:sz w:val="32"/>
          <w:szCs w:val="32"/>
        </w:rPr>
        <w:t>，主要用于等支出；援助其他地区（类）支出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，主要用于等支出；自然资源海洋气象等（类）支出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，主要用于等支出；住房保障（类）支出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，主要用于等支出；粮油物资储备（类）支出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，主要用于等支出；国有资本经营预算支出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，主要用于等支出；灾害防治及应急管理（类）支出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，主要用于等支出；其他（类）支出</w:t>
      </w:r>
      <w:r>
        <w:rPr>
          <w:rFonts w:ascii="Times New Roman" w:eastAsia="仿宋_GB2312"/>
          <w:sz w:val="32"/>
          <w:szCs w:val="32"/>
        </w:rPr>
        <w:t>58.76</w:t>
      </w:r>
      <w:r>
        <w:rPr>
          <w:rFonts w:ascii="Times New Roman" w:eastAsia="仿宋_GB2312"/>
          <w:sz w:val="32"/>
          <w:szCs w:val="32"/>
        </w:rPr>
        <w:t>万元，占</w:t>
      </w:r>
      <w:r>
        <w:rPr>
          <w:rFonts w:ascii="Times New Roman" w:eastAsia="仿宋_GB2312"/>
          <w:sz w:val="32"/>
          <w:szCs w:val="32"/>
        </w:rPr>
        <w:t>5.2%</w:t>
      </w:r>
      <w:r>
        <w:rPr>
          <w:rFonts w:ascii="Times New Roman" w:eastAsia="仿宋_GB2312"/>
          <w:sz w:val="32"/>
          <w:szCs w:val="32"/>
        </w:rPr>
        <w:t>，主要用于等支出；债务还本（类）支出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，主要用于等支出；债务付息（类）支出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，主要用于等支出；抗疫特别国债安排的支出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0.00%</w:t>
      </w:r>
      <w:r>
        <w:rPr>
          <w:rFonts w:ascii="Times New Roman" w:eastAsia="仿宋_GB2312"/>
          <w:sz w:val="32"/>
          <w:szCs w:val="32"/>
        </w:rPr>
        <w:t>，主要用于等支出。</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国有资本经营预算财政拨款支出：</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一般公共服务（类）支出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，主要用于等支出；外交（类）支出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，主要用于等支出；国防（类）支出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，主要用于等支出；公共安全（类）</w:t>
      </w:r>
      <w:r>
        <w:rPr>
          <w:rFonts w:ascii="Times New Roman" w:eastAsia="仿宋_GB2312"/>
          <w:sz w:val="32"/>
          <w:szCs w:val="32"/>
        </w:rPr>
        <w:lastRenderedPageBreak/>
        <w:t>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，主要用于等支出；教育（类）支出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，主要用于等支出；科学技术（类）支出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，主要用于等支出；文化旅游体育与传媒（类）支出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，主要用于等支出；社会保障和就业</w:t>
      </w:r>
      <w:r>
        <w:rPr>
          <w:rFonts w:ascii="Times New Roman" w:eastAsia="仿宋_GB2312"/>
          <w:sz w:val="32"/>
          <w:szCs w:val="32"/>
        </w:rPr>
        <w:t xml:space="preserve"> </w:t>
      </w:r>
      <w:r>
        <w:rPr>
          <w:rFonts w:ascii="Times New Roman" w:eastAsia="仿宋_GB2312"/>
          <w:sz w:val="32"/>
          <w:szCs w:val="32"/>
        </w:rPr>
        <w:t>（类）支出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，主要用于等支出；卫生健康（类）支出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，主要用于等支出；节能环保（类）支出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，主要用于等支出；城乡社区（类）支出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，主要用于等支出；农林水（类）支出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，主要用于等支出；交通运输（类）支出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，主要用于等支出；资源勘探信息等（类）支出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w:t>
      </w:r>
      <w:r>
        <w:rPr>
          <w:rFonts w:ascii="Times New Roman" w:eastAsia="仿宋_GB2312"/>
          <w:sz w:val="32"/>
          <w:szCs w:val="32"/>
        </w:rPr>
        <w:t>等支出；商业服务业等（类）支出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，主要用于等支出；金融（类）支出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，主要用于等支出；援助其他地区（类）支出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，主要用于等支出；自然资源海洋气象等（类）支出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，主要用于等支出；住房保障（类）支出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，主要用于等支出；粮油物资储备（类）支出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，主要用于等支出；国有资本经营预算支出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，主要用于等支出；灾害防治及应急管理（类）支出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w:t>
      </w:r>
      <w:r>
        <w:rPr>
          <w:rFonts w:ascii="Times New Roman" w:eastAsia="仿宋_GB2312"/>
          <w:sz w:val="32"/>
          <w:szCs w:val="32"/>
        </w:rPr>
        <w:t>支出；其他（类）支出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，主要用于等支出；债务</w:t>
      </w:r>
      <w:r>
        <w:rPr>
          <w:rFonts w:ascii="Times New Roman" w:eastAsia="仿宋_GB2312"/>
          <w:sz w:val="32"/>
          <w:szCs w:val="32"/>
        </w:rPr>
        <w:lastRenderedPageBreak/>
        <w:t>还本（类）支出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，主要用于等支出；债务付息（类）支出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，主要用于等支出；抗疫特别国债安排的支出</w:t>
      </w:r>
      <w:r>
        <w:rPr>
          <w:rFonts w:ascii="Times New Roman" w:eastAsia="仿宋_GB2312"/>
          <w:sz w:val="32"/>
          <w:szCs w:val="32"/>
        </w:rPr>
        <w:t>0.00</w:t>
      </w:r>
      <w:r>
        <w:rPr>
          <w:rFonts w:ascii="Times New Roman" w:eastAsia="仿宋_GB2312"/>
          <w:sz w:val="32"/>
          <w:szCs w:val="32"/>
        </w:rPr>
        <w:t>万元，占</w:t>
      </w:r>
      <w:r>
        <w:rPr>
          <w:rFonts w:ascii="Times New Roman" w:eastAsia="仿宋_GB2312"/>
          <w:sz w:val="32"/>
          <w:szCs w:val="32"/>
        </w:rPr>
        <w:t>0.0%</w:t>
      </w:r>
      <w:r>
        <w:rPr>
          <w:rFonts w:ascii="Times New Roman" w:eastAsia="仿宋_GB2312"/>
          <w:sz w:val="32"/>
          <w:szCs w:val="32"/>
        </w:rPr>
        <w:t>，主要用于等支出。</w:t>
      </w:r>
    </w:p>
    <w:p w:rsidR="00314A00" w:rsidRDefault="00B456B2" w:rsidP="007F5941">
      <w:pPr>
        <w:widowControl/>
        <w:spacing w:line="360" w:lineRule="auto"/>
        <w:ind w:firstLineChars="200" w:firstLine="641"/>
        <w:jc w:val="left"/>
        <w:rPr>
          <w:rFonts w:ascii="Times New Roman" w:eastAsia="楷体_GB2312"/>
          <w:sz w:val="32"/>
          <w:szCs w:val="32"/>
        </w:rPr>
      </w:pPr>
      <w:r>
        <w:rPr>
          <w:rFonts w:ascii="Times New Roman" w:eastAsia="楷体_GB2312"/>
          <w:b/>
          <w:sz w:val="32"/>
          <w:szCs w:val="32"/>
        </w:rPr>
        <w:t>（四）一般公共预算财政拨款基本支出决算情况说明</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2025</w:t>
      </w:r>
      <w:r>
        <w:rPr>
          <w:rFonts w:ascii="Times New Roman" w:eastAsia="仿宋_GB2312"/>
          <w:sz w:val="32"/>
          <w:szCs w:val="32"/>
        </w:rPr>
        <w:t>年度财政拨款基本支出</w:t>
      </w:r>
      <w:r>
        <w:rPr>
          <w:rFonts w:ascii="Times New Roman" w:eastAsia="仿宋_GB2312"/>
          <w:sz w:val="32"/>
          <w:szCs w:val="32"/>
        </w:rPr>
        <w:t>978.49</w:t>
      </w:r>
      <w:r>
        <w:rPr>
          <w:rFonts w:ascii="Times New Roman" w:eastAsia="仿宋_GB2312"/>
          <w:sz w:val="32"/>
          <w:szCs w:val="32"/>
        </w:rPr>
        <w:t>万元，其中：</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人员经费</w:t>
      </w:r>
      <w:r>
        <w:rPr>
          <w:rFonts w:ascii="Times New Roman" w:eastAsia="仿宋_GB2312"/>
          <w:sz w:val="32"/>
          <w:szCs w:val="32"/>
        </w:rPr>
        <w:t>657.78</w:t>
      </w:r>
      <w:r>
        <w:rPr>
          <w:rFonts w:ascii="Times New Roman" w:eastAsia="仿宋_GB2312"/>
          <w:sz w:val="32"/>
          <w:szCs w:val="32"/>
        </w:rPr>
        <w:t>万元，主要包括基本工资、津贴补贴、奖金、伙食补助费、绩效工资、机关事业部门基本养老保险缴费、职业年金缴费、职工基本医疗保险缴费、公务员医疗补助</w:t>
      </w:r>
      <w:r>
        <w:rPr>
          <w:rFonts w:ascii="Times New Roman" w:eastAsia="仿宋_GB2312"/>
          <w:sz w:val="32"/>
          <w:szCs w:val="32"/>
        </w:rPr>
        <w:t>缴费、住房公积金、医疗费、其他社会保障缴费、其他工资福利支出、离休费、</w:t>
      </w:r>
      <w:r>
        <w:rPr>
          <w:rFonts w:ascii="Times New Roman" w:eastAsia="仿宋_GB2312"/>
          <w:sz w:val="32"/>
          <w:szCs w:val="32"/>
        </w:rPr>
        <w:t xml:space="preserve"> </w:t>
      </w:r>
      <w:r>
        <w:rPr>
          <w:rFonts w:ascii="Times New Roman" w:eastAsia="仿宋_GB2312"/>
          <w:sz w:val="32"/>
          <w:szCs w:val="32"/>
        </w:rPr>
        <w:t>退休费、</w:t>
      </w:r>
      <w:r>
        <w:rPr>
          <w:rFonts w:ascii="Times New Roman" w:eastAsia="仿宋_GB2312"/>
          <w:sz w:val="32"/>
          <w:szCs w:val="32"/>
        </w:rPr>
        <w:t xml:space="preserve"> </w:t>
      </w:r>
      <w:r>
        <w:rPr>
          <w:rFonts w:ascii="Times New Roman" w:eastAsia="仿宋_GB2312"/>
          <w:sz w:val="32"/>
          <w:szCs w:val="32"/>
        </w:rPr>
        <w:t>抚恤金、生活补助、医疗费补助、奖励金、其他对个人和家庭的补助支出。</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公用经费</w:t>
      </w:r>
      <w:r>
        <w:rPr>
          <w:rFonts w:ascii="Times New Roman" w:eastAsia="仿宋_GB2312"/>
          <w:sz w:val="32"/>
          <w:szCs w:val="32"/>
        </w:rPr>
        <w:t>320.70</w:t>
      </w:r>
      <w:r>
        <w:rPr>
          <w:rFonts w:ascii="Times New Roman" w:eastAsia="仿宋_GB2312"/>
          <w:sz w:val="32"/>
          <w:szCs w:val="32"/>
        </w:rPr>
        <w:t>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w:t>
      </w:r>
      <w:r>
        <w:rPr>
          <w:rFonts w:ascii="Times New Roman" w:eastAsia="仿宋_GB2312"/>
          <w:sz w:val="32"/>
          <w:szCs w:val="32"/>
        </w:rPr>
        <w:t>其他资本性支出。</w:t>
      </w:r>
    </w:p>
    <w:p w:rsidR="00314A00" w:rsidRDefault="00B456B2" w:rsidP="007F5941">
      <w:pPr>
        <w:widowControl/>
        <w:spacing w:line="360" w:lineRule="auto"/>
        <w:ind w:firstLineChars="200" w:firstLine="640"/>
        <w:jc w:val="left"/>
        <w:outlineLvl w:val="1"/>
        <w:rPr>
          <w:rFonts w:ascii="Times New Roman" w:eastAsia="黑体"/>
          <w:sz w:val="32"/>
          <w:szCs w:val="32"/>
        </w:rPr>
      </w:pPr>
      <w:r>
        <w:rPr>
          <w:rFonts w:ascii="Times New Roman" w:eastAsia="黑体"/>
          <w:sz w:val="32"/>
          <w:szCs w:val="32"/>
        </w:rPr>
        <w:t>五、财政拨款</w:t>
      </w:r>
      <w:r>
        <w:rPr>
          <w:rFonts w:ascii="Times New Roman" w:eastAsia="黑体"/>
          <w:sz w:val="32"/>
          <w:szCs w:val="32"/>
        </w:rPr>
        <w:t>“</w:t>
      </w:r>
      <w:r>
        <w:rPr>
          <w:rFonts w:ascii="Times New Roman" w:eastAsia="黑体"/>
          <w:sz w:val="32"/>
          <w:szCs w:val="32"/>
        </w:rPr>
        <w:t>三公</w:t>
      </w:r>
      <w:r>
        <w:rPr>
          <w:rFonts w:ascii="Times New Roman" w:eastAsia="黑体"/>
          <w:sz w:val="32"/>
          <w:szCs w:val="32"/>
        </w:rPr>
        <w:t>”</w:t>
      </w:r>
      <w:r>
        <w:rPr>
          <w:rFonts w:ascii="Times New Roman" w:eastAsia="黑体"/>
          <w:sz w:val="32"/>
          <w:szCs w:val="32"/>
        </w:rPr>
        <w:t xml:space="preserve"> </w:t>
      </w:r>
      <w:r>
        <w:rPr>
          <w:rFonts w:ascii="Times New Roman" w:eastAsia="黑体"/>
          <w:sz w:val="32"/>
          <w:szCs w:val="32"/>
        </w:rPr>
        <w:t>经费支出决算情况说明</w:t>
      </w:r>
    </w:p>
    <w:p w:rsidR="00314A00" w:rsidRDefault="00B456B2" w:rsidP="007F5941">
      <w:pPr>
        <w:widowControl/>
        <w:spacing w:line="360" w:lineRule="auto"/>
        <w:ind w:firstLineChars="200" w:firstLine="641"/>
        <w:jc w:val="left"/>
        <w:rPr>
          <w:rFonts w:ascii="Times New Roman" w:eastAsia="楷体_GB2312"/>
          <w:sz w:val="32"/>
          <w:szCs w:val="32"/>
        </w:rPr>
      </w:pPr>
      <w:r>
        <w:rPr>
          <w:rFonts w:ascii="Times New Roman" w:eastAsia="楷体_GB2312"/>
          <w:b/>
          <w:sz w:val="32"/>
          <w:szCs w:val="32"/>
        </w:rPr>
        <w:lastRenderedPageBreak/>
        <w:t>（一）</w:t>
      </w:r>
      <w:r>
        <w:rPr>
          <w:rFonts w:ascii="Times New Roman" w:eastAsia="楷体_GB2312"/>
          <w:b/>
          <w:sz w:val="32"/>
          <w:szCs w:val="32"/>
        </w:rPr>
        <w:t>“</w:t>
      </w:r>
      <w:r>
        <w:rPr>
          <w:rFonts w:ascii="Times New Roman" w:eastAsia="楷体_GB2312"/>
          <w:b/>
          <w:sz w:val="32"/>
          <w:szCs w:val="32"/>
        </w:rPr>
        <w:t>三公</w:t>
      </w:r>
      <w:r>
        <w:rPr>
          <w:rFonts w:ascii="Times New Roman" w:eastAsia="楷体_GB2312"/>
          <w:b/>
          <w:sz w:val="32"/>
          <w:szCs w:val="32"/>
        </w:rPr>
        <w:t>”</w:t>
      </w:r>
      <w:r>
        <w:rPr>
          <w:rFonts w:ascii="Times New Roman" w:eastAsia="楷体_GB2312"/>
          <w:b/>
          <w:sz w:val="32"/>
          <w:szCs w:val="32"/>
        </w:rPr>
        <w:t>经费财政拨款支出决算总体情况说明</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本部门</w:t>
      </w:r>
      <w:r>
        <w:rPr>
          <w:rFonts w:ascii="Times New Roman" w:eastAsia="仿宋_GB2312"/>
          <w:sz w:val="32"/>
          <w:szCs w:val="32"/>
        </w:rPr>
        <w:t>2025</w:t>
      </w:r>
      <w:r>
        <w:rPr>
          <w:rFonts w:ascii="Times New Roman" w:eastAsia="仿宋_GB2312"/>
          <w:sz w:val="32"/>
          <w:szCs w:val="32"/>
        </w:rPr>
        <w:t>年度</w:t>
      </w:r>
      <w:r>
        <w:rPr>
          <w:rFonts w:ascii="Times New Roman" w:eastAsia="仿宋_GB2312"/>
          <w:sz w:val="32"/>
          <w:szCs w:val="32"/>
        </w:rPr>
        <w:t>“</w:t>
      </w:r>
      <w:r>
        <w:rPr>
          <w:rFonts w:ascii="Times New Roman" w:eastAsia="仿宋_GB2312"/>
          <w:sz w:val="32"/>
          <w:szCs w:val="32"/>
        </w:rPr>
        <w:t>三公</w:t>
      </w:r>
      <w:r>
        <w:rPr>
          <w:rFonts w:ascii="Times New Roman" w:eastAsia="仿宋_GB2312"/>
          <w:sz w:val="32"/>
          <w:szCs w:val="32"/>
        </w:rPr>
        <w:t>”</w:t>
      </w:r>
      <w:r>
        <w:rPr>
          <w:rFonts w:ascii="Times New Roman" w:eastAsia="仿宋_GB2312"/>
          <w:sz w:val="32"/>
          <w:szCs w:val="32"/>
        </w:rPr>
        <w:t>经费财政拨款支出预算为</w:t>
      </w:r>
      <w:r>
        <w:rPr>
          <w:rFonts w:ascii="Times New Roman" w:eastAsia="仿宋_GB2312"/>
          <w:sz w:val="32"/>
          <w:szCs w:val="32"/>
        </w:rPr>
        <w:t>21.00</w:t>
      </w:r>
      <w:r>
        <w:rPr>
          <w:rFonts w:ascii="Times New Roman" w:eastAsia="仿宋_GB2312"/>
          <w:sz w:val="32"/>
          <w:szCs w:val="32"/>
        </w:rPr>
        <w:t>万元，支出决算为</w:t>
      </w:r>
      <w:r>
        <w:rPr>
          <w:rFonts w:ascii="Times New Roman" w:eastAsia="仿宋_GB2312"/>
          <w:sz w:val="32"/>
          <w:szCs w:val="32"/>
        </w:rPr>
        <w:t>18.50</w:t>
      </w:r>
      <w:r>
        <w:rPr>
          <w:rFonts w:ascii="Times New Roman" w:eastAsia="仿宋_GB2312"/>
          <w:sz w:val="32"/>
          <w:szCs w:val="32"/>
        </w:rPr>
        <w:t>万元，完成预算的</w:t>
      </w:r>
      <w:r>
        <w:rPr>
          <w:rFonts w:ascii="Times New Roman" w:eastAsia="仿宋_GB2312"/>
          <w:sz w:val="32"/>
          <w:szCs w:val="32"/>
        </w:rPr>
        <w:t>88.1%</w:t>
      </w:r>
      <w:r>
        <w:rPr>
          <w:rFonts w:ascii="Times New Roman" w:eastAsia="仿宋_GB2312"/>
          <w:sz w:val="32"/>
          <w:szCs w:val="32"/>
        </w:rPr>
        <w:t>，较预算减少</w:t>
      </w:r>
      <w:r>
        <w:rPr>
          <w:rFonts w:ascii="Times New Roman" w:eastAsia="仿宋_GB2312"/>
          <w:sz w:val="32"/>
          <w:szCs w:val="32"/>
        </w:rPr>
        <w:t>2.50</w:t>
      </w:r>
      <w:r>
        <w:rPr>
          <w:rFonts w:ascii="Times New Roman" w:eastAsia="仿宋_GB2312"/>
          <w:sz w:val="32"/>
          <w:szCs w:val="32"/>
        </w:rPr>
        <w:t>万元，降低</w:t>
      </w:r>
      <w:r>
        <w:rPr>
          <w:rFonts w:ascii="Times New Roman" w:eastAsia="仿宋_GB2312"/>
          <w:sz w:val="32"/>
          <w:szCs w:val="32"/>
        </w:rPr>
        <w:t>11.9%</w:t>
      </w:r>
      <w:r>
        <w:rPr>
          <w:rFonts w:ascii="Times New Roman" w:eastAsia="仿宋_GB2312"/>
          <w:sz w:val="32"/>
          <w:szCs w:val="32"/>
        </w:rPr>
        <w:t>，主要原因是；较</w:t>
      </w:r>
      <w:r>
        <w:rPr>
          <w:rFonts w:ascii="Times New Roman" w:eastAsia="仿宋_GB2312"/>
          <w:sz w:val="32"/>
          <w:szCs w:val="32"/>
        </w:rPr>
        <w:t>2024</w:t>
      </w:r>
      <w:r>
        <w:rPr>
          <w:rFonts w:ascii="Times New Roman" w:eastAsia="仿宋_GB2312"/>
          <w:sz w:val="32"/>
          <w:szCs w:val="32"/>
        </w:rPr>
        <w:t>年度决算减少</w:t>
      </w:r>
      <w:r>
        <w:rPr>
          <w:rFonts w:ascii="Times New Roman" w:eastAsia="仿宋_GB2312"/>
          <w:sz w:val="32"/>
          <w:szCs w:val="32"/>
        </w:rPr>
        <w:t>1.15</w:t>
      </w:r>
      <w:r>
        <w:rPr>
          <w:rFonts w:ascii="Times New Roman" w:eastAsia="仿宋_GB2312"/>
          <w:sz w:val="32"/>
          <w:szCs w:val="32"/>
        </w:rPr>
        <w:t>万元，降低</w:t>
      </w:r>
      <w:r>
        <w:rPr>
          <w:rFonts w:ascii="Times New Roman" w:eastAsia="仿宋_GB2312"/>
          <w:sz w:val="32"/>
          <w:szCs w:val="32"/>
        </w:rPr>
        <w:t>5.9%</w:t>
      </w:r>
      <w:r>
        <w:rPr>
          <w:rFonts w:ascii="Times New Roman" w:eastAsia="仿宋_GB2312"/>
          <w:sz w:val="32"/>
          <w:szCs w:val="32"/>
        </w:rPr>
        <w:t>，主要原因是。</w:t>
      </w:r>
    </w:p>
    <w:p w:rsidR="00314A00" w:rsidRDefault="00B456B2" w:rsidP="007F5941">
      <w:pPr>
        <w:widowControl/>
        <w:spacing w:line="360" w:lineRule="auto"/>
        <w:ind w:firstLineChars="200" w:firstLine="641"/>
        <w:jc w:val="left"/>
        <w:rPr>
          <w:rFonts w:ascii="Times New Roman" w:eastAsia="楷体_GB2312"/>
          <w:sz w:val="32"/>
          <w:szCs w:val="32"/>
        </w:rPr>
      </w:pPr>
      <w:r>
        <w:rPr>
          <w:rFonts w:ascii="Times New Roman" w:eastAsia="楷体_GB2312"/>
          <w:b/>
          <w:sz w:val="32"/>
          <w:szCs w:val="32"/>
        </w:rPr>
        <w:t>（二）</w:t>
      </w:r>
      <w:r>
        <w:rPr>
          <w:rFonts w:ascii="Times New Roman" w:eastAsia="楷体_GB2312"/>
          <w:b/>
          <w:sz w:val="32"/>
          <w:szCs w:val="32"/>
        </w:rPr>
        <w:t>“</w:t>
      </w:r>
      <w:r>
        <w:rPr>
          <w:rFonts w:ascii="Times New Roman" w:eastAsia="楷体_GB2312"/>
          <w:b/>
          <w:sz w:val="32"/>
          <w:szCs w:val="32"/>
        </w:rPr>
        <w:t>三公</w:t>
      </w:r>
      <w:r>
        <w:rPr>
          <w:rFonts w:ascii="Times New Roman" w:eastAsia="楷体_GB2312"/>
          <w:b/>
          <w:sz w:val="32"/>
          <w:szCs w:val="32"/>
        </w:rPr>
        <w:t>”</w:t>
      </w:r>
      <w:r>
        <w:rPr>
          <w:rFonts w:ascii="Times New Roman" w:eastAsia="楷体_GB2312"/>
          <w:b/>
          <w:sz w:val="32"/>
          <w:szCs w:val="32"/>
        </w:rPr>
        <w:t>经费财政拨款支出决算具体情况说明</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楷体_GB2312"/>
          <w:b/>
          <w:sz w:val="32"/>
          <w:szCs w:val="32"/>
        </w:rPr>
        <w:t>1.</w:t>
      </w:r>
      <w:r>
        <w:rPr>
          <w:rFonts w:ascii="Times New Roman" w:eastAsia="楷体_GB2312"/>
          <w:b/>
          <w:sz w:val="32"/>
          <w:szCs w:val="32"/>
        </w:rPr>
        <w:t>因公出国（境）费支出情况。</w:t>
      </w:r>
      <w:r>
        <w:rPr>
          <w:rFonts w:ascii="Times New Roman" w:eastAsia="仿宋_GB2312"/>
          <w:sz w:val="32"/>
          <w:szCs w:val="32"/>
        </w:rPr>
        <w:t>本部门</w:t>
      </w:r>
      <w:r>
        <w:rPr>
          <w:rFonts w:ascii="Times New Roman" w:eastAsia="仿宋_GB2312"/>
          <w:sz w:val="32"/>
          <w:szCs w:val="32"/>
        </w:rPr>
        <w:t>2025</w:t>
      </w:r>
      <w:r>
        <w:rPr>
          <w:rFonts w:ascii="Times New Roman" w:eastAsia="仿宋_GB2312"/>
          <w:sz w:val="32"/>
          <w:szCs w:val="32"/>
        </w:rPr>
        <w:t>年度因公出国（境）费支出预算为</w:t>
      </w:r>
      <w:r>
        <w:rPr>
          <w:rFonts w:ascii="Times New Roman" w:eastAsia="仿宋_GB2312"/>
          <w:sz w:val="32"/>
          <w:szCs w:val="32"/>
        </w:rPr>
        <w:t>0.00</w:t>
      </w:r>
      <w:r>
        <w:rPr>
          <w:rFonts w:ascii="Times New Roman" w:eastAsia="仿宋_GB2312"/>
          <w:sz w:val="32"/>
          <w:szCs w:val="32"/>
        </w:rPr>
        <w:t>万元</w:t>
      </w:r>
      <w:r>
        <w:rPr>
          <w:rFonts w:ascii="Times New Roman" w:eastAsia="仿宋_GB2312"/>
          <w:sz w:val="32"/>
          <w:szCs w:val="32"/>
        </w:rPr>
        <w:t>,</w:t>
      </w:r>
      <w:r>
        <w:rPr>
          <w:rFonts w:ascii="Times New Roman" w:eastAsia="仿宋_GB2312"/>
          <w:sz w:val="32"/>
          <w:szCs w:val="32"/>
        </w:rPr>
        <w:t>支出决算</w:t>
      </w:r>
      <w:r>
        <w:rPr>
          <w:rFonts w:ascii="Times New Roman" w:eastAsia="仿宋_GB2312"/>
          <w:sz w:val="32"/>
          <w:szCs w:val="32"/>
        </w:rPr>
        <w:t>0.00</w:t>
      </w:r>
      <w:r>
        <w:rPr>
          <w:rFonts w:ascii="Times New Roman" w:eastAsia="仿宋_GB2312"/>
          <w:sz w:val="32"/>
          <w:szCs w:val="32"/>
        </w:rPr>
        <w:t>万元。完成预算的</w:t>
      </w:r>
      <w:r>
        <w:rPr>
          <w:rFonts w:ascii="Times New Roman" w:eastAsia="仿宋_GB2312"/>
          <w:sz w:val="32"/>
          <w:szCs w:val="32"/>
        </w:rPr>
        <w:t>0.0</w:t>
      </w:r>
      <w:r>
        <w:rPr>
          <w:rFonts w:ascii="Times New Roman" w:eastAsia="仿宋_GB2312"/>
          <w:sz w:val="32"/>
          <w:szCs w:val="32"/>
        </w:rPr>
        <w:t>%</w:t>
      </w:r>
      <w:r>
        <w:rPr>
          <w:rFonts w:ascii="Times New Roman" w:eastAsia="仿宋_GB2312"/>
          <w:sz w:val="32"/>
          <w:szCs w:val="32"/>
        </w:rPr>
        <w:t>。因公出国（境）费支出较预算增加</w:t>
      </w:r>
      <w:r>
        <w:rPr>
          <w:rFonts w:ascii="Times New Roman" w:eastAsia="仿宋_GB2312"/>
          <w:sz w:val="32"/>
          <w:szCs w:val="32"/>
        </w:rPr>
        <w:t>0.00</w:t>
      </w:r>
      <w:r>
        <w:rPr>
          <w:rFonts w:ascii="Times New Roman" w:eastAsia="仿宋_GB2312"/>
          <w:sz w:val="32"/>
          <w:szCs w:val="32"/>
        </w:rPr>
        <w:t>万元，增长</w:t>
      </w:r>
      <w:r>
        <w:rPr>
          <w:rFonts w:ascii="Times New Roman" w:eastAsia="仿宋_GB2312"/>
          <w:sz w:val="32"/>
          <w:szCs w:val="32"/>
        </w:rPr>
        <w:t>0.0%,</w:t>
      </w:r>
      <w:r>
        <w:rPr>
          <w:rFonts w:ascii="Times New Roman" w:eastAsia="仿宋_GB2312"/>
          <w:sz w:val="32"/>
          <w:szCs w:val="32"/>
        </w:rPr>
        <w:t>主要原因是；较上年增加</w:t>
      </w:r>
      <w:r>
        <w:rPr>
          <w:rFonts w:ascii="Times New Roman" w:eastAsia="仿宋_GB2312"/>
          <w:sz w:val="32"/>
          <w:szCs w:val="32"/>
        </w:rPr>
        <w:t>0.00</w:t>
      </w:r>
      <w:r>
        <w:rPr>
          <w:rFonts w:ascii="Times New Roman" w:eastAsia="仿宋_GB2312"/>
          <w:sz w:val="32"/>
          <w:szCs w:val="32"/>
        </w:rPr>
        <w:t>万元，增长</w:t>
      </w:r>
      <w:r>
        <w:rPr>
          <w:rFonts w:ascii="Times New Roman" w:eastAsia="仿宋_GB2312"/>
          <w:sz w:val="32"/>
          <w:szCs w:val="32"/>
        </w:rPr>
        <w:t>0.00%,</w:t>
      </w:r>
      <w:r>
        <w:rPr>
          <w:rFonts w:ascii="Times New Roman" w:eastAsia="仿宋_GB2312"/>
          <w:sz w:val="32"/>
          <w:szCs w:val="32"/>
        </w:rPr>
        <w:t>主要原因是。因公出国（境）团组</w:t>
      </w:r>
      <w:r>
        <w:rPr>
          <w:rFonts w:ascii="Times New Roman" w:eastAsia="仿宋_GB2312"/>
          <w:sz w:val="32"/>
          <w:szCs w:val="32"/>
        </w:rPr>
        <w:t>0</w:t>
      </w:r>
      <w:r>
        <w:rPr>
          <w:rFonts w:ascii="Times New Roman" w:eastAsia="仿宋_GB2312"/>
          <w:sz w:val="32"/>
          <w:szCs w:val="32"/>
        </w:rPr>
        <w:t>个、共</w:t>
      </w:r>
      <w:r>
        <w:rPr>
          <w:rFonts w:ascii="Times New Roman" w:eastAsia="仿宋_GB2312"/>
          <w:sz w:val="32"/>
          <w:szCs w:val="32"/>
        </w:rPr>
        <w:t>0</w:t>
      </w:r>
      <w:r>
        <w:rPr>
          <w:rFonts w:ascii="Times New Roman" w:eastAsia="仿宋_GB2312"/>
          <w:sz w:val="32"/>
          <w:szCs w:val="32"/>
        </w:rPr>
        <w:t>人、参加其他</w:t>
      </w:r>
      <w:r w:rsidR="007F5941">
        <w:rPr>
          <w:rFonts w:ascii="宋体" w:eastAsia="宋体" w:hAnsi="宋体" w:hint="eastAsia"/>
          <w:sz w:val="32"/>
          <w:szCs w:val="32"/>
        </w:rPr>
        <w:t>部门</w:t>
      </w:r>
      <w:r>
        <w:rPr>
          <w:rFonts w:ascii="Times New Roman" w:eastAsia="仿宋_GB2312"/>
          <w:sz w:val="32"/>
          <w:szCs w:val="32"/>
        </w:rPr>
        <w:t>组织的因公出国（境）团组个、共人</w:t>
      </w:r>
      <w:r>
        <w:rPr>
          <w:rFonts w:ascii="Times New Roman" w:eastAsia="仿宋_GB2312"/>
          <w:sz w:val="32"/>
          <w:szCs w:val="32"/>
        </w:rPr>
        <w:t>/</w:t>
      </w:r>
      <w:r>
        <w:rPr>
          <w:rFonts w:ascii="Times New Roman" w:eastAsia="仿宋_GB2312"/>
          <w:sz w:val="32"/>
          <w:szCs w:val="32"/>
        </w:rPr>
        <w:t>无本部门组织的出国（境）团组。</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楷体_GB2312"/>
          <w:b/>
          <w:sz w:val="32"/>
          <w:szCs w:val="32"/>
        </w:rPr>
        <w:t>2.</w:t>
      </w:r>
      <w:r>
        <w:rPr>
          <w:rFonts w:ascii="Times New Roman" w:eastAsia="楷体_GB2312"/>
          <w:b/>
          <w:sz w:val="32"/>
          <w:szCs w:val="32"/>
        </w:rPr>
        <w:t>公务用车购置及运行维护费支出情况。</w:t>
      </w:r>
      <w:r>
        <w:rPr>
          <w:rFonts w:ascii="Times New Roman" w:eastAsia="仿宋_GB2312"/>
          <w:sz w:val="32"/>
          <w:szCs w:val="32"/>
        </w:rPr>
        <w:t>本部门</w:t>
      </w:r>
      <w:r>
        <w:rPr>
          <w:rFonts w:ascii="Times New Roman" w:eastAsia="仿宋_GB2312"/>
          <w:sz w:val="32"/>
          <w:szCs w:val="32"/>
        </w:rPr>
        <w:t>2025</w:t>
      </w:r>
      <w:r>
        <w:rPr>
          <w:rFonts w:ascii="Times New Roman" w:eastAsia="仿宋_GB2312"/>
          <w:sz w:val="32"/>
          <w:szCs w:val="32"/>
        </w:rPr>
        <w:t>年度公务用车购置及运行维护费预算为</w:t>
      </w:r>
      <w:r>
        <w:rPr>
          <w:rFonts w:ascii="Times New Roman" w:eastAsia="仿宋_GB2312"/>
          <w:sz w:val="32"/>
          <w:szCs w:val="32"/>
        </w:rPr>
        <w:t>21.00</w:t>
      </w:r>
      <w:r>
        <w:rPr>
          <w:rFonts w:ascii="Times New Roman" w:eastAsia="仿宋_GB2312"/>
          <w:sz w:val="32"/>
          <w:szCs w:val="32"/>
        </w:rPr>
        <w:t>万元，支出决算</w:t>
      </w:r>
      <w:r>
        <w:rPr>
          <w:rFonts w:ascii="Times New Roman" w:eastAsia="仿宋_GB2312"/>
          <w:sz w:val="32"/>
          <w:szCs w:val="32"/>
        </w:rPr>
        <w:t>18.50</w:t>
      </w:r>
      <w:r>
        <w:rPr>
          <w:rFonts w:ascii="Times New Roman" w:eastAsia="仿宋_GB2312"/>
          <w:sz w:val="32"/>
          <w:szCs w:val="32"/>
        </w:rPr>
        <w:t>万元，完成预算的</w:t>
      </w:r>
      <w:r>
        <w:rPr>
          <w:rFonts w:ascii="Times New Roman" w:eastAsia="仿宋_GB2312"/>
          <w:sz w:val="32"/>
          <w:szCs w:val="32"/>
        </w:rPr>
        <w:t>88.1%,</w:t>
      </w:r>
      <w:r>
        <w:rPr>
          <w:rFonts w:ascii="Times New Roman" w:eastAsia="仿宋_GB2312"/>
          <w:sz w:val="32"/>
          <w:szCs w:val="32"/>
        </w:rPr>
        <w:t>较预算减少</w:t>
      </w:r>
      <w:r>
        <w:rPr>
          <w:rFonts w:ascii="Times New Roman" w:eastAsia="仿宋_GB2312"/>
          <w:sz w:val="32"/>
          <w:szCs w:val="32"/>
        </w:rPr>
        <w:t>2.50</w:t>
      </w:r>
      <w:r>
        <w:rPr>
          <w:rFonts w:ascii="Times New Roman" w:eastAsia="仿宋_GB2312"/>
          <w:sz w:val="32"/>
          <w:szCs w:val="32"/>
        </w:rPr>
        <w:t>万元，降低</w:t>
      </w:r>
      <w:r>
        <w:rPr>
          <w:rFonts w:ascii="Times New Roman" w:eastAsia="仿宋_GB2312"/>
          <w:sz w:val="32"/>
          <w:szCs w:val="32"/>
        </w:rPr>
        <w:t>11.9%,</w:t>
      </w:r>
      <w:r>
        <w:rPr>
          <w:rFonts w:ascii="Times New Roman" w:eastAsia="仿宋_GB2312"/>
          <w:sz w:val="32"/>
          <w:szCs w:val="32"/>
        </w:rPr>
        <w:t>主要原因是；较上年减少</w:t>
      </w:r>
      <w:r>
        <w:rPr>
          <w:rFonts w:ascii="Times New Roman" w:eastAsia="仿宋_GB2312"/>
          <w:sz w:val="32"/>
          <w:szCs w:val="32"/>
        </w:rPr>
        <w:t>1.15</w:t>
      </w:r>
      <w:r>
        <w:rPr>
          <w:rFonts w:ascii="Times New Roman" w:eastAsia="仿宋_GB2312"/>
          <w:sz w:val="32"/>
          <w:szCs w:val="32"/>
        </w:rPr>
        <w:t>万元，降低</w:t>
      </w:r>
      <w:r>
        <w:rPr>
          <w:rFonts w:ascii="Times New Roman" w:eastAsia="仿宋_GB2312"/>
          <w:sz w:val="32"/>
          <w:szCs w:val="32"/>
        </w:rPr>
        <w:t>5.9%,</w:t>
      </w:r>
      <w:r>
        <w:rPr>
          <w:rFonts w:ascii="Times New Roman" w:eastAsia="仿宋_GB2312"/>
          <w:sz w:val="32"/>
          <w:szCs w:val="32"/>
        </w:rPr>
        <w:t>主要原因是</w:t>
      </w:r>
      <w:r>
        <w:rPr>
          <w:rFonts w:ascii="Times New Roman" w:eastAsia="仿宋_GB2312"/>
          <w:sz w:val="32"/>
          <w:szCs w:val="32"/>
        </w:rPr>
        <w:t>：</w:t>
      </w:r>
      <w:r w:rsidR="007F5941">
        <w:rPr>
          <w:rFonts w:ascii="Times New Roman" w:eastAsia="仿宋_GB2312" w:hint="eastAsia"/>
          <w:sz w:val="32"/>
          <w:szCs w:val="32"/>
        </w:rPr>
        <w:t>我单位厉行节俭。</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公务用车购置费支出</w:t>
      </w:r>
      <w:r>
        <w:rPr>
          <w:rFonts w:ascii="Times New Roman" w:eastAsia="仿宋_GB2312"/>
          <w:b/>
          <w:sz w:val="32"/>
          <w:szCs w:val="32"/>
        </w:rPr>
        <w:t>0.00</w:t>
      </w:r>
      <w:r>
        <w:rPr>
          <w:rFonts w:ascii="Times New Roman" w:eastAsia="仿宋_GB2312"/>
          <w:b/>
          <w:sz w:val="32"/>
          <w:szCs w:val="32"/>
        </w:rPr>
        <w:t>万元：</w:t>
      </w:r>
      <w:r>
        <w:rPr>
          <w:rFonts w:ascii="Times New Roman" w:eastAsia="仿宋_GB2312"/>
          <w:sz w:val="32"/>
          <w:szCs w:val="32"/>
        </w:rPr>
        <w:t>本部门</w:t>
      </w:r>
      <w:r>
        <w:rPr>
          <w:rFonts w:ascii="Times New Roman" w:eastAsia="仿宋_GB2312"/>
          <w:sz w:val="32"/>
          <w:szCs w:val="32"/>
        </w:rPr>
        <w:t>2025</w:t>
      </w:r>
      <w:r>
        <w:rPr>
          <w:rFonts w:ascii="Times New Roman" w:eastAsia="仿宋_GB2312"/>
          <w:sz w:val="32"/>
          <w:szCs w:val="32"/>
        </w:rPr>
        <w:t>年度公务用车购置量</w:t>
      </w:r>
      <w:r>
        <w:rPr>
          <w:rFonts w:ascii="Times New Roman" w:eastAsia="仿宋_GB2312"/>
          <w:sz w:val="32"/>
          <w:szCs w:val="32"/>
        </w:rPr>
        <w:t>0</w:t>
      </w:r>
      <w:r>
        <w:rPr>
          <w:rFonts w:ascii="Times New Roman" w:eastAsia="仿宋_GB2312"/>
          <w:sz w:val="32"/>
          <w:szCs w:val="32"/>
        </w:rPr>
        <w:t>辆，发生</w:t>
      </w:r>
      <w:r>
        <w:rPr>
          <w:rFonts w:ascii="Times New Roman" w:eastAsia="仿宋_GB2312"/>
          <w:sz w:val="32"/>
          <w:szCs w:val="32"/>
        </w:rPr>
        <w:t>“</w:t>
      </w:r>
      <w:r>
        <w:rPr>
          <w:rFonts w:ascii="Times New Roman" w:eastAsia="仿宋_GB2312"/>
          <w:sz w:val="32"/>
          <w:szCs w:val="32"/>
        </w:rPr>
        <w:t>公务用车购置</w:t>
      </w:r>
      <w:r>
        <w:rPr>
          <w:rFonts w:ascii="Times New Roman" w:eastAsia="仿宋_GB2312"/>
          <w:sz w:val="32"/>
          <w:szCs w:val="32"/>
        </w:rPr>
        <w:t>”</w:t>
      </w:r>
      <w:r>
        <w:rPr>
          <w:rFonts w:ascii="Times New Roman" w:eastAsia="仿宋_GB2312"/>
          <w:sz w:val="32"/>
          <w:szCs w:val="32"/>
        </w:rPr>
        <w:t>经费支出</w:t>
      </w:r>
      <w:r>
        <w:rPr>
          <w:rFonts w:ascii="Times New Roman" w:eastAsia="仿宋_GB2312"/>
          <w:sz w:val="32"/>
          <w:szCs w:val="32"/>
        </w:rPr>
        <w:t>0.00</w:t>
      </w:r>
      <w:r>
        <w:rPr>
          <w:rFonts w:ascii="Times New Roman" w:eastAsia="仿宋_GB2312"/>
          <w:sz w:val="32"/>
          <w:szCs w:val="32"/>
        </w:rPr>
        <w:t>万元。公务用车购</w:t>
      </w:r>
      <w:r>
        <w:rPr>
          <w:rFonts w:ascii="Times New Roman" w:eastAsia="仿宋_GB2312"/>
          <w:sz w:val="32"/>
          <w:szCs w:val="32"/>
        </w:rPr>
        <w:lastRenderedPageBreak/>
        <w:t>置费支出较预算增加</w:t>
      </w:r>
      <w:r>
        <w:rPr>
          <w:rFonts w:ascii="Times New Roman" w:eastAsia="仿宋_GB2312"/>
          <w:sz w:val="32"/>
          <w:szCs w:val="32"/>
        </w:rPr>
        <w:t>0.00</w:t>
      </w:r>
      <w:r>
        <w:rPr>
          <w:rFonts w:ascii="Times New Roman" w:eastAsia="仿宋_GB2312"/>
          <w:sz w:val="32"/>
          <w:szCs w:val="32"/>
        </w:rPr>
        <w:t>万元，增长</w:t>
      </w:r>
      <w:r>
        <w:rPr>
          <w:rFonts w:ascii="Times New Roman" w:eastAsia="仿宋_GB2312"/>
          <w:sz w:val="32"/>
          <w:szCs w:val="32"/>
        </w:rPr>
        <w:t>0.0%,</w:t>
      </w:r>
      <w:r>
        <w:rPr>
          <w:rFonts w:ascii="Times New Roman" w:eastAsia="仿宋_GB2312"/>
          <w:sz w:val="32"/>
          <w:szCs w:val="32"/>
        </w:rPr>
        <w:t>主要原因是；较上年增加</w:t>
      </w:r>
      <w:r>
        <w:rPr>
          <w:rFonts w:ascii="Times New Roman" w:eastAsia="仿宋_GB2312"/>
          <w:sz w:val="32"/>
          <w:szCs w:val="32"/>
        </w:rPr>
        <w:t>0.00</w:t>
      </w:r>
      <w:r>
        <w:rPr>
          <w:rFonts w:ascii="Times New Roman" w:eastAsia="仿宋_GB2312"/>
          <w:sz w:val="32"/>
          <w:szCs w:val="32"/>
        </w:rPr>
        <w:t>万元，增长</w:t>
      </w:r>
      <w:r>
        <w:rPr>
          <w:rFonts w:ascii="Times New Roman" w:eastAsia="仿宋_GB2312"/>
          <w:sz w:val="32"/>
          <w:szCs w:val="32"/>
        </w:rPr>
        <w:t>0.00%,</w:t>
      </w:r>
      <w:r>
        <w:rPr>
          <w:rFonts w:ascii="Times New Roman" w:eastAsia="仿宋_GB2312"/>
          <w:sz w:val="32"/>
          <w:szCs w:val="32"/>
        </w:rPr>
        <w:t>主要原因是。</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公务用车运行维护费支出</w:t>
      </w:r>
      <w:r>
        <w:rPr>
          <w:rFonts w:ascii="Times New Roman" w:eastAsia="仿宋_GB2312"/>
          <w:b/>
          <w:sz w:val="32"/>
          <w:szCs w:val="32"/>
        </w:rPr>
        <w:t>18.50</w:t>
      </w:r>
      <w:r>
        <w:rPr>
          <w:rFonts w:ascii="Times New Roman" w:eastAsia="仿宋_GB2312"/>
          <w:b/>
          <w:sz w:val="32"/>
          <w:szCs w:val="32"/>
        </w:rPr>
        <w:t>万元：</w:t>
      </w:r>
      <w:r>
        <w:rPr>
          <w:rFonts w:ascii="Times New Roman" w:eastAsia="仿宋_GB2312"/>
          <w:sz w:val="32"/>
          <w:szCs w:val="32"/>
        </w:rPr>
        <w:t>本部门</w:t>
      </w:r>
      <w:r>
        <w:rPr>
          <w:rFonts w:ascii="Times New Roman" w:eastAsia="仿宋_GB2312"/>
          <w:sz w:val="32"/>
          <w:szCs w:val="32"/>
        </w:rPr>
        <w:t>2025</w:t>
      </w:r>
      <w:r>
        <w:rPr>
          <w:rFonts w:ascii="Times New Roman" w:eastAsia="仿宋_GB2312"/>
          <w:sz w:val="32"/>
          <w:szCs w:val="32"/>
        </w:rPr>
        <w:t>年度</w:t>
      </w:r>
      <w:r w:rsidR="007F5941">
        <w:rPr>
          <w:rFonts w:ascii="宋体" w:eastAsia="宋体" w:hAnsi="宋体" w:hint="eastAsia"/>
          <w:sz w:val="32"/>
          <w:szCs w:val="32"/>
        </w:rPr>
        <w:t>部门</w:t>
      </w:r>
      <w:r>
        <w:rPr>
          <w:rFonts w:ascii="Times New Roman" w:eastAsia="仿宋_GB2312"/>
          <w:sz w:val="32"/>
          <w:szCs w:val="32"/>
        </w:rPr>
        <w:t>公务用车保有量</w:t>
      </w:r>
      <w:r>
        <w:rPr>
          <w:rFonts w:ascii="Times New Roman" w:eastAsia="仿宋_GB2312"/>
          <w:sz w:val="32"/>
          <w:szCs w:val="32"/>
        </w:rPr>
        <w:t>10</w:t>
      </w:r>
      <w:r>
        <w:rPr>
          <w:rFonts w:ascii="Times New Roman" w:eastAsia="仿宋_GB2312"/>
          <w:sz w:val="32"/>
          <w:szCs w:val="32"/>
        </w:rPr>
        <w:t>辆，发生运行维护费支出</w:t>
      </w:r>
      <w:r>
        <w:rPr>
          <w:rFonts w:ascii="Times New Roman" w:eastAsia="仿宋_GB2312"/>
          <w:sz w:val="32"/>
          <w:szCs w:val="32"/>
        </w:rPr>
        <w:t>18.50</w:t>
      </w:r>
      <w:r>
        <w:rPr>
          <w:rFonts w:ascii="Times New Roman" w:eastAsia="仿宋_GB2312"/>
          <w:sz w:val="32"/>
          <w:szCs w:val="32"/>
        </w:rPr>
        <w:t>万元。公车运行维护费支出较预算减少</w:t>
      </w:r>
      <w:r>
        <w:rPr>
          <w:rFonts w:ascii="Times New Roman" w:eastAsia="仿宋_GB2312"/>
          <w:sz w:val="32"/>
          <w:szCs w:val="32"/>
        </w:rPr>
        <w:t>2.50</w:t>
      </w:r>
      <w:r>
        <w:rPr>
          <w:rFonts w:ascii="Times New Roman" w:eastAsia="仿宋_GB2312"/>
          <w:sz w:val="32"/>
          <w:szCs w:val="32"/>
        </w:rPr>
        <w:t>万元，降低</w:t>
      </w:r>
      <w:r>
        <w:rPr>
          <w:rFonts w:ascii="Times New Roman" w:eastAsia="仿宋_GB2312"/>
          <w:sz w:val="32"/>
          <w:szCs w:val="32"/>
        </w:rPr>
        <w:t>11.9%,</w:t>
      </w:r>
      <w:r>
        <w:rPr>
          <w:rFonts w:ascii="Times New Roman" w:eastAsia="仿宋_GB2312"/>
          <w:sz w:val="32"/>
          <w:szCs w:val="32"/>
        </w:rPr>
        <w:t>主要原因是；较上年减少</w:t>
      </w:r>
      <w:r>
        <w:rPr>
          <w:rFonts w:ascii="Times New Roman" w:eastAsia="仿宋_GB2312"/>
          <w:sz w:val="32"/>
          <w:szCs w:val="32"/>
        </w:rPr>
        <w:t>1.15</w:t>
      </w:r>
      <w:r>
        <w:rPr>
          <w:rFonts w:ascii="Times New Roman" w:eastAsia="仿宋_GB2312"/>
          <w:sz w:val="32"/>
          <w:szCs w:val="32"/>
        </w:rPr>
        <w:t>万元，降低</w:t>
      </w:r>
      <w:r>
        <w:rPr>
          <w:rFonts w:ascii="Times New Roman" w:eastAsia="仿宋_GB2312"/>
          <w:sz w:val="32"/>
          <w:szCs w:val="32"/>
        </w:rPr>
        <w:t>5.9%</w:t>
      </w:r>
      <w:r>
        <w:rPr>
          <w:rFonts w:ascii="Times New Roman" w:eastAsia="仿宋_GB2312"/>
          <w:sz w:val="32"/>
          <w:szCs w:val="32"/>
        </w:rPr>
        <w:t>，主要原因是。</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楷体_GB2312"/>
          <w:b/>
          <w:sz w:val="32"/>
          <w:szCs w:val="32"/>
        </w:rPr>
        <w:t>3.</w:t>
      </w:r>
      <w:r>
        <w:rPr>
          <w:rFonts w:ascii="Times New Roman" w:eastAsia="楷体_GB2312"/>
          <w:b/>
          <w:sz w:val="32"/>
          <w:szCs w:val="32"/>
        </w:rPr>
        <w:t>公务接待费支出情况。</w:t>
      </w:r>
      <w:r>
        <w:rPr>
          <w:rFonts w:ascii="Times New Roman" w:eastAsia="仿宋_GB2312"/>
          <w:sz w:val="32"/>
          <w:szCs w:val="32"/>
        </w:rPr>
        <w:t>本部门</w:t>
      </w:r>
      <w:r>
        <w:rPr>
          <w:rFonts w:ascii="Times New Roman" w:eastAsia="仿宋_GB2312"/>
          <w:sz w:val="32"/>
          <w:szCs w:val="32"/>
        </w:rPr>
        <w:t>2025</w:t>
      </w:r>
      <w:r>
        <w:rPr>
          <w:rFonts w:ascii="Times New Roman" w:eastAsia="仿宋_GB2312"/>
          <w:sz w:val="32"/>
          <w:szCs w:val="32"/>
        </w:rPr>
        <w:t>年度公务接待费支出预算为</w:t>
      </w:r>
      <w:r>
        <w:rPr>
          <w:rFonts w:ascii="Times New Roman" w:eastAsia="仿宋_GB2312"/>
          <w:sz w:val="32"/>
          <w:szCs w:val="32"/>
        </w:rPr>
        <w:t>0.00</w:t>
      </w:r>
      <w:r>
        <w:rPr>
          <w:rFonts w:ascii="Times New Roman" w:eastAsia="仿宋_GB2312"/>
          <w:sz w:val="32"/>
          <w:szCs w:val="32"/>
        </w:rPr>
        <w:t>万元，支出决算</w:t>
      </w:r>
      <w:r>
        <w:rPr>
          <w:rFonts w:ascii="Times New Roman" w:eastAsia="仿宋_GB2312"/>
          <w:sz w:val="32"/>
          <w:szCs w:val="32"/>
        </w:rPr>
        <w:t>0.00</w:t>
      </w:r>
      <w:r>
        <w:rPr>
          <w:rFonts w:ascii="Times New Roman" w:eastAsia="仿宋_GB2312"/>
          <w:sz w:val="32"/>
          <w:szCs w:val="32"/>
        </w:rPr>
        <w:t>万元，完成预算的</w:t>
      </w:r>
      <w:r>
        <w:rPr>
          <w:rFonts w:ascii="Times New Roman" w:eastAsia="仿宋_GB2312"/>
          <w:sz w:val="32"/>
          <w:szCs w:val="32"/>
        </w:rPr>
        <w:t>0.0%</w:t>
      </w:r>
      <w:r>
        <w:rPr>
          <w:rFonts w:ascii="Times New Roman" w:eastAsia="仿宋_GB2312"/>
          <w:sz w:val="32"/>
          <w:szCs w:val="32"/>
        </w:rPr>
        <w:t>。公务接待费支出较预算增加</w:t>
      </w:r>
      <w:r>
        <w:rPr>
          <w:rFonts w:ascii="Times New Roman" w:eastAsia="仿宋_GB2312"/>
          <w:sz w:val="32"/>
          <w:szCs w:val="32"/>
        </w:rPr>
        <w:t>0.00</w:t>
      </w:r>
      <w:r>
        <w:rPr>
          <w:rFonts w:ascii="Times New Roman" w:eastAsia="仿宋_GB2312"/>
          <w:sz w:val="32"/>
          <w:szCs w:val="32"/>
        </w:rPr>
        <w:t>万元，增长</w:t>
      </w:r>
      <w:r>
        <w:rPr>
          <w:rFonts w:ascii="Times New Roman" w:eastAsia="仿宋_GB2312"/>
          <w:sz w:val="32"/>
          <w:szCs w:val="32"/>
        </w:rPr>
        <w:t>0.0%,</w:t>
      </w:r>
      <w:r>
        <w:rPr>
          <w:rFonts w:ascii="Times New Roman" w:eastAsia="仿宋_GB2312"/>
          <w:sz w:val="32"/>
          <w:szCs w:val="32"/>
        </w:rPr>
        <w:t>主要原因是；较上年度增加</w:t>
      </w:r>
      <w:r>
        <w:rPr>
          <w:rFonts w:ascii="Times New Roman" w:eastAsia="仿宋_GB2312"/>
          <w:sz w:val="32"/>
          <w:szCs w:val="32"/>
        </w:rPr>
        <w:t>0.00</w:t>
      </w:r>
      <w:r>
        <w:rPr>
          <w:rFonts w:ascii="Times New Roman" w:eastAsia="仿宋_GB2312"/>
          <w:sz w:val="32"/>
          <w:szCs w:val="32"/>
        </w:rPr>
        <w:t>万元，增长</w:t>
      </w:r>
      <w:r>
        <w:rPr>
          <w:rFonts w:ascii="Times New Roman" w:eastAsia="仿宋_GB2312"/>
          <w:sz w:val="32"/>
          <w:szCs w:val="32"/>
        </w:rPr>
        <w:t>0.00%,</w:t>
      </w:r>
      <w:r>
        <w:rPr>
          <w:rFonts w:ascii="Times New Roman" w:eastAsia="仿宋_GB2312"/>
          <w:sz w:val="32"/>
          <w:szCs w:val="32"/>
        </w:rPr>
        <w:t>主要原因是。本年度共发生公务接待</w:t>
      </w:r>
      <w:r>
        <w:rPr>
          <w:rFonts w:ascii="Times New Roman" w:eastAsia="仿宋_GB2312"/>
          <w:sz w:val="32"/>
          <w:szCs w:val="32"/>
        </w:rPr>
        <w:t>0</w:t>
      </w:r>
      <w:r>
        <w:rPr>
          <w:rFonts w:ascii="Times New Roman" w:eastAsia="仿宋_GB2312"/>
          <w:sz w:val="32"/>
          <w:szCs w:val="32"/>
        </w:rPr>
        <w:t>批次、</w:t>
      </w:r>
      <w:r>
        <w:rPr>
          <w:rFonts w:ascii="Times New Roman" w:eastAsia="仿宋_GB2312"/>
          <w:sz w:val="32"/>
          <w:szCs w:val="32"/>
        </w:rPr>
        <w:t>0</w:t>
      </w:r>
      <w:r>
        <w:rPr>
          <w:rFonts w:ascii="Times New Roman" w:eastAsia="仿宋_GB2312"/>
          <w:sz w:val="32"/>
          <w:szCs w:val="32"/>
        </w:rPr>
        <w:t>人次。</w:t>
      </w:r>
    </w:p>
    <w:p w:rsidR="00314A00" w:rsidRDefault="00B456B2" w:rsidP="007F5941">
      <w:pPr>
        <w:widowControl/>
        <w:spacing w:line="360" w:lineRule="auto"/>
        <w:ind w:firstLineChars="200" w:firstLine="640"/>
        <w:jc w:val="left"/>
        <w:outlineLvl w:val="1"/>
        <w:rPr>
          <w:rFonts w:ascii="Times New Roman" w:eastAsia="黑体"/>
          <w:sz w:val="32"/>
          <w:szCs w:val="32"/>
        </w:rPr>
      </w:pPr>
      <w:r>
        <w:rPr>
          <w:rFonts w:ascii="Times New Roman" w:eastAsia="黑体"/>
          <w:sz w:val="32"/>
          <w:szCs w:val="32"/>
        </w:rPr>
        <w:t>六、机关运行经费支出说明</w:t>
      </w:r>
    </w:p>
    <w:p w:rsidR="00314A00" w:rsidRPr="007F5941" w:rsidRDefault="00B456B2" w:rsidP="007F5941">
      <w:pPr>
        <w:widowControl/>
        <w:spacing w:line="360" w:lineRule="auto"/>
        <w:ind w:firstLineChars="200" w:firstLine="640"/>
        <w:jc w:val="left"/>
        <w:rPr>
          <w:rFonts w:ascii="宋体" w:eastAsia="宋体" w:hAnsi="宋体"/>
          <w:sz w:val="32"/>
          <w:szCs w:val="32"/>
        </w:rPr>
      </w:pPr>
      <w:r>
        <w:rPr>
          <w:rFonts w:ascii="Times New Roman" w:eastAsia="仿宋_GB2312"/>
          <w:sz w:val="32"/>
          <w:szCs w:val="32"/>
        </w:rPr>
        <w:t>本部门</w:t>
      </w:r>
      <w:r>
        <w:rPr>
          <w:rFonts w:ascii="Times New Roman" w:eastAsia="仿宋_GB2312"/>
          <w:sz w:val="32"/>
          <w:szCs w:val="32"/>
        </w:rPr>
        <w:t>2025</w:t>
      </w:r>
      <w:r>
        <w:rPr>
          <w:rFonts w:ascii="Times New Roman" w:eastAsia="仿宋_GB2312"/>
          <w:sz w:val="32"/>
          <w:szCs w:val="32"/>
        </w:rPr>
        <w:t>年度机关运行经费支出</w:t>
      </w:r>
      <w:r>
        <w:rPr>
          <w:rFonts w:ascii="Times New Roman" w:eastAsia="仿宋_GB2312"/>
          <w:sz w:val="32"/>
          <w:szCs w:val="32"/>
        </w:rPr>
        <w:t>320.70</w:t>
      </w:r>
      <w:r>
        <w:rPr>
          <w:rFonts w:ascii="Times New Roman" w:eastAsia="仿宋_GB2312"/>
          <w:sz w:val="32"/>
          <w:szCs w:val="32"/>
        </w:rPr>
        <w:t>万元，较</w:t>
      </w:r>
      <w:r>
        <w:rPr>
          <w:rFonts w:ascii="Times New Roman" w:eastAsia="仿宋_GB2312"/>
          <w:sz w:val="32"/>
          <w:szCs w:val="32"/>
        </w:rPr>
        <w:t>2024</w:t>
      </w:r>
      <w:r>
        <w:rPr>
          <w:rFonts w:ascii="Times New Roman" w:eastAsia="仿宋_GB2312"/>
          <w:sz w:val="32"/>
          <w:szCs w:val="32"/>
        </w:rPr>
        <w:t>年度增加</w:t>
      </w:r>
      <w:r>
        <w:rPr>
          <w:rFonts w:ascii="Times New Roman" w:eastAsia="仿宋_GB2312"/>
          <w:sz w:val="32"/>
          <w:szCs w:val="32"/>
        </w:rPr>
        <w:t>144.52</w:t>
      </w:r>
      <w:r>
        <w:rPr>
          <w:rFonts w:ascii="Times New Roman" w:eastAsia="仿宋_GB2312"/>
          <w:sz w:val="32"/>
          <w:szCs w:val="32"/>
        </w:rPr>
        <w:t>万元，增长</w:t>
      </w:r>
      <w:r>
        <w:rPr>
          <w:rFonts w:ascii="Times New Roman" w:eastAsia="仿宋_GB2312"/>
          <w:sz w:val="32"/>
          <w:szCs w:val="32"/>
        </w:rPr>
        <w:t>82.0%</w:t>
      </w:r>
      <w:r>
        <w:rPr>
          <w:rFonts w:ascii="Times New Roman" w:eastAsia="仿宋_GB2312"/>
          <w:sz w:val="32"/>
          <w:szCs w:val="32"/>
        </w:rPr>
        <w:t>。主要原因是</w:t>
      </w:r>
      <w:r w:rsidR="007F5941">
        <w:rPr>
          <w:rFonts w:ascii="宋体" w:eastAsia="宋体" w:hAnsi="宋体" w:hint="eastAsia"/>
          <w:sz w:val="32"/>
          <w:szCs w:val="32"/>
        </w:rPr>
        <w:t>：我单位本年度人员增加。</w:t>
      </w:r>
    </w:p>
    <w:p w:rsidR="00314A00" w:rsidRDefault="00B456B2" w:rsidP="007F5941">
      <w:pPr>
        <w:widowControl/>
        <w:spacing w:line="360" w:lineRule="auto"/>
        <w:ind w:firstLineChars="200" w:firstLine="640"/>
        <w:jc w:val="left"/>
        <w:outlineLvl w:val="1"/>
        <w:rPr>
          <w:rFonts w:ascii="Times New Roman" w:eastAsia="黑体"/>
          <w:sz w:val="32"/>
          <w:szCs w:val="32"/>
        </w:rPr>
      </w:pPr>
      <w:r>
        <w:rPr>
          <w:rFonts w:ascii="Times New Roman" w:eastAsia="黑体"/>
          <w:sz w:val="32"/>
          <w:szCs w:val="32"/>
        </w:rPr>
        <w:t>七、政府采购支出说明</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本部门</w:t>
      </w:r>
      <w:r>
        <w:rPr>
          <w:rFonts w:ascii="Times New Roman" w:eastAsia="仿宋_GB2312"/>
          <w:sz w:val="32"/>
          <w:szCs w:val="32"/>
        </w:rPr>
        <w:t>2025</w:t>
      </w:r>
      <w:r>
        <w:rPr>
          <w:rFonts w:ascii="Times New Roman" w:eastAsia="仿宋_GB2312"/>
          <w:sz w:val="32"/>
          <w:szCs w:val="32"/>
        </w:rPr>
        <w:t>年度政府采购支出总额</w:t>
      </w:r>
      <w:r>
        <w:rPr>
          <w:rFonts w:ascii="Times New Roman" w:eastAsia="仿宋_GB2312"/>
          <w:sz w:val="32"/>
          <w:szCs w:val="32"/>
        </w:rPr>
        <w:t>0.00</w:t>
      </w:r>
      <w:r>
        <w:rPr>
          <w:rFonts w:ascii="Times New Roman" w:eastAsia="仿宋_GB2312"/>
          <w:sz w:val="32"/>
          <w:szCs w:val="32"/>
        </w:rPr>
        <w:t>万元，从采购类型来看，政府采购货物支出</w:t>
      </w:r>
      <w:r>
        <w:rPr>
          <w:rFonts w:ascii="Times New Roman" w:eastAsia="仿宋_GB2312"/>
          <w:sz w:val="32"/>
          <w:szCs w:val="32"/>
        </w:rPr>
        <w:t>0.00</w:t>
      </w:r>
      <w:r>
        <w:rPr>
          <w:rFonts w:ascii="Times New Roman" w:eastAsia="仿宋_GB2312"/>
          <w:sz w:val="32"/>
          <w:szCs w:val="32"/>
        </w:rPr>
        <w:t>万元、政府采购</w:t>
      </w:r>
      <w:r>
        <w:rPr>
          <w:rFonts w:ascii="Times New Roman" w:eastAsia="仿宋_GB2312"/>
          <w:sz w:val="32"/>
          <w:szCs w:val="32"/>
        </w:rPr>
        <w:t>工程支出</w:t>
      </w:r>
      <w:r>
        <w:rPr>
          <w:rFonts w:ascii="Times New Roman" w:eastAsia="仿宋_GB2312"/>
          <w:sz w:val="32"/>
          <w:szCs w:val="32"/>
        </w:rPr>
        <w:t>0.00</w:t>
      </w:r>
      <w:r>
        <w:rPr>
          <w:rFonts w:ascii="Times New Roman" w:eastAsia="仿宋_GB2312"/>
          <w:sz w:val="32"/>
          <w:szCs w:val="32"/>
        </w:rPr>
        <w:t>万元、政府采购服务支出</w:t>
      </w:r>
      <w:r>
        <w:rPr>
          <w:rFonts w:ascii="Times New Roman" w:eastAsia="仿宋_GB2312"/>
          <w:sz w:val="32"/>
          <w:szCs w:val="32"/>
        </w:rPr>
        <w:t>0.00</w:t>
      </w:r>
      <w:r>
        <w:rPr>
          <w:rFonts w:ascii="Times New Roman" w:eastAsia="仿宋_GB2312"/>
          <w:sz w:val="32"/>
          <w:szCs w:val="32"/>
        </w:rPr>
        <w:t>万元。授予中小企业合同金额</w:t>
      </w:r>
      <w:r>
        <w:rPr>
          <w:rFonts w:ascii="Times New Roman" w:eastAsia="仿宋_GB2312"/>
          <w:sz w:val="32"/>
          <w:szCs w:val="32"/>
        </w:rPr>
        <w:t>0.00</w:t>
      </w:r>
      <w:r>
        <w:rPr>
          <w:rFonts w:ascii="Times New Roman" w:eastAsia="仿宋_GB2312"/>
          <w:sz w:val="32"/>
          <w:szCs w:val="32"/>
        </w:rPr>
        <w:t>万元，</w:t>
      </w:r>
      <w:r>
        <w:rPr>
          <w:rFonts w:ascii="Times New Roman" w:eastAsia="仿宋_GB2312"/>
          <w:sz w:val="32"/>
          <w:szCs w:val="32"/>
        </w:rPr>
        <w:lastRenderedPageBreak/>
        <w:t>占政府采购支出总额的</w:t>
      </w:r>
      <w:r>
        <w:rPr>
          <w:rFonts w:ascii="Times New Roman" w:eastAsia="仿宋_GB2312"/>
          <w:sz w:val="32"/>
          <w:szCs w:val="32"/>
        </w:rPr>
        <w:t>0.0%</w:t>
      </w:r>
      <w:r>
        <w:rPr>
          <w:rFonts w:ascii="Times New Roman" w:eastAsia="仿宋_GB2312"/>
          <w:sz w:val="32"/>
          <w:szCs w:val="32"/>
        </w:rPr>
        <w:t>，其中授予小微企业合同金额</w:t>
      </w:r>
      <w:r>
        <w:rPr>
          <w:rFonts w:ascii="Times New Roman" w:eastAsia="仿宋_GB2312"/>
          <w:sz w:val="32"/>
          <w:szCs w:val="32"/>
        </w:rPr>
        <w:t>0.00</w:t>
      </w:r>
      <w:r>
        <w:rPr>
          <w:rFonts w:ascii="Times New Roman" w:eastAsia="仿宋_GB2312"/>
          <w:sz w:val="32"/>
          <w:szCs w:val="32"/>
        </w:rPr>
        <w:t>万元，占政府采购支出总额的</w:t>
      </w:r>
      <w:r>
        <w:rPr>
          <w:rFonts w:ascii="Times New Roman" w:eastAsia="仿宋_GB2312"/>
          <w:sz w:val="32"/>
          <w:szCs w:val="32"/>
        </w:rPr>
        <w:t>0.0%</w:t>
      </w:r>
      <w:r>
        <w:rPr>
          <w:rFonts w:ascii="Times New Roman" w:eastAsia="仿宋_GB2312"/>
          <w:sz w:val="32"/>
          <w:szCs w:val="32"/>
        </w:rPr>
        <w:t>。</w:t>
      </w:r>
    </w:p>
    <w:p w:rsidR="00314A00" w:rsidRDefault="00B456B2" w:rsidP="007F5941">
      <w:pPr>
        <w:widowControl/>
        <w:spacing w:line="360" w:lineRule="auto"/>
        <w:ind w:firstLineChars="200" w:firstLine="640"/>
        <w:jc w:val="left"/>
        <w:outlineLvl w:val="1"/>
        <w:rPr>
          <w:rFonts w:ascii="Times New Roman" w:eastAsia="黑体"/>
          <w:sz w:val="32"/>
          <w:szCs w:val="32"/>
        </w:rPr>
      </w:pPr>
      <w:r>
        <w:rPr>
          <w:rFonts w:ascii="Times New Roman" w:eastAsia="黑体"/>
          <w:sz w:val="32"/>
          <w:szCs w:val="32"/>
        </w:rPr>
        <w:t>八、国有资产占用情况说明</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截至</w:t>
      </w:r>
      <w:r>
        <w:rPr>
          <w:rFonts w:ascii="Times New Roman" w:eastAsia="仿宋_GB2312"/>
          <w:sz w:val="32"/>
          <w:szCs w:val="32"/>
        </w:rPr>
        <w:t>2025</w:t>
      </w:r>
      <w:r>
        <w:rPr>
          <w:rFonts w:ascii="Times New Roman" w:eastAsia="仿宋_GB2312"/>
          <w:sz w:val="32"/>
          <w:szCs w:val="32"/>
        </w:rPr>
        <w:t>年</w:t>
      </w:r>
      <w:r>
        <w:rPr>
          <w:rFonts w:ascii="Times New Roman" w:eastAsia="仿宋_GB2312"/>
          <w:sz w:val="32"/>
          <w:szCs w:val="32"/>
        </w:rPr>
        <w:t>12</w:t>
      </w:r>
      <w:r>
        <w:rPr>
          <w:rFonts w:ascii="Times New Roman" w:eastAsia="仿宋_GB2312"/>
          <w:sz w:val="32"/>
          <w:szCs w:val="32"/>
        </w:rPr>
        <w:t>月</w:t>
      </w:r>
      <w:r>
        <w:rPr>
          <w:rFonts w:ascii="Times New Roman" w:eastAsia="仿宋_GB2312"/>
          <w:sz w:val="32"/>
          <w:szCs w:val="32"/>
        </w:rPr>
        <w:t>31</w:t>
      </w:r>
      <w:r>
        <w:rPr>
          <w:rFonts w:ascii="Times New Roman" w:eastAsia="仿宋_GB2312"/>
          <w:sz w:val="32"/>
          <w:szCs w:val="32"/>
        </w:rPr>
        <w:t>日，本部门共有车辆</w:t>
      </w:r>
      <w:r>
        <w:rPr>
          <w:rFonts w:ascii="Times New Roman" w:eastAsia="仿宋_GB2312"/>
          <w:sz w:val="32"/>
          <w:szCs w:val="32"/>
        </w:rPr>
        <w:t>10</w:t>
      </w:r>
      <w:r>
        <w:rPr>
          <w:rFonts w:ascii="Times New Roman" w:eastAsia="仿宋_GB2312"/>
          <w:sz w:val="32"/>
          <w:szCs w:val="32"/>
        </w:rPr>
        <w:t>辆，比上年减少</w:t>
      </w:r>
      <w:r>
        <w:rPr>
          <w:rFonts w:ascii="Times New Roman" w:eastAsia="仿宋_GB2312"/>
          <w:sz w:val="32"/>
          <w:szCs w:val="32"/>
        </w:rPr>
        <w:t>1</w:t>
      </w:r>
      <w:r>
        <w:rPr>
          <w:rFonts w:ascii="Times New Roman" w:eastAsia="仿宋_GB2312"/>
          <w:sz w:val="32"/>
          <w:szCs w:val="32"/>
        </w:rPr>
        <w:t>辆，主要是。其中，副部（省）级及以上领导用车</w:t>
      </w:r>
      <w:r>
        <w:rPr>
          <w:rFonts w:ascii="Times New Roman" w:eastAsia="仿宋_GB2312"/>
          <w:sz w:val="32"/>
          <w:szCs w:val="32"/>
        </w:rPr>
        <w:t>0</w:t>
      </w:r>
      <w:r>
        <w:rPr>
          <w:rFonts w:ascii="Times New Roman" w:eastAsia="仿宋_GB2312"/>
          <w:sz w:val="32"/>
          <w:szCs w:val="32"/>
        </w:rPr>
        <w:t>辆，主要负责人用车</w:t>
      </w:r>
      <w:r>
        <w:rPr>
          <w:rFonts w:ascii="Times New Roman" w:eastAsia="仿宋_GB2312"/>
          <w:sz w:val="32"/>
          <w:szCs w:val="32"/>
        </w:rPr>
        <w:t>0</w:t>
      </w:r>
      <w:r>
        <w:rPr>
          <w:rFonts w:ascii="Times New Roman" w:eastAsia="仿宋_GB2312"/>
          <w:sz w:val="32"/>
          <w:szCs w:val="32"/>
        </w:rPr>
        <w:t>辆，机要通信用车</w:t>
      </w:r>
      <w:r>
        <w:rPr>
          <w:rFonts w:ascii="Times New Roman" w:eastAsia="仿宋_GB2312"/>
          <w:sz w:val="32"/>
          <w:szCs w:val="32"/>
        </w:rPr>
        <w:t>0</w:t>
      </w:r>
      <w:r>
        <w:rPr>
          <w:rFonts w:ascii="Times New Roman" w:eastAsia="仿宋_GB2312"/>
          <w:sz w:val="32"/>
          <w:szCs w:val="32"/>
        </w:rPr>
        <w:t>辆，应急保障用车</w:t>
      </w:r>
      <w:r>
        <w:rPr>
          <w:rFonts w:ascii="Times New Roman" w:eastAsia="仿宋_GB2312"/>
          <w:sz w:val="32"/>
          <w:szCs w:val="32"/>
        </w:rPr>
        <w:t>0</w:t>
      </w:r>
      <w:r>
        <w:rPr>
          <w:rFonts w:ascii="Times New Roman" w:eastAsia="仿宋_GB2312"/>
          <w:sz w:val="32"/>
          <w:szCs w:val="32"/>
        </w:rPr>
        <w:t>辆，执法执勤用车</w:t>
      </w:r>
      <w:r>
        <w:rPr>
          <w:rFonts w:ascii="Times New Roman" w:eastAsia="仿宋_GB2312"/>
          <w:sz w:val="32"/>
          <w:szCs w:val="32"/>
        </w:rPr>
        <w:t>10</w:t>
      </w:r>
      <w:r>
        <w:rPr>
          <w:rFonts w:ascii="Times New Roman" w:eastAsia="仿宋_GB2312"/>
          <w:sz w:val="32"/>
          <w:szCs w:val="32"/>
        </w:rPr>
        <w:t>辆，特种专业技术用车</w:t>
      </w:r>
      <w:r>
        <w:rPr>
          <w:rFonts w:ascii="Times New Roman" w:eastAsia="仿宋_GB2312"/>
          <w:sz w:val="32"/>
          <w:szCs w:val="32"/>
        </w:rPr>
        <w:t>0</w:t>
      </w:r>
      <w:r>
        <w:rPr>
          <w:rFonts w:ascii="Times New Roman" w:eastAsia="仿宋_GB2312"/>
          <w:sz w:val="32"/>
          <w:szCs w:val="32"/>
        </w:rPr>
        <w:t>辆，离退休干部用车</w:t>
      </w:r>
      <w:r>
        <w:rPr>
          <w:rFonts w:ascii="Times New Roman" w:eastAsia="仿宋_GB2312"/>
          <w:sz w:val="32"/>
          <w:szCs w:val="32"/>
        </w:rPr>
        <w:t>0</w:t>
      </w:r>
      <w:r>
        <w:rPr>
          <w:rFonts w:ascii="Times New Roman" w:eastAsia="仿宋_GB2312"/>
          <w:sz w:val="32"/>
          <w:szCs w:val="32"/>
        </w:rPr>
        <w:t>辆，其他用车</w:t>
      </w:r>
      <w:r>
        <w:rPr>
          <w:rFonts w:ascii="Times New Roman" w:eastAsia="仿宋_GB2312"/>
          <w:sz w:val="32"/>
          <w:szCs w:val="32"/>
        </w:rPr>
        <w:t>0</w:t>
      </w:r>
      <w:r>
        <w:rPr>
          <w:rFonts w:ascii="Times New Roman" w:eastAsia="仿宋_GB2312"/>
          <w:sz w:val="32"/>
          <w:szCs w:val="32"/>
        </w:rPr>
        <w:t>辆，其他用车主要是。</w:t>
      </w:r>
      <w:r w:rsidR="007F5941">
        <w:rPr>
          <w:rFonts w:ascii="宋体" w:eastAsia="宋体" w:hAnsi="宋体" w:hint="eastAsia"/>
          <w:sz w:val="32"/>
          <w:szCs w:val="32"/>
        </w:rPr>
        <w:t>部门</w:t>
      </w:r>
      <w:r>
        <w:rPr>
          <w:rFonts w:ascii="Times New Roman" w:eastAsia="仿宋_GB2312"/>
          <w:sz w:val="32"/>
          <w:szCs w:val="32"/>
        </w:rPr>
        <w:t>价值</w:t>
      </w:r>
      <w:r>
        <w:rPr>
          <w:rFonts w:ascii="Times New Roman" w:eastAsia="仿宋_GB2312"/>
          <w:sz w:val="32"/>
          <w:szCs w:val="32"/>
        </w:rPr>
        <w:t>100</w:t>
      </w:r>
      <w:r>
        <w:rPr>
          <w:rFonts w:ascii="Times New Roman" w:eastAsia="仿宋_GB2312"/>
          <w:sz w:val="32"/>
          <w:szCs w:val="32"/>
        </w:rPr>
        <w:t>万元（含）以上设备（不含车</w:t>
      </w:r>
      <w:r>
        <w:rPr>
          <w:rFonts w:ascii="Times New Roman" w:eastAsia="仿宋_GB2312"/>
          <w:sz w:val="32"/>
          <w:szCs w:val="32"/>
        </w:rPr>
        <w:t>辆）</w:t>
      </w:r>
      <w:r>
        <w:rPr>
          <w:rFonts w:ascii="Times New Roman" w:eastAsia="仿宋_GB2312"/>
          <w:sz w:val="32"/>
          <w:szCs w:val="32"/>
        </w:rPr>
        <w:t>0</w:t>
      </w:r>
      <w:r>
        <w:rPr>
          <w:rFonts w:ascii="Times New Roman" w:eastAsia="仿宋_GB2312"/>
          <w:sz w:val="32"/>
          <w:szCs w:val="32"/>
        </w:rPr>
        <w:t>台（套）。</w:t>
      </w:r>
    </w:p>
    <w:p w:rsidR="00314A00" w:rsidRDefault="00B456B2" w:rsidP="007F5941">
      <w:pPr>
        <w:widowControl/>
        <w:spacing w:line="360" w:lineRule="auto"/>
        <w:ind w:firstLineChars="200" w:firstLine="640"/>
        <w:jc w:val="left"/>
        <w:outlineLvl w:val="1"/>
        <w:rPr>
          <w:rFonts w:ascii="Times New Roman" w:eastAsia="黑体"/>
          <w:sz w:val="32"/>
          <w:szCs w:val="32"/>
        </w:rPr>
      </w:pPr>
      <w:r>
        <w:rPr>
          <w:rFonts w:ascii="Times New Roman" w:eastAsia="黑体"/>
          <w:sz w:val="32"/>
          <w:szCs w:val="32"/>
        </w:rPr>
        <w:t>九、关于</w:t>
      </w:r>
      <w:r>
        <w:rPr>
          <w:rFonts w:ascii="Times New Roman" w:eastAsia="黑体"/>
          <w:sz w:val="32"/>
          <w:szCs w:val="32"/>
        </w:rPr>
        <w:t>2025</w:t>
      </w:r>
      <w:r>
        <w:rPr>
          <w:rFonts w:ascii="Times New Roman" w:eastAsia="黑体"/>
          <w:sz w:val="32"/>
          <w:szCs w:val="32"/>
        </w:rPr>
        <w:t>年度绩效评价情况的说明</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（一）绩效评价工作开展情况</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根据预算绩效管理要求，本部门组织对</w:t>
      </w:r>
      <w:r>
        <w:rPr>
          <w:rFonts w:ascii="Times New Roman" w:eastAsia="仿宋_GB2312"/>
          <w:sz w:val="32"/>
          <w:szCs w:val="32"/>
        </w:rPr>
        <w:t>2025</w:t>
      </w:r>
      <w:r>
        <w:rPr>
          <w:rFonts w:ascii="Times New Roman" w:eastAsia="仿宋_GB2312"/>
          <w:sz w:val="32"/>
          <w:szCs w:val="32"/>
        </w:rPr>
        <w:t>年度本级预算项目支出全面开展绩效自评，共涉及资金万元（决算金额）。其中，一般公共预算项目个，涉及资金万元，占一般公共预算项目支出总额的</w:t>
      </w:r>
      <w:r>
        <w:rPr>
          <w:rFonts w:ascii="Times New Roman" w:eastAsia="仿宋_GB2312"/>
          <w:sz w:val="32"/>
          <w:szCs w:val="32"/>
        </w:rPr>
        <w:t>%</w:t>
      </w:r>
      <w:r>
        <w:rPr>
          <w:rFonts w:ascii="Times New Roman" w:eastAsia="仿宋_GB2312"/>
          <w:sz w:val="32"/>
          <w:szCs w:val="32"/>
        </w:rPr>
        <w:t>；政府性基金预算项目个，涉及资金万元，占政府性基金预算项目支出总额的</w:t>
      </w:r>
      <w:r>
        <w:rPr>
          <w:rFonts w:ascii="Times New Roman" w:eastAsia="仿宋_GB2312"/>
          <w:sz w:val="32"/>
          <w:szCs w:val="32"/>
        </w:rPr>
        <w:t>%</w:t>
      </w:r>
      <w:r>
        <w:rPr>
          <w:rFonts w:ascii="Times New Roman" w:eastAsia="仿宋_GB2312"/>
          <w:sz w:val="32"/>
          <w:szCs w:val="32"/>
        </w:rPr>
        <w:t>；国有资本经营预算项目个，涉及资金万元，占国有资本经营预算项目支出总额的</w:t>
      </w:r>
      <w:r>
        <w:rPr>
          <w:rFonts w:ascii="Times New Roman" w:eastAsia="仿宋_GB2312"/>
          <w:sz w:val="32"/>
          <w:szCs w:val="32"/>
        </w:rPr>
        <w:t>%</w:t>
      </w:r>
      <w:r>
        <w:rPr>
          <w:rFonts w:ascii="Times New Roman" w:eastAsia="仿宋_GB2312"/>
          <w:sz w:val="32"/>
          <w:szCs w:val="32"/>
        </w:rPr>
        <w:t>。</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lastRenderedPageBreak/>
        <w:t>组织对等个项目开展了部门重点评价，涉及一般公共预算支出万元，政府性基金预算支出万元，国有资本经营预算</w:t>
      </w:r>
      <w:r>
        <w:rPr>
          <w:rFonts w:ascii="Times New Roman" w:eastAsia="仿宋_GB2312"/>
          <w:sz w:val="32"/>
          <w:szCs w:val="32"/>
        </w:rPr>
        <w:t>支出万元，从评价情况来看，。</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（二）部门决算中项目绩效自评结果</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本部门在今年部门决算公开中反映等个项目绩效自评结果。</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项目绩效自评情况：根据年初设定的绩效目标，项目绩效自评得分为分（绩效自评表附后）。全年预算数为万元，执行数为万元，完成预算的</w:t>
      </w:r>
      <w:r>
        <w:rPr>
          <w:rFonts w:ascii="Times New Roman" w:eastAsia="仿宋_GB2312"/>
          <w:sz w:val="32"/>
          <w:szCs w:val="32"/>
        </w:rPr>
        <w:t>%</w:t>
      </w:r>
      <w:r>
        <w:rPr>
          <w:rFonts w:ascii="Times New Roman" w:eastAsia="仿宋_GB2312"/>
          <w:sz w:val="32"/>
          <w:szCs w:val="32"/>
        </w:rPr>
        <w:t>。项目绩效目标完成情况：一是；二是。发现的主要问题及原因是：一是；二是。下一步改进措施：一是；二是。</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（三）部门评价项目绩效评价结果（如有）</w:t>
      </w:r>
    </w:p>
    <w:p w:rsidR="00314A00" w:rsidRDefault="00314A00" w:rsidP="007F5941">
      <w:pPr>
        <w:widowControl/>
        <w:spacing w:line="360" w:lineRule="auto"/>
        <w:ind w:firstLineChars="200" w:firstLine="640"/>
        <w:jc w:val="left"/>
        <w:rPr>
          <w:rFonts w:ascii="Times New Roman" w:eastAsia="仿宋_GB2312"/>
          <w:sz w:val="32"/>
          <w:szCs w:val="32"/>
        </w:rPr>
      </w:pPr>
    </w:p>
    <w:p w:rsidR="00314A00" w:rsidRDefault="00B456B2" w:rsidP="007F5941">
      <w:pPr>
        <w:widowControl/>
        <w:spacing w:line="360" w:lineRule="auto"/>
        <w:ind w:firstLineChars="200" w:firstLine="640"/>
        <w:jc w:val="left"/>
        <w:rPr>
          <w:rFonts w:ascii="Times New Roman" w:eastAsia="黑体"/>
          <w:sz w:val="32"/>
          <w:szCs w:val="32"/>
        </w:rPr>
      </w:pPr>
      <w:r>
        <w:rPr>
          <w:rFonts w:ascii="Times New Roman" w:eastAsia="黑体"/>
          <w:sz w:val="32"/>
          <w:szCs w:val="32"/>
        </w:rPr>
        <w:t>十、其他需要说明的情况</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1.</w:t>
      </w:r>
      <w:r>
        <w:rPr>
          <w:rFonts w:ascii="Times New Roman" w:eastAsia="仿宋_GB2312"/>
          <w:sz w:val="32"/>
          <w:szCs w:val="32"/>
        </w:rPr>
        <w:t>本部门</w:t>
      </w:r>
      <w:r>
        <w:rPr>
          <w:rFonts w:ascii="Times New Roman" w:eastAsia="仿宋_GB2312"/>
          <w:sz w:val="32"/>
          <w:szCs w:val="32"/>
        </w:rPr>
        <w:t>2025</w:t>
      </w:r>
      <w:r>
        <w:rPr>
          <w:rFonts w:ascii="Times New Roman" w:eastAsia="仿宋_GB2312"/>
          <w:sz w:val="32"/>
          <w:szCs w:val="32"/>
        </w:rPr>
        <w:t>年度收入支出决算总表（公开</w:t>
      </w:r>
      <w:r>
        <w:rPr>
          <w:rFonts w:ascii="Times New Roman" w:eastAsia="仿宋_GB2312"/>
          <w:sz w:val="32"/>
          <w:szCs w:val="32"/>
        </w:rPr>
        <w:t>01</w:t>
      </w:r>
      <w:r>
        <w:rPr>
          <w:rFonts w:ascii="Times New Roman" w:eastAsia="仿宋_GB2312"/>
          <w:sz w:val="32"/>
          <w:szCs w:val="32"/>
        </w:rPr>
        <w:t>表）、收入决算表（公开</w:t>
      </w:r>
      <w:r>
        <w:rPr>
          <w:rFonts w:ascii="Times New Roman" w:eastAsia="仿宋_GB2312"/>
          <w:sz w:val="32"/>
          <w:szCs w:val="32"/>
        </w:rPr>
        <w:t>02</w:t>
      </w:r>
      <w:r>
        <w:rPr>
          <w:rFonts w:ascii="Times New Roman" w:eastAsia="仿宋_GB2312"/>
          <w:sz w:val="32"/>
          <w:szCs w:val="32"/>
        </w:rPr>
        <w:t>表）、支出决算表（公开</w:t>
      </w:r>
      <w:r>
        <w:rPr>
          <w:rFonts w:ascii="Times New Roman" w:eastAsia="仿宋_GB2312"/>
          <w:sz w:val="32"/>
          <w:szCs w:val="32"/>
        </w:rPr>
        <w:t>03</w:t>
      </w:r>
      <w:r>
        <w:rPr>
          <w:rFonts w:ascii="Times New Roman" w:eastAsia="仿宋_GB2312"/>
          <w:sz w:val="32"/>
          <w:szCs w:val="32"/>
        </w:rPr>
        <w:t>表）、财政拨款收入支出决算总表（公开</w:t>
      </w:r>
      <w:r>
        <w:rPr>
          <w:rFonts w:ascii="Times New Roman" w:eastAsia="仿宋_GB2312"/>
          <w:sz w:val="32"/>
          <w:szCs w:val="32"/>
        </w:rPr>
        <w:t>04</w:t>
      </w:r>
      <w:r>
        <w:rPr>
          <w:rFonts w:ascii="Times New Roman" w:eastAsia="仿宋_GB2312"/>
          <w:sz w:val="32"/>
          <w:szCs w:val="32"/>
        </w:rPr>
        <w:t>表）、一般公共预算财政拨款支出决算表（公开</w:t>
      </w:r>
      <w:r>
        <w:rPr>
          <w:rFonts w:ascii="Times New Roman" w:eastAsia="仿宋_GB2312"/>
          <w:sz w:val="32"/>
          <w:szCs w:val="32"/>
        </w:rPr>
        <w:t>05</w:t>
      </w:r>
      <w:r>
        <w:rPr>
          <w:rFonts w:ascii="Times New Roman" w:eastAsia="仿宋_GB2312"/>
          <w:sz w:val="32"/>
          <w:szCs w:val="32"/>
        </w:rPr>
        <w:t>表）、一般公共预算财政拨款基本支出决算明细表（公开</w:t>
      </w:r>
      <w:r>
        <w:rPr>
          <w:rFonts w:ascii="Times New Roman" w:eastAsia="仿宋_GB2312"/>
          <w:sz w:val="32"/>
          <w:szCs w:val="32"/>
        </w:rPr>
        <w:t>06</w:t>
      </w:r>
      <w:r>
        <w:rPr>
          <w:rFonts w:ascii="Times New Roman" w:eastAsia="仿宋_GB2312"/>
          <w:sz w:val="32"/>
          <w:szCs w:val="32"/>
        </w:rPr>
        <w:t>表）、政府性基金预算财政拨款收入支出决算表（公开</w:t>
      </w:r>
      <w:r>
        <w:rPr>
          <w:rFonts w:ascii="Times New Roman" w:eastAsia="仿宋_GB2312"/>
          <w:sz w:val="32"/>
          <w:szCs w:val="32"/>
        </w:rPr>
        <w:t>07</w:t>
      </w:r>
      <w:r>
        <w:rPr>
          <w:rFonts w:ascii="Times New Roman" w:eastAsia="仿宋_GB2312"/>
          <w:sz w:val="32"/>
          <w:szCs w:val="32"/>
        </w:rPr>
        <w:t>表）、国有资本经营预算财政拨款支出决算表（公开</w:t>
      </w:r>
      <w:r>
        <w:rPr>
          <w:rFonts w:ascii="Times New Roman" w:eastAsia="仿宋_GB2312"/>
          <w:sz w:val="32"/>
          <w:szCs w:val="32"/>
        </w:rPr>
        <w:t>08</w:t>
      </w:r>
      <w:r>
        <w:rPr>
          <w:rFonts w:ascii="Times New Roman" w:eastAsia="仿宋_GB2312"/>
          <w:sz w:val="32"/>
          <w:szCs w:val="32"/>
        </w:rPr>
        <w:t>表）、财</w:t>
      </w:r>
      <w:r>
        <w:rPr>
          <w:rFonts w:ascii="Times New Roman" w:eastAsia="仿宋_GB2312"/>
          <w:sz w:val="32"/>
          <w:szCs w:val="32"/>
        </w:rPr>
        <w:lastRenderedPageBreak/>
        <w:t>政拨款</w:t>
      </w:r>
      <w:r>
        <w:rPr>
          <w:rFonts w:ascii="Times New Roman" w:eastAsia="仿宋_GB2312"/>
          <w:sz w:val="32"/>
          <w:szCs w:val="32"/>
        </w:rPr>
        <w:t>“</w:t>
      </w:r>
      <w:r>
        <w:rPr>
          <w:rFonts w:ascii="Times New Roman" w:eastAsia="仿宋_GB2312"/>
          <w:sz w:val="32"/>
          <w:szCs w:val="32"/>
        </w:rPr>
        <w:t>三公</w:t>
      </w:r>
      <w:r>
        <w:rPr>
          <w:rFonts w:ascii="Times New Roman" w:eastAsia="仿宋_GB2312"/>
          <w:sz w:val="32"/>
          <w:szCs w:val="32"/>
        </w:rPr>
        <w:t>”</w:t>
      </w:r>
      <w:r>
        <w:rPr>
          <w:rFonts w:ascii="Times New Roman" w:eastAsia="仿宋_GB2312"/>
          <w:sz w:val="32"/>
          <w:szCs w:val="32"/>
        </w:rPr>
        <w:t>经费支出决算表（公开</w:t>
      </w:r>
      <w:r>
        <w:rPr>
          <w:rFonts w:ascii="Times New Roman" w:eastAsia="仿宋_GB2312"/>
          <w:sz w:val="32"/>
          <w:szCs w:val="32"/>
        </w:rPr>
        <w:t>09</w:t>
      </w:r>
      <w:r>
        <w:rPr>
          <w:rFonts w:ascii="Times New Roman" w:eastAsia="仿宋_GB2312"/>
          <w:sz w:val="32"/>
          <w:szCs w:val="32"/>
        </w:rPr>
        <w:t>表）无相应收支，故空表列示。</w:t>
      </w:r>
    </w:p>
    <w:p w:rsidR="00314A00" w:rsidRDefault="00B456B2" w:rsidP="007F5941">
      <w:pPr>
        <w:widowControl/>
        <w:spacing w:line="360" w:lineRule="auto"/>
        <w:ind w:firstLineChars="200" w:firstLine="640"/>
        <w:jc w:val="left"/>
        <w:rPr>
          <w:rFonts w:ascii="Times New Roman" w:eastAsia="仿宋_GB2312"/>
          <w:sz w:val="32"/>
          <w:szCs w:val="32"/>
        </w:rPr>
      </w:pPr>
      <w:r>
        <w:rPr>
          <w:rFonts w:ascii="Times New Roman" w:eastAsia="仿宋_GB2312"/>
          <w:sz w:val="32"/>
          <w:szCs w:val="32"/>
        </w:rPr>
        <w:t xml:space="preserve">2. </w:t>
      </w:r>
      <w:r>
        <w:rPr>
          <w:rFonts w:ascii="Times New Roman" w:eastAsia="仿宋_GB2312"/>
          <w:sz w:val="32"/>
          <w:szCs w:val="32"/>
        </w:rPr>
        <w:t>由于决算公开表格中金额数值应当保留两位小数，公开数据为四舍五入计算结果，个别数据合计项与分项之和存在小数点后差额，特此说明。</w:t>
      </w:r>
    </w:p>
    <w:p w:rsidR="00314A00" w:rsidRDefault="00B456B2">
      <w:pPr>
        <w:rPr>
          <w:rFonts w:ascii="Times New Roman" w:eastAsia="仿宋_GB2312" w:hAnsi="Times New Roman" w:cs="Times New Roman"/>
          <w:sz w:val="32"/>
          <w:szCs w:val="32"/>
        </w:rPr>
      </w:pPr>
      <w:r>
        <w:rPr>
          <w:rFonts w:ascii="Times New Roman" w:eastAsia="仿宋_GB2312" w:hAnsi="Times New Roman" w:cs="Times New Roman"/>
          <w:sz w:val="32"/>
          <w:szCs w:val="32"/>
        </w:rPr>
        <w:br w:type="page"/>
      </w:r>
    </w:p>
    <w:p w:rsidR="00314A00" w:rsidRDefault="00314A00">
      <w:pPr>
        <w:widowControl/>
        <w:rPr>
          <w:rFonts w:ascii="Times New Roman" w:eastAsia="黑体" w:hAnsi="Times New Roman" w:cs="Times New Roman"/>
          <w:color w:val="000000" w:themeColor="text1"/>
          <w:sz w:val="44"/>
          <w:szCs w:val="44"/>
        </w:rPr>
      </w:pPr>
    </w:p>
    <w:p w:rsidR="00314A00" w:rsidRDefault="00314A00">
      <w:pPr>
        <w:widowControl/>
        <w:rPr>
          <w:rFonts w:ascii="Times New Roman" w:eastAsia="黑体" w:hAnsi="Times New Roman" w:cs="Times New Roman"/>
          <w:color w:val="000000" w:themeColor="text1"/>
          <w:sz w:val="44"/>
          <w:szCs w:val="44"/>
        </w:rPr>
      </w:pPr>
    </w:p>
    <w:p w:rsidR="00314A00" w:rsidRDefault="00314A00">
      <w:pPr>
        <w:widowControl/>
        <w:rPr>
          <w:rFonts w:ascii="Times New Roman" w:eastAsia="黑体" w:hAnsi="Times New Roman" w:cs="Times New Roman"/>
          <w:color w:val="000000" w:themeColor="text1"/>
          <w:sz w:val="44"/>
          <w:szCs w:val="44"/>
        </w:rPr>
      </w:pPr>
    </w:p>
    <w:p w:rsidR="00314A00" w:rsidRDefault="00314A00">
      <w:pPr>
        <w:widowControl/>
        <w:rPr>
          <w:rFonts w:ascii="Times New Roman" w:eastAsia="黑体" w:hAnsi="Times New Roman" w:cs="Times New Roman"/>
          <w:color w:val="000000" w:themeColor="text1"/>
          <w:sz w:val="44"/>
          <w:szCs w:val="44"/>
        </w:rPr>
      </w:pPr>
    </w:p>
    <w:p w:rsidR="00314A00" w:rsidRDefault="00314A00">
      <w:pPr>
        <w:widowControl/>
        <w:rPr>
          <w:rFonts w:ascii="Times New Roman" w:eastAsia="黑体" w:hAnsi="Times New Roman" w:cs="Times New Roman"/>
          <w:color w:val="000000" w:themeColor="text1"/>
          <w:sz w:val="44"/>
          <w:szCs w:val="44"/>
        </w:rPr>
      </w:pPr>
    </w:p>
    <w:p w:rsidR="00314A00" w:rsidRDefault="00B456B2">
      <w:pPr>
        <w:widowControl/>
        <w:spacing w:line="360" w:lineRule="auto"/>
        <w:jc w:val="center"/>
        <w:outlineLvl w:val="0"/>
        <w:rPr>
          <w:rFonts w:ascii="Times New Roman" w:eastAsia="黑体"/>
          <w:sz w:val="44"/>
          <w:szCs w:val="44"/>
        </w:rPr>
      </w:pPr>
      <w:r>
        <w:rPr>
          <w:rFonts w:ascii="Times New Roman" w:eastAsia="黑体"/>
          <w:sz w:val="44"/>
          <w:szCs w:val="44"/>
        </w:rPr>
        <w:t>第四部分</w:t>
      </w:r>
      <w:r>
        <w:rPr>
          <w:rFonts w:ascii="Times New Roman" w:eastAsia="黑体"/>
          <w:sz w:val="44"/>
          <w:szCs w:val="44"/>
        </w:rPr>
        <w:t xml:space="preserve"> </w:t>
      </w:r>
      <w:r>
        <w:rPr>
          <w:rFonts w:ascii="Times New Roman" w:eastAsia="黑体"/>
          <w:sz w:val="44"/>
          <w:szCs w:val="44"/>
        </w:rPr>
        <w:t>名词解释</w:t>
      </w:r>
    </w:p>
    <w:p w:rsidR="00314A00" w:rsidRDefault="00314A00">
      <w:pPr>
        <w:widowControl/>
        <w:rPr>
          <w:rFonts w:ascii="Times New Roman" w:eastAsia="黑体" w:hAnsi="Times New Roman" w:cs="Times New Roman"/>
          <w:color w:val="000000" w:themeColor="text1"/>
          <w:sz w:val="44"/>
          <w:szCs w:val="44"/>
        </w:rPr>
      </w:pPr>
    </w:p>
    <w:p w:rsidR="00314A00" w:rsidRDefault="00314A00">
      <w:pPr>
        <w:widowControl/>
        <w:rPr>
          <w:rFonts w:ascii="Times New Roman" w:eastAsia="黑体" w:hAnsi="Times New Roman" w:cs="Times New Roman"/>
          <w:color w:val="000000" w:themeColor="text1"/>
          <w:sz w:val="44"/>
          <w:szCs w:val="44"/>
        </w:rPr>
      </w:pPr>
    </w:p>
    <w:p w:rsidR="00314A00" w:rsidRDefault="00314A00">
      <w:pPr>
        <w:widowControl/>
        <w:rPr>
          <w:rFonts w:ascii="Times New Roman" w:eastAsia="黑体" w:hAnsi="Times New Roman" w:cs="Times New Roman"/>
          <w:color w:val="000000" w:themeColor="text1"/>
          <w:sz w:val="44"/>
          <w:szCs w:val="44"/>
        </w:rPr>
      </w:pPr>
    </w:p>
    <w:p w:rsidR="00314A00" w:rsidRDefault="00314A00">
      <w:pPr>
        <w:widowControl/>
        <w:rPr>
          <w:rFonts w:ascii="Times New Roman" w:eastAsia="黑体" w:hAnsi="Times New Roman" w:cs="Times New Roman"/>
          <w:color w:val="000000" w:themeColor="text1"/>
          <w:sz w:val="44"/>
          <w:szCs w:val="44"/>
        </w:rPr>
      </w:pPr>
    </w:p>
    <w:p w:rsidR="00314A00" w:rsidRDefault="00314A00">
      <w:pPr>
        <w:widowControl/>
        <w:rPr>
          <w:rFonts w:ascii="Times New Roman" w:eastAsia="黑体" w:hAnsi="Times New Roman" w:cs="Times New Roman"/>
          <w:color w:val="000000" w:themeColor="text1"/>
          <w:sz w:val="44"/>
          <w:szCs w:val="44"/>
        </w:rPr>
      </w:pPr>
    </w:p>
    <w:p w:rsidR="00314A00" w:rsidRDefault="00314A00">
      <w:pPr>
        <w:widowControl/>
        <w:rPr>
          <w:rFonts w:ascii="Times New Roman" w:eastAsia="黑体" w:hAnsi="Times New Roman" w:cs="Times New Roman"/>
          <w:color w:val="000000" w:themeColor="text1"/>
          <w:sz w:val="44"/>
          <w:szCs w:val="44"/>
        </w:rPr>
      </w:pPr>
    </w:p>
    <w:p w:rsidR="00314A00" w:rsidRDefault="00314A00">
      <w:pPr>
        <w:widowControl/>
        <w:rPr>
          <w:rFonts w:ascii="Times New Roman" w:eastAsia="黑体" w:hAnsi="Times New Roman" w:cs="Times New Roman"/>
          <w:color w:val="000000" w:themeColor="text1"/>
          <w:sz w:val="44"/>
          <w:szCs w:val="44"/>
        </w:rPr>
      </w:pPr>
    </w:p>
    <w:p w:rsidR="00314A00" w:rsidRDefault="00314A00">
      <w:pPr>
        <w:widowControl/>
        <w:rPr>
          <w:rFonts w:ascii="Times New Roman" w:eastAsia="黑体" w:hAnsi="Times New Roman" w:cs="Times New Roman"/>
          <w:color w:val="000000" w:themeColor="text1"/>
          <w:sz w:val="44"/>
          <w:szCs w:val="44"/>
        </w:rPr>
      </w:pPr>
    </w:p>
    <w:p w:rsidR="00314A00" w:rsidRDefault="00314A00">
      <w:pPr>
        <w:widowControl/>
        <w:rPr>
          <w:rFonts w:ascii="Times New Roman" w:eastAsia="黑体" w:hAnsi="Times New Roman" w:cs="Times New Roman"/>
          <w:color w:val="000000" w:themeColor="text1"/>
          <w:sz w:val="44"/>
          <w:szCs w:val="44"/>
        </w:rPr>
      </w:pPr>
    </w:p>
    <w:p w:rsidR="00314A00" w:rsidRDefault="00314A00">
      <w:pPr>
        <w:widowControl/>
        <w:rPr>
          <w:rFonts w:ascii="Times New Roman" w:eastAsia="黑体" w:hAnsi="Times New Roman" w:cs="Times New Roman"/>
          <w:color w:val="000000" w:themeColor="text1"/>
          <w:sz w:val="44"/>
          <w:szCs w:val="44"/>
        </w:rPr>
      </w:pPr>
    </w:p>
    <w:p w:rsidR="00314A00" w:rsidRDefault="00314A00">
      <w:pPr>
        <w:widowControl/>
        <w:rPr>
          <w:rFonts w:ascii="Times New Roman" w:eastAsia="黑体" w:hAnsi="Times New Roman" w:cs="Times New Roman"/>
          <w:color w:val="000000" w:themeColor="text1"/>
          <w:sz w:val="44"/>
          <w:szCs w:val="44"/>
        </w:rPr>
      </w:pPr>
    </w:p>
    <w:p w:rsidR="00314A00" w:rsidRDefault="00314A00">
      <w:pPr>
        <w:widowControl/>
        <w:rPr>
          <w:rFonts w:ascii="Times New Roman" w:eastAsia="黑体" w:hAnsi="Times New Roman" w:cs="Times New Roman"/>
          <w:color w:val="000000" w:themeColor="text1"/>
          <w:sz w:val="44"/>
          <w:szCs w:val="44"/>
        </w:rPr>
      </w:pPr>
    </w:p>
    <w:p w:rsidR="00314A00" w:rsidRDefault="00314A00">
      <w:pPr>
        <w:widowControl/>
        <w:rPr>
          <w:rFonts w:ascii="Times New Roman" w:eastAsia="黑体" w:hAnsi="Times New Roman" w:cs="Times New Roman"/>
          <w:color w:val="000000" w:themeColor="text1"/>
          <w:sz w:val="44"/>
          <w:szCs w:val="44"/>
        </w:rPr>
      </w:pP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lastRenderedPageBreak/>
        <w:t>一、财政拨款收入：</w:t>
      </w:r>
      <w:r>
        <w:rPr>
          <w:rFonts w:ascii="Times New Roman" w:eastAsia="仿宋_GB2312"/>
          <w:sz w:val="32"/>
          <w:szCs w:val="32"/>
        </w:rPr>
        <w:t>指</w:t>
      </w:r>
      <w:r w:rsidR="007F5941">
        <w:rPr>
          <w:rFonts w:ascii="宋体" w:eastAsia="宋体" w:hAnsi="宋体" w:hint="eastAsia"/>
          <w:sz w:val="32"/>
          <w:szCs w:val="32"/>
        </w:rPr>
        <w:t>部门</w:t>
      </w:r>
      <w:r>
        <w:rPr>
          <w:rFonts w:ascii="Times New Roman" w:eastAsia="仿宋_GB2312"/>
          <w:sz w:val="32"/>
          <w:szCs w:val="32"/>
        </w:rPr>
        <w:t>从同级财政部门取得的财政预算资金。</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sz w:val="32"/>
          <w:szCs w:val="32"/>
        </w:rPr>
        <w:t>指事业</w:t>
      </w:r>
      <w:r w:rsidR="007F5941">
        <w:rPr>
          <w:rFonts w:ascii="宋体" w:eastAsia="宋体" w:hAnsi="宋体" w:hint="eastAsia"/>
          <w:sz w:val="32"/>
          <w:szCs w:val="32"/>
        </w:rPr>
        <w:t>部门</w:t>
      </w:r>
      <w:r>
        <w:rPr>
          <w:rFonts w:ascii="Times New Roman" w:eastAsia="仿宋_GB2312"/>
          <w:sz w:val="32"/>
          <w:szCs w:val="32"/>
        </w:rPr>
        <w:t>开展专业业务活动及辅助活动取得的收入。</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sz w:val="32"/>
          <w:szCs w:val="32"/>
        </w:rPr>
        <w:t>指事业</w:t>
      </w:r>
      <w:r w:rsidR="007F5941">
        <w:rPr>
          <w:rFonts w:ascii="宋体" w:eastAsia="宋体" w:hAnsi="宋体" w:hint="eastAsia"/>
          <w:sz w:val="32"/>
          <w:szCs w:val="32"/>
        </w:rPr>
        <w:t>部门</w:t>
      </w:r>
      <w:r>
        <w:rPr>
          <w:rFonts w:ascii="Times New Roman" w:eastAsia="仿宋_GB2312"/>
          <w:sz w:val="32"/>
          <w:szCs w:val="32"/>
        </w:rPr>
        <w:t>在专业业务活动及其辅助活动之外开展非独立核算经营活动取得的收入。</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sz w:val="32"/>
          <w:szCs w:val="32"/>
        </w:rPr>
        <w:t>指</w:t>
      </w:r>
      <w:r w:rsidR="007F5941">
        <w:rPr>
          <w:rFonts w:ascii="宋体" w:eastAsia="宋体" w:hAnsi="宋体" w:hint="eastAsia"/>
          <w:sz w:val="32"/>
          <w:szCs w:val="32"/>
        </w:rPr>
        <w:t>部门</w:t>
      </w:r>
      <w:r>
        <w:rPr>
          <w:rFonts w:ascii="Times New Roman" w:eastAsia="仿宋_GB2312"/>
          <w:sz w:val="32"/>
          <w:szCs w:val="32"/>
        </w:rPr>
        <w:t>取得的除上述收入以外的各项收入。主要是事业</w:t>
      </w:r>
      <w:r w:rsidR="007F5941">
        <w:rPr>
          <w:rFonts w:ascii="宋体" w:eastAsia="宋体" w:hAnsi="宋体" w:hint="eastAsia"/>
          <w:sz w:val="32"/>
          <w:szCs w:val="32"/>
        </w:rPr>
        <w:t>部门</w:t>
      </w:r>
      <w:r>
        <w:rPr>
          <w:rFonts w:ascii="Times New Roman" w:eastAsia="仿宋_GB2312"/>
          <w:sz w:val="32"/>
          <w:szCs w:val="32"/>
        </w:rPr>
        <w:t>固定资产出租收入、存款利息收入等。</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sz w:val="32"/>
          <w:szCs w:val="32"/>
        </w:rPr>
        <w:t>指事业</w:t>
      </w:r>
      <w:r w:rsidR="007F5941">
        <w:rPr>
          <w:rFonts w:ascii="宋体" w:eastAsia="宋体" w:hAnsi="宋体" w:hint="eastAsia"/>
          <w:sz w:val="32"/>
          <w:szCs w:val="32"/>
        </w:rPr>
        <w:t>部门</w:t>
      </w:r>
      <w:r>
        <w:rPr>
          <w:rFonts w:ascii="Times New Roman" w:eastAsia="仿宋_GB2312"/>
          <w:sz w:val="32"/>
          <w:szCs w:val="32"/>
        </w:rPr>
        <w:t>按照预算管理要求使用非财政拨款结余弥补收支差额的金额，以及使用专用结余安排支出的金额。</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sz w:val="32"/>
          <w:szCs w:val="32"/>
        </w:rPr>
        <w:t>指</w:t>
      </w:r>
      <w:r w:rsidR="007F5941">
        <w:rPr>
          <w:rFonts w:ascii="宋体" w:eastAsia="宋体" w:hAnsi="宋体" w:hint="eastAsia"/>
          <w:sz w:val="32"/>
          <w:szCs w:val="32"/>
        </w:rPr>
        <w:t>部门</w:t>
      </w:r>
      <w:r>
        <w:rPr>
          <w:rFonts w:ascii="Times New Roman" w:eastAsia="仿宋_GB2312"/>
          <w:sz w:val="32"/>
          <w:szCs w:val="32"/>
        </w:rPr>
        <w:t>以前年度尚未完成、结转到本年仍按原规定用途继续使用的资金，或项目已完成等产生的结余资金。</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sz w:val="32"/>
          <w:szCs w:val="32"/>
        </w:rPr>
        <w:t>指事业</w:t>
      </w:r>
      <w:r w:rsidR="007F5941">
        <w:rPr>
          <w:rFonts w:ascii="宋体" w:eastAsia="宋体" w:hAnsi="宋体" w:hint="eastAsia"/>
          <w:sz w:val="32"/>
          <w:szCs w:val="32"/>
        </w:rPr>
        <w:t>部门</w:t>
      </w:r>
      <w:r>
        <w:rPr>
          <w:rFonts w:ascii="Times New Roman" w:eastAsia="仿宋_GB2312"/>
          <w:sz w:val="32"/>
          <w:szCs w:val="32"/>
        </w:rPr>
        <w:t>按照会计制度规定缴纳的所得税、提取的专用结余以及转入非财政拨款结余的金额等。</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sz w:val="32"/>
          <w:szCs w:val="32"/>
        </w:rPr>
        <w:t>指</w:t>
      </w:r>
      <w:r w:rsidR="007F5941">
        <w:rPr>
          <w:rFonts w:ascii="宋体" w:eastAsia="宋体" w:hAnsi="宋体" w:hint="eastAsia"/>
          <w:sz w:val="32"/>
          <w:szCs w:val="32"/>
        </w:rPr>
        <w:t>部门</w:t>
      </w:r>
      <w:r>
        <w:rPr>
          <w:rFonts w:ascii="Times New Roman" w:eastAsia="仿宋_GB2312"/>
          <w:sz w:val="32"/>
          <w:szCs w:val="32"/>
        </w:rPr>
        <w:t>按有关规定结转到下年或以后年度继续使用的资金，或项目已完成等产生的结余资金。</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lastRenderedPageBreak/>
        <w:t>九、基本支出：</w:t>
      </w:r>
      <w:r>
        <w:rPr>
          <w:rFonts w:ascii="Times New Roman" w:eastAsia="仿宋_GB2312"/>
          <w:sz w:val="32"/>
          <w:szCs w:val="32"/>
        </w:rPr>
        <w:t>指为保障机构正常运转、完成日常工作任务而发生的人员支出和公用支出。</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sz w:val="32"/>
          <w:szCs w:val="32"/>
        </w:rPr>
        <w:t>指在基本支出之外为完成特定行政任务和事业发展目标所发生的支出。</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十一、经营支出</w:t>
      </w:r>
      <w:r>
        <w:rPr>
          <w:rFonts w:ascii="Times New Roman" w:eastAsia="仿宋_GB2312"/>
          <w:b/>
          <w:sz w:val="32"/>
          <w:szCs w:val="32"/>
        </w:rPr>
        <w:t xml:space="preserve"> </w:t>
      </w:r>
      <w:r>
        <w:rPr>
          <w:rFonts w:ascii="Times New Roman" w:eastAsia="仿宋_GB2312"/>
          <w:b/>
          <w:sz w:val="32"/>
          <w:szCs w:val="32"/>
        </w:rPr>
        <w:t>：</w:t>
      </w:r>
      <w:r>
        <w:rPr>
          <w:rFonts w:ascii="Times New Roman" w:eastAsia="仿宋_GB2312"/>
          <w:sz w:val="32"/>
          <w:szCs w:val="32"/>
        </w:rPr>
        <w:t>指事业</w:t>
      </w:r>
      <w:r w:rsidR="007F5941">
        <w:rPr>
          <w:rFonts w:ascii="宋体" w:eastAsia="宋体" w:hAnsi="宋体" w:hint="eastAsia"/>
          <w:sz w:val="32"/>
          <w:szCs w:val="32"/>
        </w:rPr>
        <w:t>部门</w:t>
      </w:r>
      <w:r>
        <w:rPr>
          <w:rFonts w:ascii="Times New Roman" w:eastAsia="仿宋_GB2312"/>
          <w:sz w:val="32"/>
          <w:szCs w:val="32"/>
        </w:rPr>
        <w:t>在专业业务活动及其辅助活动之外开展非独立核算经营活动发生的支出。</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sz w:val="32"/>
          <w:szCs w:val="32"/>
        </w:rPr>
        <w:t>填列由各级非发展与改革部门集中安排的用于购置固定资产、战备性和应急性储备、土地和无形资产，以及购建基础设施、大型修缮和财政支持企业更新改造所发生的支出。</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十四、</w:t>
      </w:r>
      <w:r>
        <w:rPr>
          <w:rFonts w:ascii="Times New Roman" w:eastAsia="仿宋_GB2312"/>
          <w:b/>
          <w:sz w:val="32"/>
          <w:szCs w:val="32"/>
        </w:rPr>
        <w:t>“</w:t>
      </w:r>
      <w:r>
        <w:rPr>
          <w:rFonts w:ascii="Times New Roman" w:eastAsia="仿宋_GB2312"/>
          <w:b/>
          <w:sz w:val="32"/>
          <w:szCs w:val="32"/>
        </w:rPr>
        <w:t>三公</w:t>
      </w:r>
      <w:r>
        <w:rPr>
          <w:rFonts w:ascii="Times New Roman" w:eastAsia="仿宋_GB2312"/>
          <w:b/>
          <w:sz w:val="32"/>
          <w:szCs w:val="32"/>
        </w:rPr>
        <w:t>”</w:t>
      </w:r>
      <w:r>
        <w:rPr>
          <w:rFonts w:ascii="Times New Roman" w:eastAsia="仿宋_GB2312"/>
          <w:b/>
          <w:sz w:val="32"/>
          <w:szCs w:val="32"/>
        </w:rPr>
        <w:t>经费：</w:t>
      </w:r>
      <w:r>
        <w:rPr>
          <w:rFonts w:ascii="Times New Roman" w:eastAsia="仿宋_GB2312"/>
          <w:sz w:val="32"/>
          <w:szCs w:val="32"/>
        </w:rPr>
        <w:t>指部门用财政</w:t>
      </w:r>
      <w:r>
        <w:rPr>
          <w:rFonts w:ascii="Times New Roman" w:eastAsia="仿宋_GB2312"/>
          <w:sz w:val="32"/>
          <w:szCs w:val="32"/>
        </w:rPr>
        <w:t>拨款安排的因公出国（境）费、公务用车购置及运行费和公务接待费。其中，因公出国（境）费反映</w:t>
      </w:r>
      <w:r w:rsidR="007F5941">
        <w:rPr>
          <w:rFonts w:ascii="宋体" w:eastAsia="宋体" w:hAnsi="宋体" w:hint="eastAsia"/>
          <w:sz w:val="32"/>
          <w:szCs w:val="32"/>
        </w:rPr>
        <w:t>部门</w:t>
      </w:r>
      <w:r>
        <w:rPr>
          <w:rFonts w:ascii="Times New Roman" w:eastAsia="仿宋_GB2312"/>
          <w:sz w:val="32"/>
          <w:szCs w:val="32"/>
        </w:rPr>
        <w:t>公务出国（境）的国际旅费、国外城市间交通费、住宿费、伙食费、培训费、公杂费等支出；公务用车购置及运行费</w:t>
      </w:r>
      <w:r>
        <w:rPr>
          <w:rFonts w:ascii="Times New Roman" w:eastAsia="仿宋_GB2312"/>
          <w:sz w:val="32"/>
          <w:szCs w:val="32"/>
        </w:rPr>
        <w:lastRenderedPageBreak/>
        <w:t>反映</w:t>
      </w:r>
      <w:r w:rsidR="007F5941">
        <w:rPr>
          <w:rFonts w:ascii="宋体" w:eastAsia="宋体" w:hAnsi="宋体" w:hint="eastAsia"/>
          <w:sz w:val="32"/>
          <w:szCs w:val="32"/>
        </w:rPr>
        <w:t>部门</w:t>
      </w:r>
      <w:r>
        <w:rPr>
          <w:rFonts w:ascii="Times New Roman" w:eastAsia="仿宋_GB2312"/>
          <w:sz w:val="32"/>
          <w:szCs w:val="32"/>
        </w:rPr>
        <w:t>公务用车购置支出（含车辆购置税、牌照费）及按规定保留的公务用车燃料费、维修费、过桥过路费、保险费、安全奖励费用等支出；公务接待费反映</w:t>
      </w:r>
      <w:r w:rsidR="007F5941">
        <w:rPr>
          <w:rFonts w:ascii="宋体" w:eastAsia="宋体" w:hAnsi="宋体" w:hint="eastAsia"/>
          <w:sz w:val="32"/>
          <w:szCs w:val="32"/>
        </w:rPr>
        <w:t>部门</w:t>
      </w:r>
      <w:r>
        <w:rPr>
          <w:rFonts w:ascii="Times New Roman" w:eastAsia="仿宋_GB2312"/>
          <w:sz w:val="32"/>
          <w:szCs w:val="32"/>
        </w:rPr>
        <w:t>按规定开支的各类公务接待（含外宾接待）支出。</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sz w:val="32"/>
          <w:szCs w:val="32"/>
        </w:rPr>
        <w:t>填列</w:t>
      </w:r>
      <w:r w:rsidR="007F5941">
        <w:rPr>
          <w:rFonts w:ascii="宋体" w:eastAsia="宋体" w:hAnsi="宋体" w:hint="eastAsia"/>
          <w:sz w:val="32"/>
          <w:szCs w:val="32"/>
        </w:rPr>
        <w:t>部门</w:t>
      </w:r>
      <w:r>
        <w:rPr>
          <w:rFonts w:ascii="Times New Roman" w:eastAsia="仿宋_GB2312"/>
          <w:sz w:val="32"/>
          <w:szCs w:val="32"/>
        </w:rPr>
        <w:t>除公务用车运行维护费以外的其他交通费用。如公务交通补贴、租车费用、出租车费用，飞机、船舶等燃料费、维</w:t>
      </w:r>
      <w:r>
        <w:rPr>
          <w:rFonts w:ascii="Times New Roman" w:eastAsia="仿宋_GB2312"/>
          <w:sz w:val="32"/>
          <w:szCs w:val="32"/>
        </w:rPr>
        <w:t>修费、保险费等。</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sz w:val="32"/>
          <w:szCs w:val="32"/>
        </w:rPr>
        <w:t>填列</w:t>
      </w:r>
      <w:r w:rsidR="007F5941">
        <w:rPr>
          <w:rFonts w:ascii="宋体" w:eastAsia="宋体" w:hAnsi="宋体" w:hint="eastAsia"/>
          <w:sz w:val="32"/>
          <w:szCs w:val="32"/>
        </w:rPr>
        <w:t>部门</w:t>
      </w:r>
      <w:r>
        <w:rPr>
          <w:rFonts w:ascii="Times New Roman" w:eastAsia="仿宋_GB2312"/>
          <w:sz w:val="32"/>
          <w:szCs w:val="32"/>
        </w:rPr>
        <w:t>公务用车车辆购置支出（含车辆购置税、牌照费）。</w:t>
      </w:r>
    </w:p>
    <w:p w:rsidR="00314A00" w:rsidRDefault="00B456B2" w:rsidP="007F5941">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sz w:val="32"/>
          <w:szCs w:val="32"/>
        </w:rPr>
        <w:t>填列</w:t>
      </w:r>
      <w:r w:rsidR="007F5941">
        <w:rPr>
          <w:rFonts w:ascii="宋体" w:eastAsia="宋体" w:hAnsi="宋体" w:hint="eastAsia"/>
          <w:sz w:val="32"/>
          <w:szCs w:val="32"/>
        </w:rPr>
        <w:t>部门</w:t>
      </w:r>
      <w:r>
        <w:rPr>
          <w:rFonts w:ascii="Times New Roman" w:eastAsia="仿宋_GB2312"/>
          <w:sz w:val="32"/>
          <w:szCs w:val="32"/>
        </w:rPr>
        <w:t>除公务用车外的其他各类交通工具（如船舶、飞机等）购置支出（含车辆购置税、牌照费）。</w:t>
      </w:r>
    </w:p>
    <w:p w:rsidR="00314A00" w:rsidRDefault="00B456B2" w:rsidP="00314A00">
      <w:pPr>
        <w:widowControl/>
        <w:spacing w:line="360" w:lineRule="auto"/>
        <w:ind w:firstLineChars="200" w:firstLine="641"/>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sz w:val="32"/>
          <w:szCs w:val="32"/>
        </w:rPr>
        <w:t>指为保障行政</w:t>
      </w:r>
      <w:r w:rsidR="007F5941">
        <w:rPr>
          <w:rFonts w:ascii="宋体" w:eastAsia="宋体" w:hAnsi="宋体" w:hint="eastAsia"/>
          <w:sz w:val="32"/>
          <w:szCs w:val="32"/>
        </w:rPr>
        <w:t>部门</w:t>
      </w:r>
      <w:r>
        <w:rPr>
          <w:rFonts w:ascii="Times New Roman" w:eastAsia="仿宋_GB2312"/>
          <w:sz w:val="32"/>
          <w:szCs w:val="32"/>
        </w:rPr>
        <w:t>（包括参照公务员法管理的事业</w:t>
      </w:r>
      <w:r w:rsidR="007F5941">
        <w:rPr>
          <w:rFonts w:ascii="宋体" w:eastAsia="宋体" w:hAnsi="宋体" w:hint="eastAsia"/>
          <w:sz w:val="32"/>
          <w:szCs w:val="32"/>
        </w:rPr>
        <w:t>部门</w:t>
      </w:r>
      <w:r>
        <w:rPr>
          <w:rFonts w:ascii="Times New Roman" w:eastAsia="仿宋_GB2312"/>
          <w:sz w:val="32"/>
          <w:szCs w:val="32"/>
        </w:rPr>
        <w:t>）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rsidR="00314A00" w:rsidSect="00314A00">
      <w:pgSz w:w="11906" w:h="16838"/>
      <w:pgMar w:top="2098" w:right="1417" w:bottom="1871" w:left="1417" w:header="851" w:footer="992" w:gutter="0"/>
      <w:cols w:space="0"/>
      <w:docGrid w:type="lines" w:linePitch="32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56B2" w:rsidRDefault="00B456B2" w:rsidP="00314A00">
      <w:r>
        <w:separator/>
      </w:r>
    </w:p>
  </w:endnote>
  <w:endnote w:type="continuationSeparator" w:id="1">
    <w:p w:rsidR="00B456B2" w:rsidRDefault="00B456B2" w:rsidP="00314A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embedRegular r:id="rId1" w:subsetted="1" w:fontKey="{B27937C4-3596-4B57-8E0D-A6CAE2B6C467}"/>
    <w:embedBold r:id="rId2" w:subsetted="1" w:fontKey="{61DC9BA8-9CF9-4B47-A760-4D546823C1DF}"/>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华文中宋">
    <w:altName w:val="宋体"/>
    <w:panose1 w:val="02010600040101010101"/>
    <w:charset w:val="86"/>
    <w:family w:val="auto"/>
    <w:pitch w:val="variable"/>
    <w:sig w:usb0="00000287" w:usb1="080F0000" w:usb2="00000010" w:usb3="00000000" w:csb0="0004009F" w:csb1="00000000"/>
  </w:font>
  <w:font w:name="方正仿宋_GB2312">
    <w:charset w:val="86"/>
    <w:family w:val="auto"/>
    <w:pitch w:val="default"/>
    <w:sig w:usb0="A00002BF" w:usb1="184F6CFA" w:usb2="00000012" w:usb3="00000000" w:csb0="00040001" w:csb1="00000000"/>
    <w:embedRegular r:id="rId3" w:subsetted="1" w:fontKey="{BC0A9C1E-143A-46F3-837A-87E375E044AA}"/>
    <w:embedBold r:id="rId4" w:subsetted="1" w:fontKey="{1287CC55-B629-4C59-B67B-9BC47738606B}"/>
  </w:font>
  <w:font w:name="楷体_GB2312">
    <w:charset w:val="86"/>
    <w:family w:val="auto"/>
    <w:pitch w:val="default"/>
    <w:sig w:usb0="00000001" w:usb1="080E0000" w:usb2="00000000" w:usb3="00000000" w:csb0="00040000" w:csb1="00000000"/>
    <w:embedRegular r:id="rId5" w:subsetted="1" w:fontKey="{C6A6CB4B-FA45-4736-9AB0-F2135586C570}"/>
    <w:embedBold r:id="rId6" w:subsetted="1" w:fontKey="{AC53022F-262F-4518-AF58-F97051E86138}"/>
  </w:font>
  <w:font w:name="微软雅黑">
    <w:panose1 w:val="020B0503020204020204"/>
    <w:charset w:val="86"/>
    <w:family w:val="swiss"/>
    <w:pitch w:val="variable"/>
    <w:sig w:usb0="80000287" w:usb1="280F3C52" w:usb2="00000016" w:usb3="00000000" w:csb0="0004001F" w:csb1="00000000"/>
    <w:embedBold r:id="rId7" w:subsetted="1" w:fontKey="{A1365A68-957C-4126-8E1D-6E2B880503BF}"/>
  </w:font>
  <w:font w:name="黑体">
    <w:altName w:val="SimHei"/>
    <w:panose1 w:val="02010609060101010101"/>
    <w:charset w:val="86"/>
    <w:family w:val="modern"/>
    <w:pitch w:val="fixed"/>
    <w:sig w:usb0="800002BF" w:usb1="38CF7CFA" w:usb2="00000016" w:usb3="00000000" w:csb0="00040001" w:csb1="00000000"/>
    <w:embedRegular r:id="rId8" w:subsetted="1" w:fontKey="{781C0A93-5F5C-4B32-8D3D-E128B80C87CE}"/>
  </w:font>
  <w:font w:name="方正小标宋_GBK">
    <w:charset w:val="86"/>
    <w:family w:val="script"/>
    <w:pitch w:val="default"/>
    <w:sig w:usb0="A00002BF" w:usb1="38CF7CFA" w:usb2="00082016" w:usb3="00000000" w:csb0="00040001" w:csb1="00000000"/>
    <w:embedRegular r:id="rId9" w:subsetted="1" w:fontKey="{91936AAF-7979-4045-81B0-A562BE394014}"/>
  </w:font>
  <w:font w:name="仿宋_GB2312">
    <w:charset w:val="86"/>
    <w:family w:val="auto"/>
    <w:pitch w:val="default"/>
    <w:sig w:usb0="00000001" w:usb1="080E0000" w:usb2="00000000" w:usb3="00000000" w:csb0="00040000" w:csb1="00000000"/>
    <w:embedRegular r:id="rId10" w:subsetted="1" w:fontKey="{24384CCD-8315-492B-BE26-48F15E0A66AB}"/>
    <w:embedBold r:id="rId11" w:subsetted="1" w:fontKey="{E04732D6-0334-4CE4-9C47-AB4E4981ECE8}"/>
  </w:font>
  <w:font w:name="ArialUnicodeMS">
    <w:altName w:val="Malgun Gothic"/>
    <w:charset w:val="81"/>
    <w:family w:val="auto"/>
    <w:pitch w:val="default"/>
    <w:sig w:usb0="00000000" w:usb1="00000000" w:usb2="00000010" w:usb3="00000000" w:csb0="0008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00" w:rsidRDefault="00314A00">
    <w:pPr>
      <w:pStyle w:val="a5"/>
      <w:jc w:val="center"/>
    </w:pPr>
  </w:p>
  <w:p w:rsidR="00314A00" w:rsidRDefault="00314A00">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00" w:rsidRDefault="00314A00">
    <w:pPr>
      <w:jc w:val="center"/>
    </w:pPr>
    <w:r>
      <w:fldChar w:fldCharType="begin"/>
    </w:r>
    <w:r w:rsidR="00B456B2">
      <w:instrText>PAGE</w:instrText>
    </w:r>
    <w:r>
      <w:fldChar w:fldCharType="separate"/>
    </w:r>
    <w:r w:rsidR="007F5941">
      <w:rPr>
        <w:noProof/>
      </w:rPr>
      <w:t>1</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00" w:rsidRDefault="00314A00">
    <w:pPr>
      <w:jc w:val="center"/>
    </w:pPr>
    <w:r>
      <w:fldChar w:fldCharType="begin"/>
    </w:r>
    <w:r w:rsidR="00B456B2">
      <w:instrText>PAGE</w:instrText>
    </w:r>
    <w:r>
      <w:fldChar w:fldCharType="separate"/>
    </w:r>
    <w:r w:rsidR="007F5941">
      <w:rPr>
        <w:noProof/>
      </w:rPr>
      <w:t>3</w:t>
    </w:r>
    <w:r>
      <w:fldChar w:fldCharType="end"/>
    </w:r>
  </w:p>
  <w:p w:rsidR="00000000" w:rsidRDefault="00B456B2"/>
  <w:p w:rsidR="00314A00" w:rsidRDefault="00314A00">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00" w:rsidRDefault="00314A00">
    <w:pPr>
      <w:pStyle w:val="a5"/>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00" w:rsidRDefault="00314A00">
    <w:pPr>
      <w:jc w:val="center"/>
    </w:pPr>
    <w:r>
      <w:fldChar w:fldCharType="begin"/>
    </w:r>
    <w:r w:rsidR="00B456B2">
      <w:instrText>PAGE</w:instrText>
    </w:r>
    <w:r>
      <w:fldChar w:fldCharType="separate"/>
    </w:r>
    <w:r w:rsidR="007F5941">
      <w:rPr>
        <w:noProof/>
      </w:rPr>
      <w:t>4</w:t>
    </w:r>
    <w: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00" w:rsidRDefault="00314A00">
    <w:pPr>
      <w:jc w:val="center"/>
    </w:pPr>
    <w:r>
      <w:fldChar w:fldCharType="begin"/>
    </w:r>
    <w:r w:rsidR="00B456B2">
      <w:instrText>PAGE</w:instrText>
    </w:r>
    <w:r>
      <w:fldChar w:fldCharType="separate"/>
    </w:r>
    <w:r w:rsidR="007F5941">
      <w:rPr>
        <w:noProof/>
      </w:rPr>
      <w:t>40</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56B2" w:rsidRDefault="00B456B2" w:rsidP="00314A00">
      <w:r>
        <w:separator/>
      </w:r>
    </w:p>
  </w:footnote>
  <w:footnote w:type="continuationSeparator" w:id="1">
    <w:p w:rsidR="00B456B2" w:rsidRDefault="00B456B2" w:rsidP="00314A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00" w:rsidRDefault="00314A00">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00" w:rsidRDefault="00314A00">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00" w:rsidRDefault="00314A00">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16A424"/>
    <w:multiLevelType w:val="multilevel"/>
    <w:tmpl w:val="5F16A424"/>
    <w:lvl w:ilvl="0">
      <w:start w:val="1"/>
      <w:numFmt w:val="decimal"/>
      <w:pStyle w:val="1"/>
      <w:lvlText w:val="%1."/>
      <w:lvlJc w:val="left"/>
      <w:pPr>
        <w:ind w:left="425" w:hanging="425"/>
      </w:pPr>
      <w:rPr>
        <w:rFonts w:hint="default"/>
      </w:rPr>
    </w:lvl>
    <w:lvl w:ilvl="1">
      <w:start w:val="1"/>
      <w:numFmt w:val="decimal"/>
      <w:pStyle w:val="2"/>
      <w:lvlText w:val="%1.%2."/>
      <w:lvlJc w:val="left"/>
      <w:pPr>
        <w:ind w:left="567" w:hanging="567"/>
      </w:pPr>
      <w:rPr>
        <w:rFonts w:hint="default"/>
      </w:rPr>
    </w:lvl>
    <w:lvl w:ilvl="2">
      <w:start w:val="1"/>
      <w:numFmt w:val="decimal"/>
      <w:pStyle w:val="3"/>
      <w:lvlText w:val="%1.%2.%3."/>
      <w:lvlJc w:val="left"/>
      <w:pPr>
        <w:ind w:left="709" w:hanging="709"/>
      </w:pPr>
      <w:rPr>
        <w:rFonts w:hint="default"/>
      </w:rPr>
    </w:lvl>
    <w:lvl w:ilvl="3">
      <w:start w:val="1"/>
      <w:numFmt w:val="decimal"/>
      <w:pStyle w:val="4"/>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TrueTypeFonts/>
  <w:saveSubsetFonts/>
  <w:defaultTabStop w:val="420"/>
  <w:drawingGridVerticalSpacing w:val="165"/>
  <w:noPunctuationKerning/>
  <w:characterSpacingControl w:val="compressPunctuation"/>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jb3VudCI6NjksImhkaWQiOiJiMzk2N2EzZjUyYWViODRjZjJhMDZjM2YyYjk4MTExMiIsInVzZXJDb3VudCI6MX0="/>
  </w:docVars>
  <w:rsids>
    <w:rsidRoot w:val="00172A27"/>
    <w:rsid w:val="00086151"/>
    <w:rsid w:val="00172A27"/>
    <w:rsid w:val="00236F8C"/>
    <w:rsid w:val="00314A00"/>
    <w:rsid w:val="007F5941"/>
    <w:rsid w:val="00822154"/>
    <w:rsid w:val="00B456B2"/>
    <w:rsid w:val="00C65689"/>
    <w:rsid w:val="00CC2C8E"/>
    <w:rsid w:val="00D1039C"/>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semiHidden="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4A00"/>
    <w:pPr>
      <w:widowControl w:val="0"/>
      <w:jc w:val="both"/>
    </w:pPr>
    <w:rPr>
      <w:rFonts w:asciiTheme="minorHAnsi" w:eastAsiaTheme="minorEastAsia" w:hAnsiTheme="minorHAnsi" w:cs="宋体"/>
      <w:sz w:val="24"/>
      <w:szCs w:val="24"/>
    </w:rPr>
  </w:style>
  <w:style w:type="paragraph" w:styleId="1">
    <w:name w:val="heading 1"/>
    <w:basedOn w:val="a"/>
    <w:next w:val="a"/>
    <w:qFormat/>
    <w:rsid w:val="00314A00"/>
    <w:pPr>
      <w:keepNext/>
      <w:keepLines/>
      <w:numPr>
        <w:numId w:val="1"/>
      </w:numPr>
      <w:adjustRightInd w:val="0"/>
      <w:snapToGrid w:val="0"/>
      <w:spacing w:before="340" w:afterLines="50" w:line="578" w:lineRule="auto"/>
      <w:jc w:val="left"/>
      <w:outlineLvl w:val="0"/>
    </w:pPr>
    <w:rPr>
      <w:rFonts w:ascii="Times New Roman" w:eastAsia="仿宋" w:hAnsi="Times New Roman" w:cs="Times New Roman"/>
      <w:b/>
      <w:bCs/>
      <w:kern w:val="44"/>
      <w:sz w:val="36"/>
      <w:szCs w:val="44"/>
    </w:rPr>
  </w:style>
  <w:style w:type="paragraph" w:styleId="2">
    <w:name w:val="heading 2"/>
    <w:basedOn w:val="a"/>
    <w:next w:val="a"/>
    <w:link w:val="2Char"/>
    <w:uiPriority w:val="9"/>
    <w:semiHidden/>
    <w:unhideWhenUsed/>
    <w:qFormat/>
    <w:rsid w:val="00314A00"/>
    <w:pPr>
      <w:numPr>
        <w:ilvl w:val="1"/>
        <w:numId w:val="1"/>
      </w:numPr>
      <w:spacing w:line="416" w:lineRule="auto"/>
      <w:outlineLvl w:val="1"/>
    </w:pPr>
    <w:rPr>
      <w:rFonts w:ascii="Calibri Light" w:eastAsia="宋体" w:hAnsi="Calibri Light" w:cs="Times New Roman"/>
      <w:b/>
      <w:bCs/>
      <w:sz w:val="28"/>
      <w:szCs w:val="32"/>
    </w:rPr>
  </w:style>
  <w:style w:type="paragraph" w:styleId="3">
    <w:name w:val="heading 3"/>
    <w:basedOn w:val="a"/>
    <w:next w:val="a"/>
    <w:uiPriority w:val="9"/>
    <w:semiHidden/>
    <w:unhideWhenUsed/>
    <w:qFormat/>
    <w:rsid w:val="00314A00"/>
    <w:pPr>
      <w:keepNext/>
      <w:keepLines/>
      <w:numPr>
        <w:ilvl w:val="2"/>
        <w:numId w:val="1"/>
      </w:numPr>
      <w:spacing w:beforeLines="50" w:afterLines="50" w:line="416" w:lineRule="auto"/>
      <w:outlineLvl w:val="2"/>
    </w:pPr>
    <w:rPr>
      <w:rFonts w:ascii="宋体" w:eastAsia="宋体" w:hAnsi="宋体"/>
      <w:b/>
      <w:bCs/>
      <w:sz w:val="32"/>
    </w:rPr>
  </w:style>
  <w:style w:type="paragraph" w:styleId="4">
    <w:name w:val="heading 4"/>
    <w:basedOn w:val="a"/>
    <w:next w:val="a"/>
    <w:uiPriority w:val="9"/>
    <w:semiHidden/>
    <w:unhideWhenUsed/>
    <w:qFormat/>
    <w:rsid w:val="00314A00"/>
    <w:pPr>
      <w:keepNext/>
      <w:keepLines/>
      <w:numPr>
        <w:ilvl w:val="3"/>
        <w:numId w:val="1"/>
      </w:numPr>
      <w:spacing w:before="120" w:after="120"/>
      <w:outlineLvl w:val="3"/>
    </w:pPr>
    <w:rPr>
      <w:rFonts w:ascii="Calibri Light" w:eastAsia="宋体" w:hAnsi="Calibri Light"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rsid w:val="00314A00"/>
    <w:pPr>
      <w:jc w:val="left"/>
    </w:pPr>
  </w:style>
  <w:style w:type="paragraph" w:styleId="a4">
    <w:name w:val="Balloon Text"/>
    <w:basedOn w:val="a"/>
    <w:link w:val="Char"/>
    <w:uiPriority w:val="99"/>
    <w:unhideWhenUsed/>
    <w:qFormat/>
    <w:rsid w:val="00314A00"/>
    <w:rPr>
      <w:rFonts w:cstheme="minorBidi"/>
      <w:kern w:val="2"/>
      <w:sz w:val="18"/>
      <w:szCs w:val="18"/>
    </w:rPr>
  </w:style>
  <w:style w:type="paragraph" w:styleId="a5">
    <w:name w:val="footer"/>
    <w:basedOn w:val="a"/>
    <w:link w:val="Char0"/>
    <w:uiPriority w:val="99"/>
    <w:qFormat/>
    <w:rsid w:val="00314A00"/>
    <w:pPr>
      <w:tabs>
        <w:tab w:val="center" w:pos="4153"/>
        <w:tab w:val="right" w:pos="8306"/>
      </w:tabs>
      <w:snapToGrid w:val="0"/>
      <w:jc w:val="left"/>
    </w:pPr>
    <w:rPr>
      <w:rFonts w:cstheme="minorBidi"/>
      <w:kern w:val="2"/>
      <w:sz w:val="18"/>
      <w:szCs w:val="18"/>
    </w:rPr>
  </w:style>
  <w:style w:type="paragraph" w:styleId="a6">
    <w:name w:val="header"/>
    <w:basedOn w:val="a"/>
    <w:link w:val="Char1"/>
    <w:qFormat/>
    <w:rsid w:val="00314A00"/>
    <w:pPr>
      <w:pBdr>
        <w:top w:val="none" w:sz="0" w:space="1" w:color="auto"/>
        <w:left w:val="none" w:sz="0" w:space="4" w:color="auto"/>
        <w:bottom w:val="none" w:sz="0" w:space="1" w:color="auto"/>
        <w:right w:val="none" w:sz="0" w:space="4" w:color="auto"/>
      </w:pBdr>
      <w:tabs>
        <w:tab w:val="center" w:pos="4153"/>
        <w:tab w:val="right" w:pos="8306"/>
      </w:tabs>
      <w:snapToGrid w:val="0"/>
      <w:jc w:val="center"/>
    </w:pPr>
    <w:rPr>
      <w:rFonts w:cstheme="minorBidi"/>
      <w:kern w:val="2"/>
      <w:sz w:val="18"/>
      <w:szCs w:val="18"/>
    </w:rPr>
  </w:style>
  <w:style w:type="paragraph" w:styleId="a7">
    <w:name w:val="Normal (Web)"/>
    <w:basedOn w:val="a"/>
    <w:uiPriority w:val="99"/>
    <w:semiHidden/>
    <w:unhideWhenUsed/>
    <w:qFormat/>
    <w:rsid w:val="00314A00"/>
    <w:pPr>
      <w:spacing w:beforeAutospacing="1" w:afterAutospacing="1"/>
      <w:jc w:val="left"/>
    </w:pPr>
    <w:rPr>
      <w:rFonts w:cs="Times New Roman"/>
    </w:rPr>
  </w:style>
  <w:style w:type="table" w:styleId="a8">
    <w:name w:val="Table Grid"/>
    <w:qFormat/>
    <w:rsid w:val="00314A00"/>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9">
    <w:name w:val="Strong"/>
    <w:basedOn w:val="a0"/>
    <w:uiPriority w:val="22"/>
    <w:qFormat/>
    <w:rsid w:val="00314A00"/>
    <w:rPr>
      <w:b/>
    </w:rPr>
  </w:style>
  <w:style w:type="character" w:customStyle="1" w:styleId="2Char">
    <w:name w:val="标题 2 Char"/>
    <w:link w:val="2"/>
    <w:qFormat/>
    <w:rsid w:val="00314A00"/>
    <w:rPr>
      <w:rFonts w:ascii="Calibri Light" w:eastAsia="宋体" w:hAnsi="Calibri Light" w:cs="Times New Roman"/>
      <w:b/>
      <w:bCs/>
      <w:sz w:val="28"/>
      <w:szCs w:val="32"/>
    </w:rPr>
  </w:style>
  <w:style w:type="character" w:customStyle="1" w:styleId="Char0">
    <w:name w:val="页脚 Char"/>
    <w:basedOn w:val="a0"/>
    <w:link w:val="a5"/>
    <w:uiPriority w:val="99"/>
    <w:qFormat/>
    <w:rsid w:val="00314A00"/>
    <w:rPr>
      <w:rFonts w:asciiTheme="minorHAnsi" w:eastAsiaTheme="minorEastAsia" w:hAnsiTheme="minorHAnsi" w:cstheme="minorBidi"/>
      <w:sz w:val="18"/>
      <w:szCs w:val="18"/>
      <w:lang w:val="en-US" w:eastAsia="zh-CN" w:bidi="ar-SA"/>
    </w:rPr>
  </w:style>
  <w:style w:type="character" w:customStyle="1" w:styleId="Char1">
    <w:name w:val="页眉 Char"/>
    <w:basedOn w:val="a0"/>
    <w:link w:val="a6"/>
    <w:qFormat/>
    <w:rsid w:val="00314A00"/>
    <w:rPr>
      <w:rFonts w:asciiTheme="minorHAnsi" w:eastAsiaTheme="minorEastAsia" w:hAnsiTheme="minorHAnsi" w:cstheme="minorBidi"/>
      <w:sz w:val="18"/>
      <w:szCs w:val="18"/>
      <w:lang w:val="en-US" w:eastAsia="zh-CN" w:bidi="ar-SA"/>
    </w:rPr>
  </w:style>
  <w:style w:type="character" w:customStyle="1" w:styleId="font11">
    <w:name w:val="font11"/>
    <w:basedOn w:val="a0"/>
    <w:qFormat/>
    <w:rsid w:val="00314A00"/>
    <w:rPr>
      <w:rFonts w:ascii="宋体" w:eastAsia="宋体" w:hAnsi="宋体" w:cs="宋体" w:hint="eastAsia"/>
      <w:color w:val="000000"/>
      <w:sz w:val="20"/>
      <w:szCs w:val="20"/>
      <w:u w:val="none"/>
      <w:lang w:val="en-US" w:eastAsia="zh-CN" w:bidi="ar-SA"/>
    </w:rPr>
  </w:style>
  <w:style w:type="character" w:customStyle="1" w:styleId="font01">
    <w:name w:val="font01"/>
    <w:basedOn w:val="a0"/>
    <w:qFormat/>
    <w:rsid w:val="00314A00"/>
    <w:rPr>
      <w:rFonts w:ascii="宋体" w:eastAsia="宋体" w:hAnsi="宋体" w:cs="宋体" w:hint="eastAsia"/>
      <w:color w:val="000000"/>
      <w:sz w:val="22"/>
      <w:szCs w:val="22"/>
      <w:u w:val="none"/>
      <w:lang w:val="en-US" w:eastAsia="zh-CN" w:bidi="ar-SA"/>
    </w:rPr>
  </w:style>
  <w:style w:type="character" w:customStyle="1" w:styleId="font41">
    <w:name w:val="font41"/>
    <w:basedOn w:val="a0"/>
    <w:qFormat/>
    <w:rsid w:val="00314A00"/>
    <w:rPr>
      <w:rFonts w:ascii="宋体" w:eastAsia="宋体" w:hAnsi="宋体" w:cs="宋体" w:hint="eastAsia"/>
      <w:color w:val="000000"/>
      <w:sz w:val="24"/>
      <w:szCs w:val="24"/>
      <w:u w:val="none"/>
      <w:lang w:val="en-US" w:eastAsia="zh-CN" w:bidi="ar-SA"/>
    </w:rPr>
  </w:style>
  <w:style w:type="character" w:customStyle="1" w:styleId="font31">
    <w:name w:val="font31"/>
    <w:basedOn w:val="a0"/>
    <w:qFormat/>
    <w:rsid w:val="00314A00"/>
    <w:rPr>
      <w:rFonts w:ascii="华文中宋" w:eastAsia="华文中宋" w:hAnsi="华文中宋" w:cs="华文中宋" w:hint="eastAsia"/>
      <w:color w:val="000000"/>
      <w:sz w:val="32"/>
      <w:szCs w:val="32"/>
      <w:u w:val="none"/>
      <w:lang w:val="en-US" w:eastAsia="zh-CN" w:bidi="ar-SA"/>
    </w:rPr>
  </w:style>
  <w:style w:type="character" w:customStyle="1" w:styleId="font91">
    <w:name w:val="font91"/>
    <w:basedOn w:val="a0"/>
    <w:qFormat/>
    <w:rsid w:val="00314A00"/>
    <w:rPr>
      <w:rFonts w:ascii="华文中宋" w:eastAsia="华文中宋" w:hAnsi="华文中宋" w:cs="华文中宋" w:hint="eastAsia"/>
      <w:color w:val="000000"/>
      <w:sz w:val="32"/>
      <w:szCs w:val="32"/>
      <w:u w:val="none"/>
      <w:lang w:val="en-US" w:eastAsia="zh-CN" w:bidi="ar-SA"/>
    </w:rPr>
  </w:style>
  <w:style w:type="character" w:customStyle="1" w:styleId="font51">
    <w:name w:val="font51"/>
    <w:basedOn w:val="a0"/>
    <w:qFormat/>
    <w:rsid w:val="00314A00"/>
    <w:rPr>
      <w:rFonts w:ascii="宋体" w:eastAsia="宋体" w:hAnsi="宋体" w:cs="宋体" w:hint="eastAsia"/>
      <w:color w:val="000000"/>
      <w:sz w:val="24"/>
      <w:szCs w:val="24"/>
      <w:u w:val="none"/>
      <w:lang w:val="en-US" w:eastAsia="zh-CN" w:bidi="ar-SA"/>
    </w:rPr>
  </w:style>
  <w:style w:type="character" w:customStyle="1" w:styleId="Char">
    <w:name w:val="批注框文本 Char"/>
    <w:basedOn w:val="a0"/>
    <w:link w:val="a4"/>
    <w:uiPriority w:val="99"/>
    <w:semiHidden/>
    <w:qFormat/>
    <w:rsid w:val="00314A00"/>
    <w:rPr>
      <w:rFonts w:asciiTheme="minorHAnsi" w:eastAsiaTheme="minorEastAsia" w:hAnsiTheme="minorHAnsi" w:cstheme="minorBidi"/>
      <w:sz w:val="18"/>
      <w:szCs w:val="18"/>
      <w:lang w:val="en-US" w:eastAsia="zh-CN" w:bidi="ar-SA"/>
    </w:rPr>
  </w:style>
  <w:style w:type="character" w:customStyle="1" w:styleId="font21">
    <w:name w:val="font21"/>
    <w:basedOn w:val="a0"/>
    <w:qFormat/>
    <w:rsid w:val="00314A00"/>
    <w:rPr>
      <w:rFonts w:ascii="方正仿宋_GB2312" w:eastAsia="方正仿宋_GB2312" w:hAnsi="方正仿宋_GB2312" w:cs="方正仿宋_GB2312" w:hint="eastAsia"/>
      <w:color w:val="000000"/>
      <w:sz w:val="18"/>
      <w:szCs w:val="18"/>
      <w:u w:val="none"/>
    </w:rPr>
  </w:style>
  <w:style w:type="character" w:customStyle="1" w:styleId="font61">
    <w:name w:val="font61"/>
    <w:basedOn w:val="a0"/>
    <w:qFormat/>
    <w:rsid w:val="00314A00"/>
    <w:rPr>
      <w:rFonts w:ascii="方正仿宋_GB2312" w:eastAsia="方正仿宋_GB2312" w:hAnsi="方正仿宋_GB2312" w:cs="方正仿宋_GB2312" w:hint="eastAsia"/>
      <w:color w:val="000000"/>
      <w:sz w:val="20"/>
      <w:szCs w:val="20"/>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chart" Target="charts/chart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___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___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p>
        </c:rich>
      </c:tx>
      <c:spPr>
        <a:noFill/>
        <a:ln>
          <a:noFill/>
        </a:ln>
        <a:effectLst/>
      </c:spPr>
    </c:title>
    <c:plotArea>
      <c:layout/>
      <c:barChart>
        <c:barDir val="col"/>
        <c:grouping val="clustered"/>
        <c:ser>
          <c:idx val="0"/>
          <c:order val="0"/>
          <c:tx>
            <c:strRef>
              <c:f>Sheet1!$B$1</c:f>
              <c:strCache>
                <c:ptCount val="1"/>
                <c:pt idx="0">
                  <c:v>收支总计</c:v>
                </c:pt>
              </c:strCache>
            </c:strRef>
          </c:tx>
          <c:spPr>
            <a:solidFill>
              <a:schemeClr val="accent1"/>
            </a:solidFill>
            <a:ln>
              <a:noFill/>
            </a:ln>
            <a:effectLst/>
          </c:spPr>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1132.6199999999999</c:v>
                </c:pt>
                <c:pt idx="1">
                  <c:v>762.35999999999979</c:v>
                </c:pt>
              </c:numCache>
            </c:numRef>
          </c:val>
        </c:ser>
        <c:dLbls>
          <c:showVal val="1"/>
        </c:dLbls>
        <c:gapWidth val="246"/>
        <c:overlap val="-28"/>
        <c:axId val="77098368"/>
        <c:axId val="77358592"/>
      </c:barChart>
      <c:catAx>
        <c:axId val="77098368"/>
        <c:scaling>
          <c:orientation val="minMax"/>
        </c:scaling>
        <c:axPos val="b"/>
        <c:numFmt formatCode="General" sourceLinked="0"/>
        <c:maj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77358592"/>
        <c:crosses val="autoZero"/>
        <c:auto val="1"/>
        <c:lblAlgn val="ctr"/>
        <c:lblOffset val="100"/>
      </c:catAx>
      <c:valAx>
        <c:axId val="77358592"/>
        <c:scaling>
          <c:orientation val="minMax"/>
        </c:scaling>
        <c:axPos val="l"/>
        <c:majorGridlines>
          <c:spPr>
            <a:ln w="9525" cap="flat" cmpd="sng" algn="ctr">
              <a:solidFill>
                <a:schemeClr val="lt1">
                  <a:lumMod val="90200"/>
                </a:schemeClr>
              </a:solidFill>
              <a:round/>
            </a:ln>
            <a:effectLst/>
          </c:spPr>
        </c:majorGridlines>
        <c:numFmt formatCode="General" sourceLinked="1"/>
        <c:maj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77098368"/>
        <c:crosses val="autoZero"/>
        <c:crossBetween val="between"/>
      </c:valAx>
      <c:spPr>
        <a:noFill/>
        <a:ln>
          <a:noFill/>
        </a:ln>
        <a:effectLst/>
      </c:spPr>
    </c:plotArea>
    <c:plotVisOnly val="1"/>
    <c:dispBlanksAs val="gap"/>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p>
        </c:rich>
      </c:tx>
      <c:spPr>
        <a:noFill/>
        <a:ln>
          <a:noFill/>
        </a:ln>
        <a:effectLst/>
      </c:spPr>
    </c:title>
    <c:plotArea>
      <c:layout/>
      <c:pieChart>
        <c:varyColors val="1"/>
        <c:ser>
          <c:idx val="0"/>
          <c:order val="0"/>
          <c:tx>
            <c:strRef>
              <c:f>Sheet1!$B$1</c:f>
              <c:strCache>
                <c:ptCount val="1"/>
                <c:pt idx="0">
                  <c:v>金额</c:v>
                </c:pt>
              </c:strCache>
            </c:strRef>
          </c:tx>
          <c:dPt>
            <c:idx val="0"/>
            <c:spPr>
              <a:solidFill>
                <a:schemeClr val="accent1"/>
              </a:solidFill>
              <a:ln>
                <a:solidFill>
                  <a:schemeClr val="bg1"/>
                </a:solidFill>
              </a:ln>
              <a:effectLst/>
            </c:spPr>
          </c:dPt>
          <c:dPt>
            <c:idx val="1"/>
            <c:spPr>
              <a:solidFill>
                <a:schemeClr val="accent2"/>
              </a:solidFill>
              <a:ln>
                <a:solidFill>
                  <a:schemeClr val="bg1"/>
                </a:solidFill>
              </a:ln>
              <a:effectLst/>
            </c:spPr>
          </c:dPt>
          <c:dPt>
            <c:idx val="2"/>
            <c:spPr>
              <a:solidFill>
                <a:schemeClr val="accent3"/>
              </a:solidFill>
              <a:ln>
                <a:solidFill>
                  <a:schemeClr val="bg1"/>
                </a:solidFill>
              </a:ln>
              <a:effectLst/>
            </c:spPr>
          </c:dPt>
          <c:dPt>
            <c:idx val="3"/>
            <c:spPr>
              <a:solidFill>
                <a:schemeClr val="accent4"/>
              </a:solidFill>
              <a:ln>
                <a:solidFill>
                  <a:schemeClr val="bg1"/>
                </a:solidFill>
              </a:ln>
              <a:effectLst/>
            </c:spPr>
          </c:dPt>
          <c:dPt>
            <c:idx val="4"/>
            <c:spPr>
              <a:solidFill>
                <a:schemeClr val="accent5"/>
              </a:solidFill>
              <a:ln>
                <a:solidFill>
                  <a:schemeClr val="bg1"/>
                </a:solidFill>
              </a:ln>
              <a:effectLst/>
            </c:spPr>
          </c:dPt>
          <c:dPt>
            <c:idx val="5"/>
            <c:spPr>
              <a:solidFill>
                <a:schemeClr val="accent6"/>
              </a:solidFill>
              <a:ln>
                <a:solidFill>
                  <a:schemeClr val="bg1"/>
                </a:solidFill>
              </a:ln>
              <a:effectLst/>
            </c:spPr>
          </c:dPt>
          <c:dLbls>
            <c:dLbl>
              <c:idx val="0"/>
              <c:layout>
                <c:manualLayout>
                  <c:x val="0.32012553940302402"/>
                  <c:y val="0.72690713982147803"/>
                </c:manualLayout>
              </c:layout>
              <c:dLblPos val="bestFit"/>
              <c:showLegendKey val="1"/>
              <c:showCatName val="1"/>
              <c:showPercent val="1"/>
              <c:separator> </c:separator>
              <c:extLst>
                <c:ext xmlns:c15="http://schemas.microsoft.com/office/drawing/2012/chart" uri="{CE6537A1-D6FC-4f65-9D91-7224C49458BB}">
                  <c15:layout/>
                </c:ext>
              </c:extLst>
            </c:dLbl>
            <c:dLbl>
              <c:idx val="1"/>
              <c:layout>
                <c:manualLayout>
                  <c:x val="-0.30804551640755801"/>
                  <c:y val="0.6391468338291284"/>
                </c:manualLayout>
              </c:layout>
              <c:dLblPos val="bestFit"/>
              <c:showLegendKey val="1"/>
              <c:showCatName val="1"/>
              <c:showPercent val="1"/>
              <c:separator> </c:separator>
              <c:extLst>
                <c:ext xmlns:c15="http://schemas.microsoft.com/office/drawing/2012/chart" uri="{CE6537A1-D6FC-4f65-9D91-7224C49458BB}">
                  <c15:layout/>
                </c:ext>
              </c:extLst>
            </c:dLbl>
            <c:dLbl>
              <c:idx val="2"/>
              <c:layout>
                <c:manualLayout>
                  <c:x val="0.40541183654007401"/>
                  <c:y val="0.17185507862305391"/>
                </c:manualLayout>
              </c:layout>
              <c:dLblPos val="bestFit"/>
              <c:showLegendKey val="1"/>
              <c:showCatName val="1"/>
              <c:showPercent val="1"/>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1"/>
                  <c:y val="0.27025074373138092"/>
                </c:manualLayout>
              </c:layout>
              <c:dLblPos val="bestFit"/>
              <c:showLegendKey val="1"/>
              <c:showCatName val="1"/>
              <c:showPercent val="1"/>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23"/>
                  <c:y val="0.44916064598386912"/>
                </c:manualLayout>
              </c:layout>
              <c:dLblPos val="bestFit"/>
              <c:showLegendKey val="1"/>
              <c:showCatName val="1"/>
              <c:showPercent val="1"/>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13"/>
                  <c:y val="0.12416595835101506"/>
                </c:manualLayout>
              </c:layout>
              <c:dLblPos val="bestFit"/>
              <c:showLegendKey val="1"/>
              <c:showCatName val="1"/>
              <c:showPercent val="1"/>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ctr"/>
            <c:showLegendKey val="1"/>
            <c:showCatName val="1"/>
            <c:showPercent val="1"/>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11326208.850000001</c:v>
                </c:pt>
                <c:pt idx="1">
                  <c:v>0</c:v>
                </c:pt>
                <c:pt idx="2">
                  <c:v>0</c:v>
                </c:pt>
                <c:pt idx="3">
                  <c:v>0</c:v>
                </c:pt>
                <c:pt idx="4">
                  <c:v>0</c:v>
                </c:pt>
                <c:pt idx="5">
                  <c:v>0</c:v>
                </c:pt>
              </c:numCache>
            </c:numRef>
          </c:val>
        </c:ser>
        <c:dLbls>
          <c:showVal val="1"/>
        </c:dLbls>
        <c:firstSliceAng val="0"/>
      </c:pieChart>
      <c:spPr>
        <a:noFill/>
        <a:ln>
          <a:noFill/>
        </a:ln>
        <a:effectLst/>
      </c:spPr>
    </c:plotArea>
    <c:legend>
      <c:legendPos val="r"/>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zero"/>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p>
        </c:rich>
      </c:tx>
      <c:spPr>
        <a:noFill/>
        <a:ln>
          <a:noFill/>
        </a:ln>
        <a:effectLst/>
      </c:spPr>
    </c:title>
    <c:plotArea>
      <c:layout>
        <c:manualLayout>
          <c:layoutTarget val="inner"/>
          <c:xMode val="edge"/>
          <c:yMode val="edge"/>
          <c:x val="0.29844165257308491"/>
          <c:y val="0.22524436889077806"/>
          <c:w val="0.41229765643875288"/>
          <c:h val="0.72524436889077804"/>
        </c:manualLayout>
      </c:layout>
      <c:pieChart>
        <c:varyColors val="1"/>
        <c:ser>
          <c:idx val="0"/>
          <c:order val="0"/>
          <c:tx>
            <c:strRef>
              <c:f>Sheet1!$B$1</c:f>
              <c:strCache>
                <c:ptCount val="1"/>
                <c:pt idx="0">
                  <c:v>金额</c:v>
                </c:pt>
              </c:strCache>
            </c:strRef>
          </c:tx>
          <c:dPt>
            <c:idx val="0"/>
            <c:spPr>
              <a:solidFill>
                <a:schemeClr val="accent1"/>
              </a:solidFill>
              <a:ln>
                <a:solidFill>
                  <a:schemeClr val="bg1"/>
                </a:solidFill>
              </a:ln>
              <a:effectLst/>
            </c:spPr>
          </c:dPt>
          <c:dPt>
            <c:idx val="1"/>
            <c:spPr>
              <a:solidFill>
                <a:schemeClr val="accent2"/>
              </a:solidFill>
              <a:ln>
                <a:solidFill>
                  <a:schemeClr val="bg1"/>
                </a:solidFill>
              </a:ln>
              <a:effectLst/>
            </c:spPr>
          </c:dPt>
          <c:dPt>
            <c:idx val="2"/>
            <c:spPr>
              <a:solidFill>
                <a:schemeClr val="accent3"/>
              </a:solidFill>
              <a:ln>
                <a:solidFill>
                  <a:schemeClr val="bg1"/>
                </a:solidFill>
              </a:ln>
              <a:effectLst/>
            </c:spPr>
          </c:dPt>
          <c:dPt>
            <c:idx val="3"/>
            <c:spPr>
              <a:solidFill>
                <a:schemeClr val="accent4"/>
              </a:solidFill>
              <a:ln>
                <a:solidFill>
                  <a:schemeClr val="bg1"/>
                </a:solidFill>
              </a:ln>
              <a:effectLst/>
            </c:spPr>
          </c:dPt>
          <c:dPt>
            <c:idx val="4"/>
            <c:spPr>
              <a:solidFill>
                <a:schemeClr val="accent5"/>
              </a:solidFill>
              <a:ln>
                <a:solidFill>
                  <a:schemeClr val="bg1"/>
                </a:solidFill>
              </a:ln>
              <a:effectLst/>
            </c:spPr>
          </c:dPt>
          <c:dLbls>
            <c:dLbl>
              <c:idx val="0"/>
              <c:layout>
                <c:manualLayout>
                  <c:x val="-0.2869051302038701"/>
                  <c:y val="0.19983531661706405"/>
                </c:manualLayout>
              </c:layout>
              <c:dLblPos val="bestFit"/>
              <c:showLegendKey val="1"/>
              <c:showCatName val="1"/>
              <c:showPercent val="1"/>
              <c:separator> </c:separator>
              <c:extLst>
                <c:ext xmlns:c15="http://schemas.microsoft.com/office/drawing/2012/chart" uri="{CE6537A1-D6FC-4f65-9D91-7224C49458BB}">
                  <c15:layout/>
                </c:ext>
              </c:extLst>
            </c:dLbl>
            <c:dLbl>
              <c:idx val="1"/>
              <c:layout>
                <c:manualLayout>
                  <c:x val="-0.29910614494172999"/>
                  <c:y val="9.1038036549065296E-2"/>
                </c:manualLayout>
              </c:layout>
              <c:dLblPos val="bestFit"/>
              <c:showLegendKey val="1"/>
              <c:showCatName val="1"/>
              <c:showPercent val="1"/>
              <c:separator> </c:separator>
              <c:extLst>
                <c:ext xmlns:c15="http://schemas.microsoft.com/office/drawing/2012/chart" uri="{CE6537A1-D6FC-4f65-9D91-7224C49458BB}">
                  <c15:layout/>
                </c:ext>
              </c:extLst>
            </c:dLbl>
            <c:dLbl>
              <c:idx val="2"/>
              <c:layout>
                <c:manualLayout>
                  <c:x val="0.30949495758257212"/>
                  <c:y val="0.18921058223542311"/>
                </c:manualLayout>
              </c:layout>
              <c:dLblPos val="bestFit"/>
              <c:showLegendKey val="1"/>
              <c:showCatName val="1"/>
              <c:showPercent val="1"/>
              <c:separator> </c:separator>
              <c:extLst>
                <c:ext xmlns:c15="http://schemas.microsoft.com/office/drawing/2012/chart" uri="{CE6537A1-D6FC-4f65-9D91-7224C49458BB}">
                  <c15:layout/>
                </c:ext>
              </c:extLst>
            </c:dLbl>
            <c:dLbl>
              <c:idx val="3"/>
              <c:layout>
                <c:manualLayout>
                  <c:x val="0.33522581930084233"/>
                  <c:y val="5.8951338716511106E-2"/>
                </c:manualLayout>
              </c:layout>
              <c:dLblPos val="bestFit"/>
              <c:showLegendKey val="1"/>
              <c:showCatName val="1"/>
              <c:showPercent val="1"/>
              <c:separator> </c:separator>
              <c:extLst>
                <c:ext xmlns:c15="http://schemas.microsoft.com/office/drawing/2012/chart" uri="{CE6537A1-D6FC-4f65-9D91-7224C49458BB}">
                  <c15:layout/>
                </c:ext>
              </c:extLst>
            </c:dLbl>
            <c:dLbl>
              <c:idx val="4"/>
              <c:layout>
                <c:manualLayout>
                  <c:x val="0.32302478242483623"/>
                  <c:y val="0.28504568635782013"/>
                </c:manualLayout>
              </c:layout>
              <c:dLblPos val="bestFit"/>
              <c:showLegendKey val="1"/>
              <c:showCatName val="1"/>
              <c:showPercent val="1"/>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endParaRPr lang="zh-CN"/>
              </a:p>
            </c:txPr>
            <c:dLblPos val="ctr"/>
            <c:showLegendKey val="1"/>
            <c:showCatName val="1"/>
            <c:showPercent val="1"/>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9784872.0500000007</c:v>
                </c:pt>
                <c:pt idx="1">
                  <c:v>1541336.8</c:v>
                </c:pt>
                <c:pt idx="2">
                  <c:v>0</c:v>
                </c:pt>
                <c:pt idx="3">
                  <c:v>0</c:v>
                </c:pt>
                <c:pt idx="4">
                  <c:v>0</c:v>
                </c:pt>
              </c:numCache>
            </c:numRef>
          </c:val>
        </c:ser>
        <c:dLbls>
          <c:showVal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endParaRPr lang="zh-CN"/>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endParaRPr lang="zh-CN"/>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endParaRPr lang="zh-CN"/>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endParaRPr lang="zh-CN"/>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endParaRPr lang="zh-CN"/>
          </a:p>
        </c:txPr>
      </c:legendEntry>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endParaRPr lang="zh-CN"/>
        </a:p>
      </c:txPr>
    </c:legend>
    <c:plotVisOnly val="1"/>
    <c:dispBlanksAs val="zero"/>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endParaRPr lang="zh-CN"/>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p>
        </c:rich>
      </c:tx>
      <c:layout>
        <c:manualLayout>
          <c:xMode val="edge"/>
          <c:yMode val="edge"/>
          <c:x val="0.13324474510751405"/>
          <c:y val="2.5499362515937117E-2"/>
        </c:manualLayout>
      </c:layout>
      <c:spPr>
        <a:noFill/>
        <a:ln>
          <a:noFill/>
        </a:ln>
        <a:effectLst/>
      </c:spPr>
    </c:title>
    <c:plotArea>
      <c:layout/>
      <c:barChart>
        <c:barDir val="col"/>
        <c:grouping val="clustered"/>
        <c:ser>
          <c:idx val="0"/>
          <c:order val="0"/>
          <c:tx>
            <c:strRef>
              <c:f>Sheet1!$B$1</c:f>
              <c:strCache>
                <c:ptCount val="1"/>
                <c:pt idx="0">
                  <c:v>2024年</c:v>
                </c:pt>
              </c:strCache>
            </c:strRef>
          </c:tx>
          <c:spPr>
            <a:solidFill>
              <a:schemeClr val="accent1"/>
            </a:solidFill>
            <a:ln>
              <a:noFill/>
            </a:ln>
            <a:effectLst/>
          </c:spPr>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ctr"/>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762.17000000000019</c:v>
                </c:pt>
                <c:pt idx="1">
                  <c:v>762.35999999999979</c:v>
                </c:pt>
                <c:pt idx="2">
                  <c:v>762.17000000000019</c:v>
                </c:pt>
                <c:pt idx="3">
                  <c:v>762.35999999999979</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1132.6199999999999</c:v>
                </c:pt>
                <c:pt idx="1">
                  <c:v>1132.6199999999999</c:v>
                </c:pt>
                <c:pt idx="2">
                  <c:v>1073.8599999999999</c:v>
                </c:pt>
                <c:pt idx="3">
                  <c:v>1073.8599999999999</c:v>
                </c:pt>
                <c:pt idx="4">
                  <c:v>58.760000000000012</c:v>
                </c:pt>
                <c:pt idx="5">
                  <c:v>58.760000000000012</c:v>
                </c:pt>
                <c:pt idx="6">
                  <c:v>0</c:v>
                </c:pt>
                <c:pt idx="7">
                  <c:v>0</c:v>
                </c:pt>
              </c:numCache>
            </c:numRef>
          </c:val>
        </c:ser>
        <c:dLbls>
          <c:showVal val="1"/>
        </c:dLbls>
        <c:gapWidth val="246"/>
        <c:overlap val="-28"/>
        <c:axId val="96452992"/>
        <c:axId val="96454528"/>
      </c:barChart>
      <c:catAx>
        <c:axId val="96452992"/>
        <c:scaling>
          <c:orientation val="minMax"/>
        </c:scaling>
        <c:axPos val="b"/>
        <c:numFmt formatCode="General" sourceLinked="0"/>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96454528"/>
        <c:crosses val="autoZero"/>
        <c:auto val="1"/>
        <c:lblAlgn val="ctr"/>
        <c:lblOffset val="100"/>
      </c:catAx>
      <c:valAx>
        <c:axId val="96454528"/>
        <c:scaling>
          <c:orientation val="minMax"/>
        </c:scaling>
        <c:axPos val="l"/>
        <c:majorGridlines>
          <c:spPr>
            <a:ln w="9525" cap="flat" cmpd="sng" algn="ctr">
              <a:solidFill>
                <a:schemeClr val="lt1">
                  <a:lumMod val="90200"/>
                </a:schemeClr>
              </a:solidFill>
              <a:round/>
            </a:ln>
            <a:effectLst/>
          </c:spPr>
        </c:majorGridlines>
        <c:numFmt formatCode="General" sourceLinked="1"/>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96452992"/>
        <c:crosses val="autoZero"/>
        <c:crossBetween val="between"/>
      </c:valAx>
      <c:spPr>
        <a:noFill/>
        <a:ln>
          <a:noFill/>
        </a:ln>
        <a:effectLst/>
      </c:spPr>
    </c:plotArea>
    <c:legend>
      <c:legendPos val="b"/>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p>
        </c:rich>
      </c:tx>
      <c:spPr>
        <a:noFill/>
        <a:ln>
          <a:noFill/>
        </a:ln>
        <a:effectLst/>
      </c:spPr>
    </c:title>
    <c:plotArea>
      <c:layout>
        <c:manualLayout>
          <c:layoutTarget val="inner"/>
          <c:xMode val="edge"/>
          <c:yMode val="edge"/>
          <c:x val="0.17641942498188007"/>
          <c:y val="0.16043348916277111"/>
          <c:w val="0.79579608601111418"/>
          <c:h val="0.47433064173395711"/>
        </c:manualLayout>
      </c:layout>
      <c:barChart>
        <c:barDir val="col"/>
        <c:grouping val="clustered"/>
        <c:ser>
          <c:idx val="0"/>
          <c:order val="0"/>
          <c:tx>
            <c:strRef>
              <c:f>Sheet1!$B$1</c:f>
              <c:strCache>
                <c:ptCount val="1"/>
                <c:pt idx="0">
                  <c:v>年初预算数</c:v>
                </c:pt>
              </c:strCache>
            </c:strRef>
          </c:tx>
          <c:spPr>
            <a:solidFill>
              <a:schemeClr val="accent1"/>
            </a:solidFill>
            <a:ln>
              <a:noFill/>
            </a:ln>
            <a:effectLst/>
          </c:spPr>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endParaRPr lang="zh-CN"/>
              </a:p>
            </c:txPr>
            <c:dLblPos val="ctr"/>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972.3</c:v>
                </c:pt>
                <c:pt idx="1">
                  <c:v>972.3</c:v>
                </c:pt>
                <c:pt idx="2">
                  <c:v>972.3</c:v>
                </c:pt>
                <c:pt idx="3">
                  <c:v>972.3</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1132.6199999999999</c:v>
                </c:pt>
                <c:pt idx="1">
                  <c:v>1132.6199999999999</c:v>
                </c:pt>
                <c:pt idx="2">
                  <c:v>1073.8599999999999</c:v>
                </c:pt>
                <c:pt idx="3">
                  <c:v>1073.8599999999999</c:v>
                </c:pt>
                <c:pt idx="4">
                  <c:v>58.760000000000012</c:v>
                </c:pt>
                <c:pt idx="5">
                  <c:v>58.760000000000012</c:v>
                </c:pt>
                <c:pt idx="6">
                  <c:v>0</c:v>
                </c:pt>
                <c:pt idx="7">
                  <c:v>0</c:v>
                </c:pt>
              </c:numCache>
            </c:numRef>
          </c:val>
        </c:ser>
        <c:dLbls>
          <c:showVal val="1"/>
        </c:dLbls>
        <c:axId val="96427008"/>
        <c:axId val="136418048"/>
      </c:barChart>
      <c:catAx>
        <c:axId val="96427008"/>
        <c:scaling>
          <c:orientation val="minMax"/>
        </c:scaling>
        <c:axPos val="b"/>
        <c:numFmt formatCode="General" sourceLinked="0"/>
        <c:maj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endParaRPr lang="zh-CN"/>
          </a:p>
        </c:txPr>
        <c:crossAx val="136418048"/>
        <c:crosses val="autoZero"/>
        <c:auto val="1"/>
        <c:lblAlgn val="ctr"/>
        <c:lblOffset val="100"/>
      </c:catAx>
      <c:valAx>
        <c:axId val="136418048"/>
        <c:scaling>
          <c:orientation val="minMax"/>
        </c:scaling>
        <c:axPos val="l"/>
        <c:majorGridlines>
          <c:spPr>
            <a:ln w="9525" cap="flat" cmpd="sng" algn="ctr">
              <a:solidFill>
                <a:schemeClr val="lt1">
                  <a:lumMod val="90200"/>
                </a:schemeClr>
              </a:solidFill>
              <a:round/>
            </a:ln>
            <a:effectLst/>
          </c:spPr>
        </c:majorGridlines>
        <c:numFmt formatCode="General" sourceLinked="1"/>
        <c:maj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endParaRPr lang="zh-CN"/>
          </a:p>
        </c:txPr>
        <c:crossAx val="96427008"/>
        <c:crosses val="autoZero"/>
        <c:crossBetween val="between"/>
      </c:valAx>
      <c:spPr>
        <a:noFill/>
        <a:ln>
          <a:noFill/>
        </a:ln>
        <a:effectLst/>
      </c:spPr>
    </c:plotArea>
    <c:plotVisOnly val="1"/>
    <c:dispBlanksAs val="gap"/>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endParaRPr lang="zh-CN"/>
    </a:p>
  </c:txPr>
  <c:externalData r:id="rId1"/>
</c:chartSpac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s="http://www.wps.cn/officeDocument/2013/wpsCustomData" xmln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2255</Words>
  <Characters>12859</Characters>
  <Application>Microsoft Office Word</Application>
  <DocSecurity>0</DocSecurity>
  <Lines>107</Lines>
  <Paragraphs>30</Paragraphs>
  <ScaleCrop>false</ScaleCrop>
  <Company>神州网信技术有限公司</Company>
  <LinksUpToDate>false</LinksUpToDate>
  <CharactersWithSpaces>15084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王明新TIAD</dc:creator>
  <cp:lastModifiedBy>微软用户</cp:lastModifiedBy>
  <cp:revision>2</cp:revision>
  <cp:lastPrinted>2023-08-04T01:00:00Z</cp:lastPrinted>
  <dcterms:created xsi:type="dcterms:W3CDTF">2026-09-21T07:05:00Z</dcterms:created>
  <dcterms:modified xsi:type="dcterms:W3CDTF">2026-09-21T07:05:00Z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