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yc01wAAAAoBAAAPAAAAAAAA&#10;AAEAIAAAACIAAABkcnMvZG93bnJldi54bWxQSwECFAAUAAAACACHTuJAIFbv09oBAACAAwAADgAA&#10;AAAAAAABACAAAAAmAQAAZHJzL2Uyb0RvYy54bWxQSwUGAAAAAAYABgBZAQAAcgU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无极县审计局(本级)</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319001</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无极县审计局(本级)</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无极县审计局(本级)</w:t>
      </w:r>
    </w:p>
    <w:p>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(一)主管全县审计工作。负责对全县财政收支和依法属于审计监督范围的财务收支的真实、合法和效益进行审计监督，对公共资金、 国有资产、国有资源和领导干部履行经济责任情况实行审计全覆盖，对领导干部实行自然资源资产离任审计，对市委、市政府和县委、县政府有关重大政策措施贯彻落实情况进行跟踪审计。对审计、专项审计调查相关审计报告的结果承担责任，并负有督促被审计单位整改的责任。 (二)贯彻执行审计法律、法规和方针、政策。拟定审计工作发展规划、专业领域审计工作规划以及年度审计计划并组织实施，对直接审计、调查和核查的事项依法进行审计评价，作出审计决定或提出审计建议。 (三)向中共无极县委审计委员会提出年度县本级预算执行和其他财政收支情况审计报告。向县长提出年度县本级预算执行和其他财政收支情况的审计结果报告。组织起草县政府向县人大常委会提出县本级预算执行和其他财政收支情况的审计工作报告、审计查出问题整改情况报告。向县委、县政府报告对其他事项的审计和专项审计调查情况及结果。依法向社会公布审计结果。向被审计单位通报审计情况和审计结果。 (四)直接审计下列事项，出具审计报告，在法定职权范围内作出审计决定，包括国家和省、市、县有关重大政策措施贯彻落实情况;县本级预算执行情况和其他财政收支， 县直各部门(含所属单位)预算执行情况、决算草案和其他财政收支:乡 (镇)政府预算执行情况、决算草案和其他财政收定: 中央和省、市、县财政转移支付资金:使用县本级财政资金的事业单位和社会团体的财务收支:县投资和以县投资为主的建谈项目的预算执行情况和决算，县重大公共工程项目的资金管理使用和建设运营情况;自然资源管理、 污染防治和生态保护与修复情况:县属国有企业、县属国有资本占控股或主导地位的企业，上级授权审计的金融机构的境内外资产、负债和损益，有关社会保障基金、社会捐赠资金和其他基金、资金的财务收支:上级授权审计的国际组织和外国政府援助、贷款项目的财务收支:法律法规规定的其他事项。 （五）按规定对县管党政主要领导干部及其他单位主要负责人实施经济责任审计和自然资源资产离任审计。 (六)组织实施对财经法律法规、规章、政策和宏观调控措施执行情况、财政预算管理及国有资产管理使用等与财政收支有关的特定事项进行专项审计调查。 (七) 依法检查审计决定执行情况，督促整改审计查出的问题，依法办理被审计单位对审计央定提请行政复议、行政诉论或县政裁决中的有关事项:协助配合有关部门查处相关重大案。 (八)指导和监督内部审计工作，核查社会审计机构对依法属于审计监督对象的单位出具的相关审计极告。 (九)会同县委机构编制委员会办公室，对党政机关和所有事业单位的机构设置、编制使用，以及有关机构编制规定的执行情况进行审计调查。 (十)组织开展审计领域的交流与合作，负责审计信息系统建设，指导和推广信息技术在审计领域的应用。 (十一)完成县委、县政府和上级审计机关交办的其他任务等。</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无极县审计局(本级)</w:t>
            </w:r>
          </w:p>
        </w:tc>
        <w:tc>
          <w:tcPr>
            <w:tcW w:w="2445" w:type="dxa"/>
          </w:tcPr>
          <w:p>
            <w:pPr>
              <w:spacing w:line="560" w:lineRule="exact"/>
              <w:jc w:val="center"/>
              <w:rPr>
                <w:rFonts w:ascii="仿宋_GB2312" w:hAnsi="Calibri" w:eastAsia="仿宋_GB2312" w:cs="ArialUnicodeMS"/>
                <w:kern w:val="0"/>
                <w:sz w:val="28"/>
                <w:szCs w:val="28"/>
              </w:rPr>
            </w:pP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部门（单位）：无极县审计局(本级)</w:t>
            </w:r>
          </w:p>
        </w:tc>
        <w:tc>
          <w:tcPr>
            <w:tcW w:w="1262"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326.49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部门（单位）：无极县审计局(本级)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383.43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383.43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326.49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326.49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审计事务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326.49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326.49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297.40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297.40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2010899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其他审计事务支出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29.09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部门（单位）：无极县审计局(本级)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354.34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326.49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297.40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审计事务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326.49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297.40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297.40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297.40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2010899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其他审计事务支出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部门（单位）：无极县审计局(本级)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326.49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326.49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43.81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43.81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383.43</w:t>
            </w:r>
          </w:p>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408"/>
        <w:gridCol w:w="825"/>
        <w:gridCol w:w="1002"/>
        <w:gridCol w:w="378"/>
        <w:gridCol w:w="16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部门（单位）：无极县审计局(本级)</w:t>
            </w:r>
          </w:p>
        </w:tc>
        <w:tc>
          <w:tcPr>
            <w:tcW w:w="154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383.43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354.34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326.49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297.40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审计事务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326.49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297.40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297.40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297.40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2010899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其他审计事务支出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43.81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37.58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部门（单位）：无极县审计局(本级)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293.57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25.35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205.12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6.70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8.82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15.34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37.58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6.24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35.42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35.42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5.76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328.99</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部门（单位）：无极县审计局(本级)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部门（单位）：无极县审计局(本级)</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部门（单位）：无极县审计局(本级)</w:t>
            </w:r>
          </w:p>
        </w:tc>
        <w:tc>
          <w:tcPr>
            <w:tcW w:w="93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3.00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3.00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1.09</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1.09</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本单位2025年度收、支总计（含结转和结余）均为383.43万元。与2024年度决算相比，收支各增加17.21万元，增长4.7%，主要原因是正常浮动。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383.43万元，其中：财政拨款收入383.43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本单位2025年度本年支出合计383.43万元，其中：基本支出354.34万元，占92.4%；项目支出29.09万元，占7.6%；经营支出0.00万元，占0.0%；上缴上级支出0.00万元，占0.0%；对附属单位补助支出0.00万元，占0.0%。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本单位2025年度财政拨款收、支总计（含结转和结余）均为383.43万元。与2024年度相比，财政拨款收支各增加17.21万元，增长4.7%，主要原因是正常浮动。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本单位2025年度财政拨款本年收入383.43万元,比上年增加17.29万元，增长4.7%，主要原因是正常浮动；本年支出383.43万元，比上年增加17.21万元，增长4.7%，主要原因是正常浮动。具体情况如下：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一般公共预算财政拨款本年收入383.43万元,比上年增加17.29万元，增长4.7%，主要原因是正常浮动；本年支出383.43万元，比上年增加17.21万元，增长4.7%，主要原因是正常浮动。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政府性基金预算财政拨款本年收入0.00万元，比上年增加0.00万元，增长0.00%，主要原因是我单位无政府性基金收支；本年支出0.00万元，比上年增加0.00万元，增长0.00%，主要原因是我单位无政府性基金收支。</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我单位无国有资本经营预算财政拨款收支；本年支出0.00万元，比上年增加0.00万元，增长0.00%，主要原因是我单位无国有资本经营预算财政拨款收支。</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383.43万元，完成年初预算的82.9%，比年初预算减少79.17万元，决算数小于预算数主要原因是财政紧张，项目收支减少；本年支出383.43万元，完成年初预算的82.9%，比年初预算减少79.17万元，决算数小于预算数主要原因是财政紧张，项目收支减少。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一般公共预算财政拨款本年收入完成年初预算的82.9%，比年初预算减少79.17万元，主要原因是财政紧张，项目收支减少；支出完成年初预算的82.9%，比年初预算减少79.17万元，主要原因是财政紧张，项目收支减少。</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政府性基金预算财政拨款本年收入完成年初预算的0.0%，比年初预算增加0.00万元，主要原因是我单位无政府性基金收支；支出完成年初预算的0.0%，比年初预算增加0.00万元，主要原因是我单位无政府性基金收支。</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我单位无国有资本经营预算财政拨款收支；支出完成年初预算的0.0%，比年初预算增加0.00万元，主要原因是我单位无国有资本经营预算财政拨款收支。</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2025年度财政拨款支出383.43万元，主要用于以下方面：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一般公共服务（类）支出326.49万元，占85.1%，主要用于</w:t>
      </w:r>
      <w:r>
        <w:rPr>
          <w:rFonts w:hint="eastAsia" w:ascii="Times New Roman" w:eastAsia="仿宋_GB2312"/>
          <w:b w:val="0"/>
          <w:sz w:val="32"/>
          <w:szCs w:val="32"/>
          <w:lang w:eastAsia="zh-CN"/>
        </w:rPr>
        <w:t>日常公用及项目类</w:t>
      </w:r>
      <w:r>
        <w:rPr>
          <w:rFonts w:ascii="Times New Roman" w:eastAsia="仿宋_GB2312"/>
          <w:b w:val="0"/>
          <w:sz w:val="32"/>
          <w:szCs w:val="32"/>
        </w:rPr>
        <w:t>等支出；外交（类）支出0.00万元，占0.0%，主要用于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外交（类）</w:t>
      </w:r>
      <w:r>
        <w:rPr>
          <w:rFonts w:ascii="Times New Roman" w:eastAsia="仿宋_GB2312"/>
          <w:b w:val="0"/>
          <w:sz w:val="32"/>
          <w:szCs w:val="32"/>
        </w:rPr>
        <w:t>等支出；国防（类）支出0.00万元，占0.0%，主要用于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国防（类）</w:t>
      </w:r>
      <w:r>
        <w:rPr>
          <w:rFonts w:ascii="Times New Roman" w:eastAsia="仿宋_GB2312"/>
          <w:b w:val="0"/>
          <w:sz w:val="32"/>
          <w:szCs w:val="32"/>
        </w:rPr>
        <w:t>等支出；公共安全类（类）支出0.00万元，占0.0%，主要用于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公共安全类（类）</w:t>
      </w:r>
      <w:r>
        <w:rPr>
          <w:rFonts w:ascii="Times New Roman" w:eastAsia="仿宋_GB2312"/>
          <w:b w:val="0"/>
          <w:sz w:val="32"/>
          <w:szCs w:val="32"/>
        </w:rPr>
        <w:t>等支出；教育（类）支出0.00万元，占0.0%，主要用于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教育（类）</w:t>
      </w:r>
      <w:r>
        <w:rPr>
          <w:rFonts w:ascii="Times New Roman" w:eastAsia="仿宋_GB2312"/>
          <w:b w:val="0"/>
          <w:sz w:val="32"/>
          <w:szCs w:val="32"/>
        </w:rPr>
        <w:t>等支出；科学技术（类）支出0.00万元，占0.0%，主要用于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科学技术（类）</w:t>
      </w:r>
      <w:r>
        <w:rPr>
          <w:rFonts w:ascii="Times New Roman" w:eastAsia="仿宋_GB2312"/>
          <w:b w:val="0"/>
          <w:sz w:val="32"/>
          <w:szCs w:val="32"/>
        </w:rPr>
        <w:t>等支出；文化旅游体育与传媒（类）支出0.00万元，占0.0%，主要用于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文化旅游体育与传媒（类）</w:t>
      </w:r>
      <w:r>
        <w:rPr>
          <w:rFonts w:ascii="Times New Roman" w:eastAsia="仿宋_GB2312"/>
          <w:b w:val="0"/>
          <w:sz w:val="32"/>
          <w:szCs w:val="32"/>
        </w:rPr>
        <w:t>等支出；社会保障和就业 （类）支出43.81万元，占11.4%，主要用于工资保险等支出；卫生健康（类）支出13.13万元，占3.4%，主要用于工资保险等支出；节能环保（类）支出0.00万元，占0.0%，主要用于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节能环保（类）</w:t>
      </w:r>
      <w:r>
        <w:rPr>
          <w:rFonts w:ascii="Times New Roman" w:eastAsia="仿宋_GB2312"/>
          <w:b w:val="0"/>
          <w:sz w:val="32"/>
          <w:szCs w:val="32"/>
        </w:rPr>
        <w:t>等支出；城乡社区（类）支出0.00万元，占0.0%，主要用于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城乡社区（类）</w:t>
      </w:r>
      <w:r>
        <w:rPr>
          <w:rFonts w:ascii="Times New Roman" w:eastAsia="仿宋_GB2312"/>
          <w:b w:val="0"/>
          <w:sz w:val="32"/>
          <w:szCs w:val="32"/>
        </w:rPr>
        <w:t>等支出；农林水（类）支出0.00万元，占0.0%，主要用于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农林水（类）</w:t>
      </w:r>
      <w:r>
        <w:rPr>
          <w:rFonts w:ascii="Times New Roman" w:eastAsia="仿宋_GB2312"/>
          <w:b w:val="0"/>
          <w:sz w:val="32"/>
          <w:szCs w:val="32"/>
        </w:rPr>
        <w:t>等支出；交通运输（类）支出0.00万元，占0.0%，主要用于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交通运输（类）</w:t>
      </w:r>
      <w:r>
        <w:rPr>
          <w:rFonts w:ascii="Times New Roman" w:eastAsia="仿宋_GB2312"/>
          <w:b w:val="0"/>
          <w:sz w:val="32"/>
          <w:szCs w:val="32"/>
        </w:rPr>
        <w:t>等支出；资源勘探信息等（类）支出0.00万元，占0.0%，主要用于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资源勘探信息等（类）</w:t>
      </w:r>
      <w:r>
        <w:rPr>
          <w:rFonts w:ascii="Times New Roman" w:eastAsia="仿宋_GB2312"/>
          <w:b w:val="0"/>
          <w:sz w:val="32"/>
          <w:szCs w:val="32"/>
        </w:rPr>
        <w:t>等支出；商业服务业等（类）支出0.00万元，占0.0%，主要用于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商业服务业等（类）</w:t>
      </w:r>
      <w:r>
        <w:rPr>
          <w:rFonts w:ascii="Times New Roman" w:eastAsia="仿宋_GB2312"/>
          <w:b w:val="0"/>
          <w:sz w:val="32"/>
          <w:szCs w:val="32"/>
        </w:rPr>
        <w:t>等支出；金融（类）支出0.00万元，占0.0%，主要用于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金融（类）</w:t>
      </w:r>
      <w:r>
        <w:rPr>
          <w:rFonts w:ascii="Times New Roman" w:eastAsia="仿宋_GB2312"/>
          <w:b w:val="0"/>
          <w:sz w:val="32"/>
          <w:szCs w:val="32"/>
        </w:rPr>
        <w:t>等支出；援助其他地区（类）支出0.00万元，占0.0%，主要用于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援助其他地区（类）</w:t>
      </w:r>
      <w:r>
        <w:rPr>
          <w:rFonts w:ascii="Times New Roman" w:eastAsia="仿宋_GB2312"/>
          <w:b w:val="0"/>
          <w:sz w:val="32"/>
          <w:szCs w:val="32"/>
        </w:rPr>
        <w:t>等支出；自然资源海洋气象等（类）支出0.00万元，占0.0%，主要用于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自然资源海洋气象等（类）</w:t>
      </w:r>
      <w:r>
        <w:rPr>
          <w:rFonts w:ascii="Times New Roman" w:eastAsia="仿宋_GB2312"/>
          <w:b w:val="0"/>
          <w:sz w:val="32"/>
          <w:szCs w:val="32"/>
        </w:rPr>
        <w:t>等支出；住房保障（类）支出0.00万元，占0.0%，主要用于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住房保障（类）</w:t>
      </w:r>
      <w:r>
        <w:rPr>
          <w:rFonts w:ascii="Times New Roman" w:eastAsia="仿宋_GB2312"/>
          <w:b w:val="0"/>
          <w:sz w:val="32"/>
          <w:szCs w:val="32"/>
        </w:rPr>
        <w:t>等支出；粮油物资储备（类）支出0.00万元，占0.0%，主要用于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粮油物资储备（类）</w:t>
      </w:r>
      <w:r>
        <w:rPr>
          <w:rFonts w:ascii="Times New Roman" w:eastAsia="仿宋_GB2312"/>
          <w:b w:val="0"/>
          <w:sz w:val="32"/>
          <w:szCs w:val="32"/>
        </w:rPr>
        <w:t>等支出；国有资本经营预算支出0.00万元，占0.0%，主要用于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国有资本经营预算</w:t>
      </w:r>
      <w:r>
        <w:rPr>
          <w:rFonts w:ascii="Times New Roman" w:eastAsia="仿宋_GB2312"/>
          <w:b w:val="0"/>
          <w:sz w:val="32"/>
          <w:szCs w:val="32"/>
        </w:rPr>
        <w:t>等支出；灾害防治及应急管理（类）支出0.00万元，占0.0%，主要用于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灾害防治及应急管理（类）</w:t>
      </w:r>
      <w:r>
        <w:rPr>
          <w:rFonts w:ascii="Times New Roman" w:eastAsia="仿宋_GB2312"/>
          <w:b w:val="0"/>
          <w:sz w:val="32"/>
          <w:szCs w:val="32"/>
        </w:rPr>
        <w:t>等支出；其他（类）支出0.00万元，占0.0%，主要用于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其他（类）</w:t>
      </w:r>
      <w:r>
        <w:rPr>
          <w:rFonts w:ascii="Times New Roman" w:eastAsia="仿宋_GB2312"/>
          <w:b w:val="0"/>
          <w:sz w:val="32"/>
          <w:szCs w:val="32"/>
        </w:rPr>
        <w:t>等支出；债务还本（类）支出0.00万元，占0.0%，主要用于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债务还本（类）</w:t>
      </w:r>
      <w:r>
        <w:rPr>
          <w:rFonts w:ascii="Times New Roman" w:eastAsia="仿宋_GB2312"/>
          <w:b w:val="0"/>
          <w:sz w:val="32"/>
          <w:szCs w:val="32"/>
        </w:rPr>
        <w:t>等支出；债务付息（类）支出0.00万元，占0.0%，主要用于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债务付息（类）</w:t>
      </w:r>
      <w:r>
        <w:rPr>
          <w:rFonts w:ascii="Times New Roman" w:eastAsia="仿宋_GB2312"/>
          <w:b w:val="0"/>
          <w:sz w:val="32"/>
          <w:szCs w:val="32"/>
        </w:rPr>
        <w:t>等支出；抗疫特别国债安排的支出0.00万元，占0.0%，主要用于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抗疫特别国债安排</w:t>
      </w:r>
      <w:r>
        <w:rPr>
          <w:rFonts w:ascii="Times New Roman" w:eastAsia="仿宋_GB2312"/>
          <w:b w:val="0"/>
          <w:sz w:val="32"/>
          <w:szCs w:val="32"/>
        </w:rPr>
        <w:t>等支出。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一般公共服务（类）</w:t>
      </w:r>
      <w:r>
        <w:rPr>
          <w:rFonts w:ascii="Times New Roman" w:eastAsia="仿宋_GB2312"/>
          <w:b w:val="0"/>
          <w:sz w:val="32"/>
          <w:szCs w:val="32"/>
        </w:rPr>
        <w:t>等支出；外交（类）支出0.00万元，占0.0%，主要用于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外交（类）</w:t>
      </w:r>
      <w:r>
        <w:rPr>
          <w:rFonts w:ascii="Times New Roman" w:eastAsia="仿宋_GB2312"/>
          <w:b w:val="0"/>
          <w:sz w:val="32"/>
          <w:szCs w:val="32"/>
        </w:rPr>
        <w:t>等支出；国防（类）支出0.00万元，占0.0%，主要用于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国防（类）</w:t>
      </w:r>
      <w:r>
        <w:rPr>
          <w:rFonts w:ascii="Times New Roman" w:eastAsia="仿宋_GB2312"/>
          <w:b w:val="0"/>
          <w:sz w:val="32"/>
          <w:szCs w:val="32"/>
        </w:rPr>
        <w:t>等支出；公共安全类（类）支出0.00万元，占0.0%，主要用于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公共安全类（类）</w:t>
      </w:r>
      <w:r>
        <w:rPr>
          <w:rFonts w:ascii="Times New Roman" w:eastAsia="仿宋_GB2312"/>
          <w:b w:val="0"/>
          <w:sz w:val="32"/>
          <w:szCs w:val="32"/>
        </w:rPr>
        <w:t>等支出；教育（类）支出0.00万元，占0.0%，主要用于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教育（类）</w:t>
      </w:r>
      <w:r>
        <w:rPr>
          <w:rFonts w:ascii="Times New Roman" w:eastAsia="仿宋_GB2312"/>
          <w:b w:val="0"/>
          <w:sz w:val="32"/>
          <w:szCs w:val="32"/>
        </w:rPr>
        <w:t>等支出；科学技术（类）支出0.00万元，占0.0%，主要用于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科学技术（类）</w:t>
      </w:r>
      <w:r>
        <w:rPr>
          <w:rFonts w:ascii="Times New Roman" w:eastAsia="仿宋_GB2312"/>
          <w:b w:val="0"/>
          <w:sz w:val="32"/>
          <w:szCs w:val="32"/>
        </w:rPr>
        <w:t>等支出；文化旅游体育与传媒（类）支出0.00万元，占0.0%，主要用于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文化旅游体育与传媒（类）</w:t>
      </w:r>
      <w:r>
        <w:rPr>
          <w:rFonts w:ascii="Times New Roman" w:eastAsia="仿宋_GB2312"/>
          <w:b w:val="0"/>
          <w:sz w:val="32"/>
          <w:szCs w:val="32"/>
        </w:rPr>
        <w:t>等支出；社会保障和就业 （类）支出0.00万元，占0.0%，主要用于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社会保障和就业 （类）</w:t>
      </w:r>
      <w:r>
        <w:rPr>
          <w:rFonts w:ascii="Times New Roman" w:eastAsia="仿宋_GB2312"/>
          <w:b w:val="0"/>
          <w:sz w:val="32"/>
          <w:szCs w:val="32"/>
        </w:rPr>
        <w:t>等支出；卫生健康（类）支出0.00万元，占0.0%，主要用于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卫生健康（类）</w:t>
      </w:r>
      <w:r>
        <w:rPr>
          <w:rFonts w:ascii="Times New Roman" w:eastAsia="仿宋_GB2312"/>
          <w:b w:val="0"/>
          <w:sz w:val="32"/>
          <w:szCs w:val="32"/>
        </w:rPr>
        <w:t>等支出；节能环保（类）支出0.00万元，占0.0%，主要用于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节能环保（类）</w:t>
      </w:r>
      <w:r>
        <w:rPr>
          <w:rFonts w:ascii="Times New Roman" w:eastAsia="仿宋_GB2312"/>
          <w:b w:val="0"/>
          <w:sz w:val="32"/>
          <w:szCs w:val="32"/>
        </w:rPr>
        <w:t>等支出；城乡社区（类）支出0.00万元，占0.0%，主要用于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城乡社区（类）</w:t>
      </w:r>
      <w:r>
        <w:rPr>
          <w:rFonts w:ascii="Times New Roman" w:eastAsia="仿宋_GB2312"/>
          <w:b w:val="0"/>
          <w:sz w:val="32"/>
          <w:szCs w:val="32"/>
        </w:rPr>
        <w:t>等支出；农林水（类）支出0.00万元，占0.0%，主要用于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农林水（类）</w:t>
      </w:r>
      <w:r>
        <w:rPr>
          <w:rFonts w:ascii="Times New Roman" w:eastAsia="仿宋_GB2312"/>
          <w:b w:val="0"/>
          <w:sz w:val="32"/>
          <w:szCs w:val="32"/>
        </w:rPr>
        <w:t>等支出；交通运输（类）支出0.00万元，占0.0%，主要用于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交通运输（类）</w:t>
      </w:r>
      <w:r>
        <w:rPr>
          <w:rFonts w:ascii="Times New Roman" w:eastAsia="仿宋_GB2312"/>
          <w:b w:val="0"/>
          <w:sz w:val="32"/>
          <w:szCs w:val="32"/>
        </w:rPr>
        <w:t>等支出；资源勘探信息等（类）支出0.00万元，占0.0%，主要用于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资源勘探信息等（类）</w:t>
      </w:r>
      <w:r>
        <w:rPr>
          <w:rFonts w:ascii="Times New Roman" w:eastAsia="仿宋_GB2312"/>
          <w:b w:val="0"/>
          <w:sz w:val="32"/>
          <w:szCs w:val="32"/>
        </w:rPr>
        <w:t>等支出；商业服务业等（类）支出0.00万元，占0.0%，主要用于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商业服务业等（类）</w:t>
      </w:r>
      <w:r>
        <w:rPr>
          <w:rFonts w:ascii="Times New Roman" w:eastAsia="仿宋_GB2312"/>
          <w:b w:val="0"/>
          <w:sz w:val="32"/>
          <w:szCs w:val="32"/>
        </w:rPr>
        <w:t>等支出；金融（类）支出0.00万元，占0.0%，主要用于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金融（类）</w:t>
      </w:r>
      <w:r>
        <w:rPr>
          <w:rFonts w:ascii="Times New Roman" w:eastAsia="仿宋_GB2312"/>
          <w:b w:val="0"/>
          <w:sz w:val="32"/>
          <w:szCs w:val="32"/>
        </w:rPr>
        <w:t>等支出；援助其他地区（类）支出0.00万元，占0.0%，主要用于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援助其他地区（类）</w:t>
      </w:r>
      <w:r>
        <w:rPr>
          <w:rFonts w:ascii="Times New Roman" w:eastAsia="仿宋_GB2312"/>
          <w:b w:val="0"/>
          <w:sz w:val="32"/>
          <w:szCs w:val="32"/>
        </w:rPr>
        <w:t>等支出；自然资源海洋气象等（类）支出0.00万元，占0.0%，主要用于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自然资源海洋气象等（类）</w:t>
      </w:r>
      <w:r>
        <w:rPr>
          <w:rFonts w:ascii="Times New Roman" w:eastAsia="仿宋_GB2312"/>
          <w:b w:val="0"/>
          <w:sz w:val="32"/>
          <w:szCs w:val="32"/>
        </w:rPr>
        <w:t>等支出；住房保障（类）支出0.00万元，占0.0%，主要用于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住房保障（类）</w:t>
      </w:r>
      <w:r>
        <w:rPr>
          <w:rFonts w:ascii="Times New Roman" w:eastAsia="仿宋_GB2312"/>
          <w:b w:val="0"/>
          <w:sz w:val="32"/>
          <w:szCs w:val="32"/>
        </w:rPr>
        <w:t>等支出；粮油物资储备（类）支出0.00万元，占0.0%，主要用于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粮油物资储备（类）</w:t>
      </w:r>
      <w:r>
        <w:rPr>
          <w:rFonts w:ascii="Times New Roman" w:eastAsia="仿宋_GB2312"/>
          <w:b w:val="0"/>
          <w:sz w:val="32"/>
          <w:szCs w:val="32"/>
        </w:rPr>
        <w:t>等支出；国有资本经营预算支出0.00万元，占0.0%，主要用于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国有资本经营预算</w:t>
      </w:r>
      <w:r>
        <w:rPr>
          <w:rFonts w:ascii="Times New Roman" w:eastAsia="仿宋_GB2312"/>
          <w:b w:val="0"/>
          <w:sz w:val="32"/>
          <w:szCs w:val="32"/>
        </w:rPr>
        <w:t>等支出；灾害防治及应急管理（类）支出0.00万元，占0.0%，主要用于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灾害防治及应急管理（类）</w:t>
      </w:r>
      <w:r>
        <w:rPr>
          <w:rFonts w:ascii="Times New Roman" w:eastAsia="仿宋_GB2312"/>
          <w:b w:val="0"/>
          <w:sz w:val="32"/>
          <w:szCs w:val="32"/>
        </w:rPr>
        <w:t>等支出；其他（类）支出0.00万元，占0.0%，主要用于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其他（类）</w:t>
      </w:r>
      <w:r>
        <w:rPr>
          <w:rFonts w:ascii="Times New Roman" w:eastAsia="仿宋_GB2312"/>
          <w:b w:val="0"/>
          <w:sz w:val="32"/>
          <w:szCs w:val="32"/>
        </w:rPr>
        <w:t>等支出；债务还本（类）支出0.00万元，占0.0%，主要用于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债务还本（类）</w:t>
      </w:r>
      <w:r>
        <w:rPr>
          <w:rFonts w:ascii="Times New Roman" w:eastAsia="仿宋_GB2312"/>
          <w:b w:val="0"/>
          <w:sz w:val="32"/>
          <w:szCs w:val="32"/>
        </w:rPr>
        <w:t>等支出；债务付息（类）支出0.00万元，占0.0%，主要用于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债务付息（类）</w:t>
      </w:r>
      <w:r>
        <w:rPr>
          <w:rFonts w:ascii="Times New Roman" w:eastAsia="仿宋_GB2312"/>
          <w:b w:val="0"/>
          <w:sz w:val="32"/>
          <w:szCs w:val="32"/>
        </w:rPr>
        <w:t>等支出；抗疫特别国债安排的支出0.00万元，占0.00%，主要用于</w:t>
      </w:r>
      <w:r>
        <w:rPr>
          <w:rFonts w:hint="eastAsia" w:ascii="Times New Roman" w:eastAsia="仿宋_GB2312"/>
          <w:b w:val="0"/>
          <w:sz w:val="32"/>
          <w:szCs w:val="32"/>
          <w:lang w:eastAsia="zh-CN"/>
        </w:rPr>
        <w:t>无</w:t>
      </w:r>
      <w:r>
        <w:rPr>
          <w:rFonts w:ascii="Times New Roman" w:eastAsia="仿宋_GB2312"/>
          <w:b w:val="0"/>
          <w:sz w:val="32"/>
          <w:szCs w:val="32"/>
        </w:rPr>
        <w:t>抗疫特别国债安排</w:t>
      </w:r>
      <w:r>
        <w:rPr>
          <w:rFonts w:ascii="Times New Roman" w:eastAsia="仿宋_GB2312"/>
          <w:b w:val="0"/>
          <w:sz w:val="32"/>
          <w:szCs w:val="32"/>
        </w:rPr>
        <w:t>等支出。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一般公共服务（类）等支出；外交（类）支出0.00万元，占0.0%，主要用于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外交（类）等支出；国防（类）支出0.00万元，占0.0%，主要用于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国防（类）等支出；公共安全类（类）支出0.00万元，占0.0%，主要用于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公共安全类（类）等支出；教育（类）支出0.00万元，占0.0%，主要用于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教育（类）等支出；科学技术（类）支出0.00万元，占0.0%，主要用于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科学技术（类）等支出；文化旅游体育与传媒（类）支出0.00万元，占0.0%，主要用于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文化旅游体育与传媒（类）等支出；社会保障和就业 （类）支出0.00万元，占0.0%，主要用于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社会保障和就业 （类）等支出；卫生健康（类）支出0.00万元，占0.0%，主要用于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卫生健康（类）等支出；节能环保（类）支出0.00万元，占0.0%，主要用于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节能环保（类）等支出；城乡社区（类）支出0.00万元，占0.0%，主要用于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城乡社区（类）等支出；农林水（类）支出0.00万元，占0.0%，主要用于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农林水（类）等支出；交通运输（类）支出0.00万元，占0.0%，主要用于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交通运输（类）等支出；资源勘探信息等（类）支出0.00万元，占0.0%，主要用于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资源勘探信息等（类）等支出；商业服务业等（类）支出0.00万元，占0.0%，主要用于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商业服务业等（类）等支出；金融（类）支出0.00万元，占0.0%，主要用于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金融（类）等支出；援助其他地区（类）支出0.00万元，占0.0%，主要用于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援助其他地区（类）等支出；自然资源海洋气象等（类）支出0.00万元，占0.0%，主要用于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自然资源海洋气象等（类）等支出；住房保障（类）支出0.00万元，占0.0%，主要用于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住房保障（类）等支出；粮油物资储备（类）支出0.00万元，占0.0%，主要用于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粮油物资储备（类）等支出；国有资本经营预算支出0.00万元，占0.0%，主要用于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国有资本经营预算等支出；灾害防治及应急管理（类）支出0.00万元，占0.0%，主要用于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灾害防治及应急管理（类）等支出；其他（类）支出0.00万元，占0.0%，主要用于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其他（类）等支出；债务还本（类）支出0.00万元，占0.0%，主要用于</w:t>
      </w:r>
      <w:bookmarkStart w:id="0" w:name="_GoBack"/>
      <w:bookmarkEnd w:id="0"/>
      <w:r>
        <w:rPr>
          <w:rFonts w:hint="eastAsia" w:ascii="Times New Roman" w:eastAsia="仿宋_GB2312"/>
          <w:b w:val="0"/>
          <w:sz w:val="32"/>
          <w:szCs w:val="32"/>
          <w:lang w:eastAsia="zh-CN"/>
        </w:rPr>
        <w:t>无</w:t>
      </w:r>
      <w:r>
        <w:rPr>
          <w:rFonts w:ascii="Times New Roman" w:eastAsia="仿宋_GB2312"/>
          <w:b w:val="0"/>
          <w:sz w:val="32"/>
          <w:szCs w:val="32"/>
        </w:rPr>
        <w:t>债务还本（类）等支出；债务付息（类）支出0.00万元，占0.0%，主要用于</w:t>
      </w:r>
      <w:r>
        <w:rPr>
          <w:rFonts w:hint="eastAsia" w:ascii="Times New Roman" w:eastAsia="仿宋_GB2312"/>
          <w:b w:val="0"/>
          <w:sz w:val="32"/>
          <w:szCs w:val="32"/>
          <w:lang w:eastAsia="zh-CN"/>
        </w:rPr>
        <w:t>无</w:t>
      </w:r>
      <w:r>
        <w:rPr>
          <w:rFonts w:ascii="Times New Roman" w:eastAsia="仿宋_GB2312"/>
          <w:b w:val="0"/>
          <w:sz w:val="32"/>
          <w:szCs w:val="32"/>
        </w:rPr>
        <w:t>债务付息（类）等支出；抗疫特别国债安排的支出0.00万元，占0.00%，主要用于</w:t>
      </w:r>
      <w:r>
        <w:rPr>
          <w:rFonts w:hint="eastAsia" w:ascii="Times New Roman" w:eastAsia="仿宋_GB2312"/>
          <w:b w:val="0"/>
          <w:sz w:val="32"/>
          <w:szCs w:val="32"/>
          <w:lang w:eastAsia="zh-CN"/>
        </w:rPr>
        <w:t>无</w:t>
      </w:r>
      <w:r>
        <w:rPr>
          <w:rFonts w:ascii="Times New Roman" w:eastAsia="仿宋_GB2312"/>
          <w:b w:val="0"/>
          <w:sz w:val="32"/>
          <w:szCs w:val="32"/>
        </w:rPr>
        <w:t>抗疫特别国债安排等支出。</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2025年度财政拨款基本支出354.34万元，其中：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328.99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25.35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3.00万元，支出决算为1.09万元，完成预算的36.3%，较预算减少1.91万元，降低63.7%，主要原因是财政紧张，部分资金未支付；较2024年度决算增加0.42万元，增长62.7%，主要原因是支付上年度账款。</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未发生因公出国（境）；较上年增加0.00万元，增长0.00%,主要原因是未发生因公出国（境）。因公出国（境）团组0个、共0人、参加其他单位组织的因公出国（境）团组0个、共0人/无本部门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3.00万元，支出决算1.09万元，完成预算的36.3%,较预算减少1.91万元，降低63.7%,主要原因是财政紧张，部分资金未支付；较上年增加0.42万元，增长62.7%,主要原因是支付上年度账款。其中：</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未发生“公务用车购置”经费支出；较上年增加0.00万元，增长0.00%,主要原因是未发生“公务用车购置”经费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公务用车运行维护费支出1.09万元：</w:t>
      </w:r>
      <w:r>
        <w:rPr>
          <w:rFonts w:ascii="Times New Roman" w:eastAsia="仿宋_GB2312"/>
          <w:b w:val="0"/>
          <w:sz w:val="32"/>
          <w:szCs w:val="32"/>
        </w:rPr>
        <w:t>本单位2025年度单位公务用车保有量1辆，发生运行维护费支出1.09万元。公车运行维护费支出较预算减少1.91万元，降低63.7%,主要原因是财政紧张，部分资金未支付；较上年增加0.42万元，增长62.7%，主要原因是支付上年度账款。</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未发生公务接待费支出；较上年度增加0.00万元，增长0.00%,主要原因是未发生公务接待费支出。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本单位2025年度机关运行经费支出25.35万元，较2024年度增加10.01万元，增长65.3%。主要原因是拨付上年度11个月人员补贴。</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1辆，比上年增加0辆，主要是未购买车辆。其中，副部（省）级及以上领导用车0辆，主要负责人用车0辆，机要通信用车0辆，应急保障用车1辆，执法执勤用车0辆，特种专业技术用车0辆，离退休干部用车0辆，其他用车0辆，其他用车主要是无。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29.09万元（决算金额）。其中，一般公共预算项目2个，涉及资金29.09万元，占一般公共预算项目支出总额的100%；政府性基金预算项目0个，涉及资金0万元，占政府性基金预算项目支出总额的0%；国有资本经营预算项目0个，涉及资金0万元，占国有资本经营预算项目支出总额的0%。</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组织对专项审计费等2个项目开展了部门重点评价，涉及一般公共预算支出29.09万元，政府性基金预算支出0万元，国有资本经营预算支出0万元，从评价情况来看，评价结果为优。</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本单位在今年部门决算公开中反映专项审计费等2个项目绩效自评结果。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99</w:t>
      </w:r>
      <w:r>
        <w:rPr>
          <w:rFonts w:ascii="Times New Roman" w:eastAsia="仿宋_GB2312"/>
          <w:b w:val="0"/>
          <w:sz w:val="32"/>
          <w:szCs w:val="32"/>
        </w:rPr>
        <w:t>分（绩效自评表附后）。全年预算数为</w:t>
      </w:r>
      <w:r>
        <w:rPr>
          <w:rFonts w:ascii="Times New Roman" w:eastAsia="仿宋_GB2312"/>
          <w:b w:val="0"/>
          <w:sz w:val="32"/>
          <w:szCs w:val="32"/>
        </w:rPr>
        <w:t>29.09</w:t>
      </w:r>
      <w:r>
        <w:rPr>
          <w:rFonts w:ascii="Times New Roman" w:eastAsia="仿宋_GB2312"/>
          <w:b w:val="0"/>
          <w:sz w:val="32"/>
          <w:szCs w:val="32"/>
        </w:rPr>
        <w:t>万元，执行数为</w:t>
      </w:r>
      <w:r>
        <w:rPr>
          <w:rFonts w:ascii="Times New Roman" w:eastAsia="仿宋_GB2312"/>
          <w:b w:val="0"/>
          <w:sz w:val="32"/>
          <w:szCs w:val="32"/>
        </w:rPr>
        <w:t>29.09</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%。项目绩效目标完成情况：一是</w:t>
      </w:r>
      <w:r>
        <w:rPr>
          <w:rFonts w:hint="eastAsia" w:ascii="仿宋" w:hAnsi="仿宋" w:eastAsia="仿宋" w:cs="黑体"/>
          <w:kern w:val="2"/>
          <w:sz w:val="32"/>
          <w:szCs w:val="32"/>
          <w:lang w:val="en-US" w:eastAsia="zh-CN" w:bidi="ar-SA"/>
        </w:rPr>
        <w:t>通过审计财政、财务收支真实、合法和效益、维护国家财政经济秩序、促进廉政建设、保障国民经济的健康发展</w:t>
      </w:r>
      <w:r>
        <w:rPr>
          <w:rFonts w:ascii="Times New Roman" w:eastAsia="仿宋_GB2312"/>
          <w:b w:val="0"/>
          <w:sz w:val="32"/>
          <w:szCs w:val="32"/>
        </w:rPr>
        <w:t>；二是</w:t>
      </w:r>
      <w:r>
        <w:rPr>
          <w:rFonts w:hint="eastAsia" w:ascii="仿宋" w:hAnsi="仿宋" w:eastAsia="仿宋" w:cs="黑体"/>
          <w:kern w:val="2"/>
          <w:sz w:val="32"/>
          <w:szCs w:val="32"/>
          <w:lang w:val="en-US" w:eastAsia="zh-CN" w:bidi="ar-SA"/>
        </w:rPr>
        <w:t>通过专项审计调查，综合分析，向有关部门反映情况，揭露问题、提出解决问题的建议，为政府决策提供依据；三是为加强国家建设项目是审计监督，规范投资行为，提高投资效益，促进廉政建设。</w:t>
      </w:r>
      <w:r>
        <w:rPr>
          <w:rFonts w:ascii="Times New Roman" w:eastAsia="仿宋_GB2312"/>
          <w:b w:val="0"/>
          <w:sz w:val="32"/>
          <w:szCs w:val="32"/>
        </w:rPr>
        <w:t>发现的主要问题及原因是：一是</w:t>
      </w:r>
      <w:r>
        <w:rPr>
          <w:rFonts w:hint="eastAsia" w:ascii="仿宋" w:hAnsi="仿宋" w:eastAsia="仿宋" w:cs="黑体"/>
          <w:kern w:val="2"/>
          <w:sz w:val="32"/>
          <w:szCs w:val="32"/>
          <w:lang w:val="en-US" w:eastAsia="zh-CN" w:bidi="ar-SA"/>
        </w:rPr>
        <w:t>预算编制的合理性有待进一步提高</w:t>
      </w:r>
      <w:r>
        <w:rPr>
          <w:rFonts w:ascii="Times New Roman" w:eastAsia="仿宋_GB2312"/>
          <w:b w:val="0"/>
          <w:sz w:val="32"/>
          <w:szCs w:val="32"/>
        </w:rPr>
        <w:t>；二是</w:t>
      </w:r>
      <w:r>
        <w:rPr>
          <w:rFonts w:hint="eastAsia" w:ascii="仿宋" w:hAnsi="仿宋" w:eastAsia="仿宋" w:cs="黑体"/>
          <w:kern w:val="2"/>
          <w:sz w:val="32"/>
          <w:szCs w:val="32"/>
          <w:lang w:val="en-US" w:eastAsia="zh-CN" w:bidi="ar-SA"/>
        </w:rPr>
        <w:t>缺乏主动性，由于预算绩效管理的专业性、复杂性等特性，业务水平还不能满足绩效管理工作要求，专业素质有待提高；三是规范高效的预算绩效管理模式还处于起步阶段，预算绩效管理基础工作有待进一步加强；四是部分资金使用率有待于进一步提高</w:t>
      </w:r>
      <w:r>
        <w:rPr>
          <w:rFonts w:ascii="Times New Roman" w:eastAsia="仿宋_GB2312"/>
          <w:b w:val="0"/>
          <w:sz w:val="32"/>
          <w:szCs w:val="32"/>
        </w:rPr>
        <w:t>。下一步改进措施：一是</w:t>
      </w:r>
      <w:r>
        <w:rPr>
          <w:rFonts w:hint="eastAsia" w:ascii="仿宋" w:hAnsi="仿宋" w:eastAsia="仿宋" w:cs="黑体"/>
          <w:kern w:val="2"/>
          <w:sz w:val="32"/>
          <w:szCs w:val="32"/>
          <w:lang w:val="en-US" w:eastAsia="zh-CN" w:bidi="ar-SA"/>
        </w:rPr>
        <w:t>提高资金的使用效率</w:t>
      </w:r>
      <w:r>
        <w:rPr>
          <w:rFonts w:ascii="Times New Roman" w:eastAsia="仿宋_GB2312"/>
          <w:b w:val="0"/>
          <w:sz w:val="32"/>
          <w:szCs w:val="32"/>
        </w:rPr>
        <w:t>；二是</w:t>
      </w:r>
      <w:r>
        <w:rPr>
          <w:rFonts w:hint="eastAsia" w:ascii="仿宋" w:hAnsi="仿宋" w:eastAsia="仿宋" w:cs="黑体"/>
          <w:kern w:val="2"/>
          <w:sz w:val="32"/>
          <w:szCs w:val="32"/>
          <w:lang w:val="en-US" w:eastAsia="zh-CN" w:bidi="ar-SA"/>
        </w:rPr>
        <w:t>完善项目实施程序；三是加强日常监督；四是科学合理制定产出目标</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eastAsia="zh-CN"/>
        </w:rPr>
      </w:pPr>
      <w:r>
        <w:rPr>
          <w:rFonts w:hint="eastAsia" w:ascii="Times New Roman" w:eastAsia="仿宋_GB2312"/>
          <w:sz w:val="32"/>
          <w:szCs w:val="32"/>
          <w:lang w:eastAsia="zh-CN"/>
        </w:rPr>
        <w:t>绩效评价结果为优。</w:t>
      </w:r>
    </w:p>
    <w:p>
      <w:pPr>
        <w:widowControl/>
        <w:spacing w:before="0" w:beforeLines="0" w:beforeAutospacing="0" w:after="0" w:afterLines="0" w:afterAutospacing="0" w:line="360" w:lineRule="auto"/>
        <w:jc w:val="left"/>
        <w:rPr>
          <w:rFonts w:ascii="Times New Roman" w:eastAsia="黑体"/>
          <w:b w:val="0"/>
          <w:sz w:val="32"/>
          <w:szCs w:val="32"/>
        </w:rPr>
      </w:pPr>
    </w:p>
    <w:p>
      <w:pPr>
        <w:widowControl/>
        <w:spacing w:before="0" w:beforeLines="0" w:beforeAutospacing="0" w:after="0" w:afterLines="0" w:afterAutospacing="0" w:line="360" w:lineRule="auto"/>
        <w:jc w:val="left"/>
        <w:rPr>
          <w:rFonts w:ascii="Times New Roman" w:eastAsia="黑体"/>
          <w:b w:val="0"/>
          <w:sz w:val="32"/>
          <w:szCs w:val="32"/>
        </w:rPr>
      </w:pPr>
    </w:p>
    <w:p>
      <w:pPr>
        <w:widowControl/>
        <w:spacing w:before="0" w:beforeLines="0" w:beforeAutospacing="0" w:after="0" w:afterLines="0" w:afterAutospacing="0" w:line="360" w:lineRule="auto"/>
        <w:jc w:val="left"/>
        <w:rPr>
          <w:rFonts w:ascii="Times New Roman" w:eastAsia="黑体"/>
          <w:b w:val="0"/>
          <w:sz w:val="32"/>
          <w:szCs w:val="32"/>
        </w:rPr>
      </w:pPr>
      <w:r>
        <w:rPr>
          <w:rFonts w:ascii="Times New Roman" w:eastAsia="黑体"/>
          <w:b w:val="0"/>
          <w:sz w:val="32"/>
          <w:szCs w:val="32"/>
        </w:rPr>
        <w:object>
          <v:shape id="_x0000_i1025" o:spt="75" type="#_x0000_t75" style="height:674.05pt;width:453.25pt;" o:ole="t" filled="f" o:preferrelative="t" stroked="f" coordsize="21600,21600">
            <v:path/>
            <v:fill on="f" focussize="0,0"/>
            <v:stroke on="f"/>
            <v:imagedata r:id="rId20" o:title=""/>
            <o:lock v:ext="edit" aspectratio="f"/>
            <w10:wrap type="none"/>
            <w10:anchorlock/>
          </v:shape>
          <o:OLEObject Type="Embed" ProgID="Excel.Sheet.12" ShapeID="_x0000_i1025" DrawAspect="Content" ObjectID="_1468075725" r:id="rId19">
            <o:LockedField>false</o:LockedField>
          </o:OLEObject>
        </w:object>
      </w:r>
    </w:p>
    <w:p>
      <w:pPr>
        <w:widowControl/>
        <w:spacing w:before="0" w:beforeLines="0" w:beforeAutospacing="0" w:after="0" w:afterLines="0" w:afterAutospacing="0" w:line="360" w:lineRule="auto"/>
        <w:ind w:firstLine="640" w:firstLineChars="200"/>
        <w:jc w:val="left"/>
        <w:rPr>
          <w:rFonts w:ascii="Times New Roman" w:eastAsia="黑体"/>
          <w:b w:val="0"/>
          <w:sz w:val="32"/>
          <w:szCs w:val="32"/>
        </w:rPr>
      </w:pPr>
      <w:r>
        <w:rPr>
          <w:rFonts w:ascii="Times New Roman" w:eastAsia="黑体"/>
          <w:b w:val="0"/>
          <w:sz w:val="32"/>
          <w:szCs w:val="32"/>
        </w:rPr>
        <w:object>
          <v:shape id="_x0000_i1026" o:spt="75" type="#_x0000_t75" style="height:619.9pt;width:453.25pt;" o:ole="t" filled="f" o:preferrelative="t" stroked="f" coordsize="21600,21600">
            <v:path/>
            <v:fill on="f" focussize="0,0"/>
            <v:stroke on="f"/>
            <v:imagedata r:id="rId22" o:title=""/>
            <o:lock v:ext="edit" aspectratio="f"/>
            <w10:wrap type="none"/>
            <w10:anchorlock/>
          </v:shape>
          <o:OLEObject Type="Embed" ProgID="Excel.Sheet.12" ShapeID="_x0000_i1026" DrawAspect="Content" ObjectID="_1468075726" r:id="rId21">
            <o:LockedField>false</o:LockedField>
          </o:OLEObject>
        </w:object>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1.本单位2025年度政府性基金预算财政拨款收入支出决算表（公开07表）、国有资本经营预算财政拨款支出决算表（公开08表）无相应收支，故空表列示。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9A6F66D3-CD20-4682-8685-9FCA59D2E113}"/>
  </w:font>
  <w:font w:name="黑体">
    <w:panose1 w:val="02010609060101010101"/>
    <w:charset w:val="86"/>
    <w:family w:val="auto"/>
    <w:pitch w:val="default"/>
    <w:sig w:usb0="800002BF" w:usb1="38CF7CFA" w:usb2="00000016" w:usb3="00000000" w:csb0="00040001" w:csb1="00000000"/>
    <w:embedRegular r:id="rId2" w:fontKey="{BC6DB1EB-E358-4C5C-AD79-90D9DE76E0B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6A823748-C371-41F7-9971-B6E637480F63}"/>
  </w:font>
  <w:font w:name="仿宋">
    <w:panose1 w:val="02010609060101010101"/>
    <w:charset w:val="86"/>
    <w:family w:val="modern"/>
    <w:pitch w:val="default"/>
    <w:sig w:usb0="800002BF" w:usb1="38CF7CFA" w:usb2="00000016" w:usb3="00000000" w:csb0="00040001" w:csb1="00000000"/>
    <w:embedRegular r:id="rId4" w:fontKey="{6AB20AA0-FB3B-4BC1-A43B-3265311B2ED4}"/>
  </w:font>
  <w:font w:name="Calibri Light">
    <w:panose1 w:val="020F0302020204030204"/>
    <w:charset w:val="00"/>
    <w:family w:val="auto"/>
    <w:pitch w:val="default"/>
    <w:sig w:usb0="A00002EF" w:usb1="4000207B" w:usb2="00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00000000" w:usb1="00000000" w:usb2="00000000" w:usb3="00000000" w:csb0="00000000" w:csb1="00000000"/>
    <w:embedRegular r:id="rId5" w:fontKey="{E9C3CE89-F4F4-4DED-9DDF-2AFE9F706260}"/>
  </w:font>
  <w:font w:name="楷体_GB2312">
    <w:panose1 w:val="02010609030101010101"/>
    <w:charset w:val="86"/>
    <w:family w:val="auto"/>
    <w:pitch w:val="default"/>
    <w:sig w:usb0="00000001" w:usb1="080E0000" w:usb2="00000000" w:usb3="00000000" w:csb0="00040000" w:csb1="00000000"/>
    <w:embedRegular r:id="rId6" w:fontKey="{BB9F3F7B-D713-4982-A816-C3321FF94E44}"/>
  </w:font>
  <w:font w:name="微软雅黑">
    <w:panose1 w:val="020B0503020204020204"/>
    <w:charset w:val="86"/>
    <w:family w:val="auto"/>
    <w:pitch w:val="default"/>
    <w:sig w:usb0="80000287" w:usb1="280F3C52" w:usb2="00000016" w:usb3="00000000" w:csb0="0004001F" w:csb1="00000000"/>
    <w:embedRegular r:id="rId7" w:fontKey="{597B0A69-0883-44EF-9845-3674AAB502A5}"/>
  </w:font>
  <w:font w:name="方正小标宋_GBK">
    <w:panose1 w:val="02000000000000000000"/>
    <w:charset w:val="86"/>
    <w:family w:val="script"/>
    <w:pitch w:val="default"/>
    <w:sig w:usb0="00000000" w:usb1="00000000" w:usb2="00000000" w:usb3="00000000" w:csb0="00000000" w:csb1="00000000"/>
    <w:embedRegular r:id="rId8" w:fontKey="{6C83A6D7-5AA2-4E73-A7CA-8138DA14A532}"/>
  </w:font>
  <w:font w:name="仿宋_GB2312">
    <w:panose1 w:val="02010609030101010101"/>
    <w:charset w:val="86"/>
    <w:family w:val="auto"/>
    <w:pitch w:val="default"/>
    <w:sig w:usb0="00000001" w:usb1="080E0000" w:usb2="00000000" w:usb3="00000000" w:csb0="00040000" w:csb1="00000000"/>
    <w:embedRegular r:id="rId9" w:fontKey="{B4E34CED-99FD-41DF-B6E2-2FDCE7810A7A}"/>
  </w:font>
  <w:font w:name="ArialUnicodeMS">
    <w:altName w:val="Malgun Gothic"/>
    <w:panose1 w:val="00000000000000000000"/>
    <w:charset w:val="81"/>
    <w:family w:val="auto"/>
    <w:pitch w:val="default"/>
    <w:sig w:usb0="00000000" w:usb1="00000000" w:usb2="00000010" w:usb3="00000000" w:csb0="00080001" w:csb1="00000000"/>
    <w:embedRegular r:id="rId10" w:fontKey="{632987D0-A079-4813-8CA1-37BAA78C5F51}"/>
  </w:font>
  <w:font w:name="Malgun Gothic">
    <w:panose1 w:val="020B0503020000020004"/>
    <w:charset w:val="81"/>
    <w:family w:val="auto"/>
    <w:pitch w:val="default"/>
    <w:sig w:usb0="900002AF" w:usb1="01D77CFB" w:usb2="00000012" w:usb3="00000000" w:csb0="00080001" w:csb1="00000000"/>
  </w:font>
  <w:font w:name="方正仿宋_GBK">
    <w:altName w:val="微软雅黑"/>
    <w:panose1 w:val="02000000000000000000"/>
    <w:charset w:val="86"/>
    <w:family w:val="auto"/>
    <w:pitch w:val="default"/>
    <w:sig w:usb0="00000000" w:usb1="00000000" w:usb2="00082016" w:usb3="00000000" w:csb0="00040001" w:csb1="00000000"/>
  </w:font>
  <w:font w:name="方正小标宋_GBK">
    <w:panose1 w:val="02000000000000000000"/>
    <w:charset w:val="00"/>
    <w:family w:val="auto"/>
    <w:pitch w:val="default"/>
    <w:sig w:usb0="00000000" w:usb1="00000000" w:usb2="00000000" w:usb3="00000000" w:csb0="00000000" w:csb1="00000000"/>
  </w:font>
  <w:font w:name="Arial Unicode MS">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71681A"/>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1C7E98"/>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A8787E"/>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5C1D1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2F4068"/>
    <w:rsid w:val="76510960"/>
    <w:rsid w:val="768216BE"/>
    <w:rsid w:val="76C23B43"/>
    <w:rsid w:val="76FD6F97"/>
    <w:rsid w:val="770218E8"/>
    <w:rsid w:val="779469CE"/>
    <w:rsid w:val="77C875A5"/>
    <w:rsid w:val="77D777E8"/>
    <w:rsid w:val="78A27DF6"/>
    <w:rsid w:val="79285B3A"/>
    <w:rsid w:val="79490B03"/>
    <w:rsid w:val="794F695C"/>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character" w:customStyle="1" w:styleId="27">
    <w:name w:val="font71"/>
    <w:basedOn w:val="13"/>
    <w:uiPriority w:val="0"/>
    <w:rPr>
      <w:rFonts w:hint="eastAsia" w:ascii="宋体" w:hAnsi="宋体" w:eastAsia="宋体" w:cs="宋体"/>
      <w:color w:val="000000"/>
      <w:sz w:val="20"/>
      <w:szCs w:val="20"/>
      <w:u w:val="none"/>
    </w:rPr>
  </w:style>
  <w:style w:type="character" w:customStyle="1" w:styleId="28">
    <w:name w:val="font81"/>
    <w:basedOn w:val="13"/>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3.emf"/><Relationship Id="rId21" Type="http://schemas.openxmlformats.org/officeDocument/2006/relationships/oleObject" Target="embeddings/oleObject2.bin"/><Relationship Id="rId20" Type="http://schemas.openxmlformats.org/officeDocument/2006/relationships/image" Target="media/image2.e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383.43</c:v>
                </c:pt>
                <c:pt idx="1">
                  <c:v>366.22</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3834268.94</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3543390.94</c:v>
                </c:pt>
                <c:pt idx="1">
                  <c:v>290878</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366.13</c:v>
                </c:pt>
                <c:pt idx="1">
                  <c:v>366.22</c:v>
                </c:pt>
                <c:pt idx="2">
                  <c:v>366.13</c:v>
                </c:pt>
                <c:pt idx="3">
                  <c:v>366.22</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383.43</c:v>
                </c:pt>
                <c:pt idx="1">
                  <c:v>383.43</c:v>
                </c:pt>
                <c:pt idx="2">
                  <c:v>383.43</c:v>
                </c:pt>
                <c:pt idx="3">
                  <c:v>383.43</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462.6</c:v>
                </c:pt>
                <c:pt idx="1">
                  <c:v>462.6</c:v>
                </c:pt>
                <c:pt idx="2">
                  <c:v>462.6</c:v>
                </c:pt>
                <c:pt idx="3">
                  <c:v>462.6</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383.43</c:v>
                </c:pt>
                <c:pt idx="1">
                  <c:v>383.43</c:v>
                </c:pt>
                <c:pt idx="2">
                  <c:v>383.43</c:v>
                </c:pt>
                <c:pt idx="3">
                  <c:v>383.43</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29</Pages>
  <Words>1660</Words>
  <Characters>6225</Characters>
  <Lines>86</Lines>
  <Paragraphs>24</Paragraphs>
  <TotalTime>0</TotalTime>
  <ScaleCrop>false</ScaleCrop>
  <LinksUpToDate>false</LinksUpToDate>
  <CharactersWithSpaces>6550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2023-08-04T01:00:00Z</cp:lastPrinted>
  <dcterms:modified xsi:type="dcterms:W3CDTF">2026-09-18T09:17:39Z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