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无极县财政局</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318</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无极县财政局</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无极县财政局</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b w:val="0"/>
          <w:sz w:val="32"/>
          <w:szCs w:val="32"/>
        </w:rPr>
      </w:pPr>
      <w:r>
        <w:rPr>
          <w:rFonts w:ascii="Times New Roman" w:eastAsia="黑体"/>
          <w:b w:val="0"/>
          <w:sz w:val="32"/>
          <w:szCs w:val="32"/>
        </w:rPr>
        <w:t>第四部分 名词解释</w:t>
      </w: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hint="eastAsia" w:ascii="Times New Roman" w:eastAsia="黑体"/>
          <w:b w:val="0"/>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before="0" w:beforeLines="0" w:beforeAutospacing="0" w:after="0" w:afterLines="0" w:afterAutospacing="0" w:line="360" w:lineRule="auto"/>
        <w:jc w:val="both"/>
        <w:outlineLvl w:val="0"/>
        <w:rPr>
          <w:rFonts w:ascii="Times New Roman" w:eastAsia="黑体"/>
          <w:b w:val="0"/>
          <w:sz w:val="44"/>
          <w:szCs w:val="44"/>
        </w:rPr>
      </w:pPr>
    </w:p>
    <w:p>
      <w:pPr>
        <w:widowControl/>
        <w:spacing w:before="0" w:beforeLines="0" w:beforeAutospacing="0" w:after="0" w:afterLines="0" w:afterAutospacing="0" w:line="360" w:lineRule="auto"/>
        <w:jc w:val="both"/>
        <w:outlineLvl w:val="0"/>
        <w:rPr>
          <w:rFonts w:ascii="Times New Roman" w:eastAsia="黑体"/>
          <w:b w:val="0"/>
          <w:sz w:val="44"/>
          <w:szCs w:val="44"/>
        </w:rPr>
      </w:pPr>
    </w:p>
    <w:p>
      <w:pPr>
        <w:widowControl/>
        <w:spacing w:before="0" w:beforeLines="0" w:beforeAutospacing="0" w:after="0" w:afterLines="0" w:afterAutospacing="0" w:line="360" w:lineRule="auto"/>
        <w:jc w:val="both"/>
        <w:outlineLvl w:val="0"/>
        <w:rPr>
          <w:rFonts w:ascii="Times New Roman" w:eastAsia="黑体"/>
          <w:b w:val="0"/>
          <w:sz w:val="44"/>
          <w:szCs w:val="44"/>
        </w:rPr>
      </w:pPr>
    </w:p>
    <w:p>
      <w:pPr>
        <w:widowControl/>
        <w:spacing w:before="0" w:beforeLines="0" w:beforeAutospacing="0" w:after="0" w:afterLines="0" w:afterAutospacing="0" w:line="360" w:lineRule="auto"/>
        <w:jc w:val="both"/>
        <w:outlineLvl w:val="0"/>
        <w:rPr>
          <w:rFonts w:ascii="Times New Roman" w:eastAsia="黑体"/>
          <w:b w:val="0"/>
          <w:sz w:val="44"/>
          <w:szCs w:val="44"/>
        </w:rPr>
      </w:pPr>
    </w:p>
    <w:p>
      <w:pPr>
        <w:widowControl/>
        <w:spacing w:before="0" w:beforeLines="0" w:beforeAutospacing="0" w:after="0" w:afterLines="0" w:afterAutospacing="0" w:line="360" w:lineRule="auto"/>
        <w:jc w:val="both"/>
        <w:outlineLvl w:val="0"/>
        <w:rPr>
          <w:rFonts w:ascii="Times New Roman" w:eastAsia="黑体"/>
          <w:b w:val="0"/>
          <w:sz w:val="44"/>
          <w:szCs w:val="44"/>
        </w:rPr>
      </w:pPr>
    </w:p>
    <w:p>
      <w:pPr>
        <w:widowControl/>
        <w:spacing w:before="0" w:beforeLines="0" w:beforeAutospacing="0" w:after="0" w:afterLines="0" w:afterAutospacing="0" w:line="360" w:lineRule="auto"/>
        <w:jc w:val="center"/>
        <w:outlineLvl w:val="0"/>
        <w:rPr>
          <w:rFonts w:hint="eastAsia" w:ascii="黑体" w:hAnsi="宋体" w:eastAsia="黑体" w:cs="黑体"/>
          <w:i w:val="0"/>
          <w:iCs w:val="0"/>
          <w:caps w:val="0"/>
          <w:color w:val="000000"/>
          <w:spacing w:val="0"/>
          <w:sz w:val="32"/>
          <w:szCs w:val="32"/>
          <w:highlight w:val="none"/>
          <w:shd w:val="clear" w:fill="FFFFFF"/>
          <w:lang w:val="en-US" w:eastAsia="zh-CN"/>
        </w:rPr>
      </w:pPr>
      <w:r>
        <w:rPr>
          <w:rFonts w:ascii="Times New Roman" w:eastAsia="黑体"/>
          <w:b w:val="0"/>
          <w:sz w:val="44"/>
          <w:szCs w:val="44"/>
        </w:rPr>
        <w:t>第一部分</w:t>
      </w:r>
      <w:r>
        <w:rPr>
          <w:rFonts w:hint="eastAsia" w:ascii="Times New Roman" w:eastAsia="黑体"/>
          <w:b w:val="0"/>
          <w:sz w:val="44"/>
          <w:szCs w:val="44"/>
          <w:lang w:val="en-US" w:eastAsia="zh-CN"/>
        </w:rPr>
        <w:t xml:space="preserve">  </w:t>
      </w:r>
      <w:r>
        <w:rPr>
          <w:rFonts w:ascii="Times New Roman" w:eastAsia="黑体"/>
          <w:b w:val="0"/>
          <w:sz w:val="44"/>
          <w:szCs w:val="44"/>
        </w:rPr>
        <w:t>部门概况</w:t>
      </w: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p>
    <w:p>
      <w:pPr>
        <w:widowControl/>
        <w:spacing w:before="0" w:beforeLines="0" w:beforeAutospacing="0" w:after="0" w:afterLines="0" w:afterAutospacing="0" w:line="360" w:lineRule="auto"/>
        <w:jc w:val="left"/>
        <w:outlineLvl w:val="1"/>
        <w:rPr>
          <w:rFonts w:ascii="Times New Roman" w:eastAsia="黑体"/>
          <w:b w:val="0"/>
          <w:sz w:val="32"/>
          <w:szCs w:val="32"/>
        </w:rPr>
      </w:pPr>
      <w:bookmarkStart w:id="0" w:name="_GoBack"/>
      <w:bookmarkEnd w:id="0"/>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（一）对县直各部门（含直属单位）和乡镇政府预算执行情况和决算以及预算外资金的管理和使用情况进行审计监督。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（二）对县级财政预算执行情况进行审计，并代表县政府向人大常委会提交审计工作报告。</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（三）对全县国有企业的资产、负债、损益情况进行审计。</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（四）对全县国有事业组织的财务收支进行审计监督。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（五）对全县基建项目预算的执行情况和决算进行审计监督。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（六）对政府部门管理和社会团体受政府委托管理的社会保障基金以及其他有关基金、资金的财务收支进行审计监督。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（七）对全县国际组织和外国政府援助、贷款项目的财务收支进行审计监督。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（八）受政府委托，对地方非银行金融机构的财务收支及资产、负债、损益情况进行审计监督。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（九）受县委、县政府、纪检、组织部门委托进行领导干部任期经济责任审计。</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（十）对社会审计组织进行审计质量执业检查。</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640"/>
        <w:rPr>
          <w:sz w:val="32"/>
          <w:szCs w:val="32"/>
        </w:rPr>
      </w:pPr>
      <w:r>
        <w:rPr>
          <w:rFonts w:ascii="仿宋_GB2312" w:hAnsi="仿宋_GB2312" w:eastAsia="仿宋_GB2312"/>
          <w:sz w:val="32"/>
          <w:szCs w:val="32"/>
        </w:rPr>
        <w:t>（十一）指导和监督内部审计工作。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仿宋_GB2312" w:hAnsi="仿宋_GB2312" w:eastAsia="仿宋_GB2312"/>
          <w:sz w:val="32"/>
          <w:szCs w:val="32"/>
        </w:rPr>
        <w:t>（十二）对其他法律、法规规定应当进行审计的事项进行审计监督。</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无极县财政局</w:t>
            </w:r>
          </w:p>
        </w:tc>
        <w:tc>
          <w:tcPr>
            <w:tcW w:w="2445" w:type="dxa"/>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行政单位</w:t>
            </w:r>
          </w:p>
        </w:tc>
        <w:tc>
          <w:tcPr>
            <w:tcW w:w="2665" w:type="dxa"/>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财政拨款</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3"/>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部门（单位）：无极县财政局</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1,355.14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1,216.56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部门（单位）：无极县财政局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2,751.59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2,751.59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1,355.14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1,023.20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预算改革业务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财政国库业务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信息化建设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134.98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2010699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其他财政事务支出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128.93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128.93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计划生育事务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其他计划生育事务支出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对村级公益事业建设的补助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1,211.18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部门（单位）：无极县财政局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1,203.09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1,548.51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1,355.14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331.94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1,355.14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331.94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预算改革业务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财政国库业务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信息化建设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其他财政事务支出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其他计划生育事务支出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部门（单位）：无极县财政局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1,355.14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1,355.14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40.80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1,216.56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1,216.56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2,751.59</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部门（单位）：无极县财政局</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2,751.59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1,203.09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1,548.51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1,355.14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331.94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1,355.14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331.94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1,023.20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预算改革业务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财政国库业务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信息化建设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其他财政事务支出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128.93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128.93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其他计划生育事务支出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1,216.56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1,211.18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7"/>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部门（单位）：无极县财政局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7"/>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934.66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511.93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8.31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86.36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24.01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133.83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114.63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137.07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131.05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16.98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38.85</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1,071.73</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部门（单位）：无极县财政局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部门（单位）：无极县财政局</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部门（单位）：无极县财政局</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本部门2025年度收、支总计（含结转和结余）均为2,751.59万元。与2024年度决算相比，收支各增加1,112.89万元，增长67.9%，主要原因是</w:t>
      </w:r>
      <w:r>
        <w:rPr>
          <w:rFonts w:hint="eastAsia" w:ascii="Times New Roman" w:eastAsia="仿宋_GB2312"/>
          <w:b w:val="0"/>
          <w:sz w:val="32"/>
          <w:szCs w:val="32"/>
          <w:lang w:val="en-US" w:eastAsia="zh-CN"/>
        </w:rPr>
        <w:t>年度部分项目任务实施，人员增多经费增多</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2,751.59万元，其中：财政拨款收入2,751.59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本部门2025年度本年支出合计2,751.59万元，其中：基本支出1,203.09万元，占43.7%；项目支出1,548.51万元，占56.3%；经营支出0.00万元，占0.0%；上缴上级支出0.00万元，占0.0%；对附属单位补助支出0.00万元，占0.0%。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本部门2025年度财政拨款收、支总计（含结转和结余）均为2,751.59万元。与2024年度相比，财政拨款收支各增加1,112.89万元，增长67.9%，主要原因是</w:t>
      </w:r>
      <w:r>
        <w:rPr>
          <w:rFonts w:hint="eastAsia" w:ascii="Times New Roman" w:eastAsia="仿宋_GB2312"/>
          <w:b w:val="0"/>
          <w:sz w:val="32"/>
          <w:szCs w:val="32"/>
          <w:lang w:val="en-US" w:eastAsia="zh-CN"/>
        </w:rPr>
        <w:t>年度部分项目任务实施，人员增多经费增多</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本部门2025年度财政拨款本年收入2,751.59万元,比上年增加1,112.89万元，增长67.9%，主要原因是</w:t>
      </w:r>
      <w:r>
        <w:rPr>
          <w:rFonts w:hint="eastAsia" w:ascii="Times New Roman" w:eastAsia="仿宋_GB2312"/>
          <w:b w:val="0"/>
          <w:sz w:val="32"/>
          <w:szCs w:val="32"/>
          <w:lang w:val="en-US" w:eastAsia="zh-CN"/>
        </w:rPr>
        <w:t>年度部分项目任务实施，人员增多经费增多</w:t>
      </w:r>
      <w:r>
        <w:rPr>
          <w:rFonts w:ascii="Times New Roman" w:eastAsia="仿宋_GB2312"/>
          <w:b w:val="0"/>
          <w:sz w:val="32"/>
          <w:szCs w:val="32"/>
        </w:rPr>
        <w:t>；本年支出2,751.59万元，比上年增加1,112.89万元，增长67.9%，主要原因是</w:t>
      </w:r>
      <w:r>
        <w:rPr>
          <w:rFonts w:hint="eastAsia" w:ascii="Times New Roman" w:eastAsia="仿宋_GB2312"/>
          <w:b w:val="0"/>
          <w:sz w:val="32"/>
          <w:szCs w:val="32"/>
          <w:lang w:val="en-US" w:eastAsia="zh-CN"/>
        </w:rPr>
        <w:t>项目经费、人员经费同步增加，带动财政拨款支出大幅增长</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一般公共预算财政拨款本年收入2,751.59万元,比上年增加1,112.89万元，增长67.9%，主要原因是</w:t>
      </w:r>
      <w:r>
        <w:rPr>
          <w:rFonts w:hint="eastAsia" w:ascii="Times New Roman" w:eastAsia="仿宋_GB2312"/>
          <w:b w:val="0"/>
          <w:sz w:val="32"/>
          <w:szCs w:val="32"/>
          <w:lang w:val="en-US" w:eastAsia="zh-CN"/>
        </w:rPr>
        <w:t>年度部分项目任务实施，人员增多经费增多，实施经费相应增多，上级补助资金增加</w:t>
      </w:r>
      <w:r>
        <w:rPr>
          <w:rFonts w:ascii="Times New Roman" w:eastAsia="仿宋_GB2312"/>
          <w:b w:val="0"/>
          <w:sz w:val="32"/>
          <w:szCs w:val="32"/>
        </w:rPr>
        <w:t>；本年支出2,751.59万元，比上年增加1,112.89万元，增长67.9%，主要原因是</w:t>
      </w:r>
      <w:r>
        <w:rPr>
          <w:rFonts w:hint="eastAsia" w:ascii="Times New Roman" w:eastAsia="仿宋_GB2312"/>
          <w:b w:val="0"/>
          <w:sz w:val="32"/>
          <w:szCs w:val="32"/>
          <w:lang w:val="en-US" w:eastAsia="zh-CN"/>
        </w:rPr>
        <w:t>人员经费、项目业务增加，</w:t>
      </w:r>
      <w:r>
        <w:rPr>
          <w:rFonts w:ascii="Times New Roman" w:eastAsia="仿宋_GB2312"/>
          <w:b w:val="0"/>
          <w:sz w:val="32"/>
          <w:szCs w:val="32"/>
        </w:rPr>
        <w:t>支出</w:t>
      </w:r>
      <w:r>
        <w:rPr>
          <w:rFonts w:hint="eastAsia" w:ascii="Times New Roman" w:eastAsia="仿宋_GB2312"/>
          <w:b w:val="0"/>
          <w:sz w:val="32"/>
          <w:szCs w:val="32"/>
          <w:lang w:val="en-US" w:eastAsia="zh-CN"/>
        </w:rPr>
        <w:t>随之相应增长</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hint="eastAsia" w:ascii="Times New Roman" w:eastAsia="仿宋_GB2312"/>
          <w:b w:val="0"/>
          <w:sz w:val="32"/>
          <w:szCs w:val="32"/>
          <w:lang w:eastAsia="zh-CN"/>
        </w:rPr>
        <w:t>无</w:t>
      </w:r>
      <w:r>
        <w:rPr>
          <w:rFonts w:ascii="Times New Roman" w:eastAsia="仿宋_GB2312"/>
          <w:b w:val="0"/>
          <w:sz w:val="32"/>
          <w:szCs w:val="32"/>
        </w:rPr>
        <w:t>政府性基金预算财政拨款；本年支出0.00万元，比上年增加0.00万元，增长0.00%，主要原因是</w:t>
      </w:r>
      <w:r>
        <w:rPr>
          <w:rFonts w:hint="eastAsia" w:ascii="Times New Roman" w:eastAsia="仿宋_GB2312"/>
          <w:b w:val="0"/>
          <w:sz w:val="32"/>
          <w:szCs w:val="32"/>
          <w:lang w:eastAsia="zh-CN"/>
        </w:rPr>
        <w:t>无</w:t>
      </w:r>
      <w:r>
        <w:rPr>
          <w:rFonts w:ascii="Times New Roman" w:eastAsia="仿宋_GB2312"/>
          <w:b w:val="0"/>
          <w:sz w:val="32"/>
          <w:szCs w:val="32"/>
        </w:rPr>
        <w:t>政府性基金预算财政拨款。</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lang w:eastAsia="zh-CN"/>
        </w:rPr>
        <w:t>无</w:t>
      </w:r>
      <w:r>
        <w:rPr>
          <w:rFonts w:ascii="Times New Roman" w:eastAsia="仿宋_GB2312"/>
          <w:b w:val="0"/>
          <w:sz w:val="32"/>
          <w:szCs w:val="32"/>
        </w:rPr>
        <w:t>国有资本经营预算财政拨款；本年支出0.00万元，比上年增加0.00万元，增长0.00%，主要原因是</w:t>
      </w:r>
      <w:r>
        <w:rPr>
          <w:rFonts w:hint="eastAsia" w:ascii="Times New Roman" w:eastAsia="仿宋_GB2312"/>
          <w:b w:val="0"/>
          <w:sz w:val="32"/>
          <w:szCs w:val="32"/>
          <w:lang w:eastAsia="zh-CN"/>
        </w:rPr>
        <w:t>无</w:t>
      </w:r>
      <w:r>
        <w:rPr>
          <w:rFonts w:ascii="Times New Roman" w:eastAsia="仿宋_GB2312"/>
          <w:b w:val="0"/>
          <w:sz w:val="32"/>
          <w:szCs w:val="32"/>
        </w:rPr>
        <w:t>国有资本经营预算财政拨款。</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本部门2025年度财政拨款本年收入2,751.59万元，完成年初预算的205.8%，比年初预算增加1,414.89万元，决算数大于预算数主要原因是</w:t>
      </w:r>
      <w:r>
        <w:rPr>
          <w:rFonts w:hint="eastAsia" w:ascii="Times New Roman" w:eastAsia="仿宋_GB2312"/>
          <w:b w:val="0"/>
          <w:sz w:val="32"/>
          <w:szCs w:val="32"/>
          <w:lang w:val="en-US" w:eastAsia="zh-CN"/>
        </w:rPr>
        <w:t>新增重点工作项目，同时单位人员有所增加，年中追加下达专项及人员相关经费</w:t>
      </w:r>
      <w:r>
        <w:rPr>
          <w:rFonts w:ascii="Times New Roman" w:eastAsia="仿宋_GB2312"/>
          <w:b w:val="0"/>
          <w:sz w:val="32"/>
          <w:szCs w:val="32"/>
        </w:rPr>
        <w:t>；本年支出2,751.59万元，完成年初预算的205.8%，比年初预算增加1,414.89万元，决算数大于预算数主要原因是</w:t>
      </w:r>
      <w:r>
        <w:rPr>
          <w:rFonts w:hint="eastAsia" w:ascii="Times New Roman" w:eastAsia="仿宋_GB2312"/>
          <w:b w:val="0"/>
          <w:sz w:val="32"/>
          <w:szCs w:val="32"/>
          <w:lang w:val="en-US" w:eastAsia="zh-CN"/>
        </w:rPr>
        <w:t>对应项目及人员经费支出</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一般公共预算财政拨款本年收入完成年初预算的205.8%，比年初预算增加1,414.89万元，主要原因是</w:t>
      </w:r>
      <w:r>
        <w:rPr>
          <w:rFonts w:hint="eastAsia" w:ascii="Times New Roman" w:eastAsia="仿宋_GB2312"/>
          <w:b w:val="0"/>
          <w:sz w:val="32"/>
          <w:szCs w:val="32"/>
          <w:lang w:val="en-US" w:eastAsia="zh-CN"/>
        </w:rPr>
        <w:t>年中增加项目及人员变动，追加经费资金</w:t>
      </w:r>
      <w:r>
        <w:rPr>
          <w:rFonts w:ascii="Times New Roman" w:eastAsia="仿宋_GB2312"/>
          <w:b w:val="0"/>
          <w:sz w:val="32"/>
          <w:szCs w:val="32"/>
        </w:rPr>
        <w:t>；支出完成年初预算的205.8%，比年初预算增加1,414.89万元，主要原因是</w:t>
      </w:r>
      <w:r>
        <w:rPr>
          <w:rFonts w:hint="eastAsia" w:ascii="Times New Roman" w:eastAsia="仿宋_GB2312"/>
          <w:b w:val="0"/>
          <w:sz w:val="32"/>
          <w:szCs w:val="32"/>
          <w:lang w:val="en-US" w:eastAsia="zh-CN"/>
        </w:rPr>
        <w:t>项目开展、人员经费增加，追加资金安排指出</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Times New Roman" w:eastAsia="仿宋_GB2312"/>
          <w:b w:val="0"/>
          <w:sz w:val="32"/>
          <w:szCs w:val="32"/>
          <w:lang w:eastAsia="zh-CN"/>
        </w:rPr>
        <w:t>无</w:t>
      </w:r>
      <w:r>
        <w:rPr>
          <w:rFonts w:ascii="Times New Roman" w:eastAsia="仿宋_GB2312"/>
          <w:b w:val="0"/>
          <w:sz w:val="32"/>
          <w:szCs w:val="32"/>
        </w:rPr>
        <w:t>政府性基金预算财政拨款；支出完成年初预算的0.0%，比年初预算增加0.00万元，主要原因是</w:t>
      </w:r>
      <w:r>
        <w:rPr>
          <w:rFonts w:hint="eastAsia" w:ascii="Times New Roman" w:eastAsia="仿宋_GB2312"/>
          <w:b w:val="0"/>
          <w:sz w:val="32"/>
          <w:szCs w:val="32"/>
          <w:lang w:eastAsia="zh-CN"/>
        </w:rPr>
        <w:t>无</w:t>
      </w:r>
      <w:r>
        <w:rPr>
          <w:rFonts w:ascii="Times New Roman" w:eastAsia="仿宋_GB2312"/>
          <w:b w:val="0"/>
          <w:sz w:val="32"/>
          <w:szCs w:val="32"/>
        </w:rPr>
        <w:t>政府性基金预算财政拨款。</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lang w:eastAsia="zh-CN"/>
        </w:rPr>
        <w:t>无</w:t>
      </w:r>
      <w:r>
        <w:rPr>
          <w:rFonts w:ascii="Times New Roman" w:eastAsia="仿宋_GB2312"/>
          <w:b w:val="0"/>
          <w:sz w:val="32"/>
          <w:szCs w:val="32"/>
        </w:rPr>
        <w:t>国有资本经营预算财政拨款；支出完成年初预算的0.0%，比年初预算增加0.00万元，主要原因是</w:t>
      </w:r>
      <w:r>
        <w:rPr>
          <w:rFonts w:hint="eastAsia" w:ascii="Times New Roman" w:eastAsia="仿宋_GB2312"/>
          <w:b w:val="0"/>
          <w:sz w:val="32"/>
          <w:szCs w:val="32"/>
          <w:lang w:eastAsia="zh-CN"/>
        </w:rPr>
        <w:t>无</w:t>
      </w:r>
      <w:r>
        <w:rPr>
          <w:rFonts w:ascii="Times New Roman" w:eastAsia="仿宋_GB2312"/>
          <w:b w:val="0"/>
          <w:sz w:val="32"/>
          <w:szCs w:val="32"/>
        </w:rPr>
        <w:t>国有资本经营预算财政拨款。</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2025年度财政拨款支出2,751.59万元，主要用于以下方面：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一般公共服务（类）支出1,355.14万元，占49.2%，主要用于</w:t>
      </w:r>
      <w:r>
        <w:rPr>
          <w:rFonts w:hint="eastAsia" w:ascii="Times New Roman" w:eastAsia="仿宋_GB2312"/>
          <w:b w:val="0"/>
          <w:sz w:val="32"/>
          <w:szCs w:val="32"/>
          <w:lang w:eastAsia="zh-CN"/>
        </w:rPr>
        <w:t>保障局机关正常运转</w:t>
      </w:r>
      <w:r>
        <w:rPr>
          <w:rFonts w:ascii="Times New Roman" w:eastAsia="仿宋_GB2312"/>
          <w:b w:val="0"/>
          <w:sz w:val="32"/>
          <w:szCs w:val="32"/>
        </w:rPr>
        <w:t>等支出；社会保障和就业 （类）支出139.08万元，占5.1%，主要用于</w:t>
      </w:r>
      <w:r>
        <w:rPr>
          <w:rFonts w:hint="eastAsia" w:ascii="Times New Roman" w:eastAsia="仿宋_GB2312"/>
          <w:b w:val="0"/>
          <w:sz w:val="32"/>
          <w:szCs w:val="32"/>
          <w:lang w:eastAsia="zh-CN"/>
        </w:rPr>
        <w:t>人员经费</w:t>
      </w:r>
      <w:r>
        <w:rPr>
          <w:rFonts w:ascii="Times New Roman" w:eastAsia="仿宋_GB2312"/>
          <w:b w:val="0"/>
          <w:sz w:val="32"/>
          <w:szCs w:val="32"/>
        </w:rPr>
        <w:t>等支出；卫生健康（类）支出40.80万元，占1.5%，主要用于</w:t>
      </w:r>
      <w:r>
        <w:rPr>
          <w:rFonts w:hint="eastAsia" w:ascii="Times New Roman" w:eastAsia="仿宋_GB2312"/>
          <w:b w:val="0"/>
          <w:sz w:val="32"/>
          <w:szCs w:val="32"/>
          <w:lang w:eastAsia="zh-CN"/>
        </w:rPr>
        <w:t>医疗保险</w:t>
      </w:r>
      <w:r>
        <w:rPr>
          <w:rFonts w:ascii="Times New Roman" w:eastAsia="仿宋_GB2312"/>
          <w:b w:val="0"/>
          <w:sz w:val="32"/>
          <w:szCs w:val="32"/>
        </w:rPr>
        <w:t>等支出；农林水（类）支出1,216.56万元，占44.2%，主要用于</w:t>
      </w:r>
      <w:r>
        <w:rPr>
          <w:rFonts w:hint="eastAsia" w:ascii="Times New Roman" w:eastAsia="仿宋_GB2312"/>
          <w:b w:val="0"/>
          <w:sz w:val="32"/>
          <w:szCs w:val="32"/>
          <w:lang w:eastAsia="zh-CN"/>
        </w:rPr>
        <w:t>农机补贴</w:t>
      </w:r>
      <w:r>
        <w:rPr>
          <w:rFonts w:ascii="Times New Roman" w:eastAsia="仿宋_GB2312"/>
          <w:b w:val="0"/>
          <w:sz w:val="32"/>
          <w:szCs w:val="32"/>
        </w:rPr>
        <w:t>等支出；</w:t>
      </w:r>
    </w:p>
    <w:p>
      <w:pPr>
        <w:widowControl/>
        <w:spacing w:before="0" w:beforeLines="0" w:beforeAutospacing="0" w:after="0" w:afterLines="0" w:afterAutospacing="0" w:line="360" w:lineRule="auto"/>
        <w:ind w:firstLine="643" w:firstLineChars="200"/>
        <w:jc w:val="left"/>
        <w:rPr>
          <w:rFonts w:hint="default" w:ascii="Times New Roman" w:eastAsia="仿宋_GB2312" w:cs="宋体" w:hAnsiTheme="minorHAnsi"/>
          <w:b w:val="0"/>
          <w:color w:val="auto"/>
          <w:kern w:val="0"/>
          <w:sz w:val="32"/>
          <w:szCs w:val="32"/>
          <w:lang w:val="en-US" w:eastAsia="zh-CN" w:bidi="ar-SA"/>
        </w:rPr>
      </w:pPr>
      <w:r>
        <w:rPr>
          <w:rFonts w:ascii="Times New Roman" w:eastAsia="仿宋_GB2312"/>
          <w:b/>
          <w:sz w:val="32"/>
          <w:szCs w:val="32"/>
        </w:rPr>
        <w:t>政府性基金预算财政拨款支出：</w:t>
      </w:r>
      <w:r>
        <w:rPr>
          <w:rFonts w:hint="eastAsia" w:ascii="Times New Roman" w:eastAsia="仿宋_GB2312" w:cs="宋体" w:hAnsiTheme="minorHAnsi"/>
          <w:b w:val="0"/>
          <w:color w:val="auto"/>
          <w:kern w:val="0"/>
          <w:sz w:val="32"/>
          <w:szCs w:val="32"/>
          <w:lang w:val="en-US" w:eastAsia="zh-CN" w:bidi="ar-SA"/>
        </w:rPr>
        <w:t>无</w:t>
      </w:r>
    </w:p>
    <w:p>
      <w:pPr>
        <w:pStyle w:val="12"/>
        <w:rPr>
          <w:rFonts w:ascii="Times New Roman" w:eastAsia="仿宋_GB2312"/>
          <w:sz w:val="32"/>
          <w:szCs w:val="32"/>
        </w:rPr>
      </w:pPr>
      <w:r>
        <w:rPr>
          <w:rFonts w:ascii="Times New Roman" w:eastAsia="仿宋_GB2312"/>
          <w:b/>
          <w:sz w:val="32"/>
          <w:szCs w:val="32"/>
        </w:rPr>
        <w:t>国有资本经营预算财政拨款支出：</w:t>
      </w:r>
      <w:r>
        <w:rPr>
          <w:rFonts w:hint="eastAsia" w:ascii="Times New Roman" w:eastAsia="仿宋_GB2312" w:cs="宋体" w:hAnsiTheme="minorHAnsi"/>
          <w:b w:val="0"/>
          <w:color w:val="auto"/>
          <w:kern w:val="0"/>
          <w:sz w:val="32"/>
          <w:szCs w:val="32"/>
          <w:lang w:val="en-US" w:eastAsia="zh-CN" w:bidi="ar-SA"/>
        </w:rPr>
        <w:t>无</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2025年度财政拨款基本支出1,203.09万元，其中：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1,071.73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131.35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本部门2025年度“三公”经费财政拨款支出预算为0.00万元，支出决算为0.00万元，完成预算的0.0%，较预算增加0.00万元，增长0.0%，；较2024年度决算增加0.00万元，增长0.00%。</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较上年增加0.00万元，增长0.00%。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本部门2025年度公务用车购置及运行维护费预算为0.00万元，支出决算0.00万元，完成预算的0.0%,较预算增加0.00万元，增长0.0%；较上年增加0.00万元，增长0.00%,主要原因是</w:t>
      </w:r>
      <w:r>
        <w:rPr>
          <w:rFonts w:hint="eastAsia" w:ascii="Times New Roman" w:eastAsia="仿宋_GB2312"/>
          <w:b w:val="0"/>
          <w:sz w:val="32"/>
          <w:szCs w:val="32"/>
          <w:lang w:eastAsia="zh-CN"/>
        </w:rPr>
        <w:t>厉行节约，公车减少</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w:t>
      </w:r>
      <w:r>
        <w:rPr>
          <w:rFonts w:hint="eastAsia" w:ascii="Times New Roman" w:eastAsia="仿宋_GB2312"/>
          <w:b w:val="0"/>
          <w:sz w:val="32"/>
          <w:szCs w:val="32"/>
          <w:lang w:eastAsia="zh-CN"/>
        </w:rPr>
        <w:t>本部门无公车</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本部门无公车</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本部门2025年度单位公务用车保有量0辆，发生运行维护费支出0.00万元。公车运行维护费支出较预算增加0.00万元，增长0.0%,主要原因是</w:t>
      </w:r>
      <w:r>
        <w:rPr>
          <w:rFonts w:hint="eastAsia" w:ascii="Times New Roman" w:eastAsia="仿宋_GB2312"/>
          <w:b w:val="0"/>
          <w:sz w:val="32"/>
          <w:szCs w:val="32"/>
          <w:lang w:eastAsia="zh-CN"/>
        </w:rPr>
        <w:t>本部门无公车</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本部门无公车</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w:t>
      </w:r>
      <w:r>
        <w:rPr>
          <w:rFonts w:hint="eastAsia" w:ascii="Times New Roman" w:eastAsia="仿宋_GB2312"/>
          <w:b w:val="0"/>
          <w:sz w:val="32"/>
          <w:szCs w:val="32"/>
          <w:lang w:eastAsia="zh-CN"/>
        </w:rPr>
        <w:t>本部门无公车</w:t>
      </w:r>
      <w:r>
        <w:rPr>
          <w:rFonts w:ascii="Times New Roman" w:eastAsia="仿宋_GB2312"/>
          <w:b w:val="0"/>
          <w:sz w:val="32"/>
          <w:szCs w:val="32"/>
        </w:rPr>
        <w:t>；较上年度增加0.00万元，增长0.00%,主要原因是</w:t>
      </w:r>
      <w:r>
        <w:rPr>
          <w:rFonts w:hint="eastAsia" w:ascii="Times New Roman" w:eastAsia="仿宋_GB2312"/>
          <w:b w:val="0"/>
          <w:sz w:val="32"/>
          <w:szCs w:val="32"/>
          <w:lang w:eastAsia="zh-CN"/>
        </w:rPr>
        <w:t>本部门无公车</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本部门2025年度机关运行经费支出131.35万元，较2024年度减少169.42万元，降低56.3%。主要原因是</w:t>
      </w:r>
      <w:r>
        <w:rPr>
          <w:rFonts w:hint="eastAsia" w:ascii="Times New Roman" w:eastAsia="仿宋_GB2312"/>
          <w:b w:val="0"/>
          <w:sz w:val="32"/>
          <w:szCs w:val="32"/>
          <w:lang w:eastAsia="zh-CN"/>
        </w:rPr>
        <w:t>厉行节约，减少支出</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1,524.47万元，从采购类型来看，政府采购货物支出0.00万元、政府采购工程支出1,524.47万元、政府采购服务支出0.00万元。授予中小企业合同金额1,524.47万元，占政府采购支出总额的100.0%，其中授予小微企业合同金额1,524.47万元，占政府采购支出总额的100.0%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1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1548.505</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12</w:t>
      </w:r>
      <w:r>
        <w:rPr>
          <w:rFonts w:ascii="Times New Roman" w:eastAsia="仿宋_GB2312"/>
          <w:b w:val="0"/>
          <w:sz w:val="32"/>
          <w:szCs w:val="32"/>
        </w:rPr>
        <w:t>个，涉及资金</w:t>
      </w:r>
      <w:r>
        <w:rPr>
          <w:rFonts w:hint="eastAsia" w:ascii="Times New Roman" w:eastAsia="仿宋_GB2312"/>
          <w:b w:val="0"/>
          <w:sz w:val="32"/>
          <w:szCs w:val="32"/>
          <w:lang w:val="en-US" w:eastAsia="zh-CN"/>
        </w:rPr>
        <w:t>1548.505</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组织对</w:t>
      </w:r>
      <w:r>
        <w:rPr>
          <w:rFonts w:hint="eastAsia" w:ascii="Times New Roman" w:eastAsia="仿宋_GB2312"/>
          <w:b w:val="0"/>
          <w:sz w:val="32"/>
          <w:szCs w:val="32"/>
        </w:rPr>
        <w:t>关于提前下达2025年中央农村综合改革转移支付预算</w:t>
      </w:r>
      <w:r>
        <w:rPr>
          <w:rFonts w:ascii="Times New Roman" w:eastAsia="仿宋_GB2312"/>
          <w:b w:val="0"/>
          <w:sz w:val="32"/>
          <w:szCs w:val="32"/>
        </w:rPr>
        <w:t>等</w:t>
      </w:r>
      <w:r>
        <w:rPr>
          <w:rFonts w:hint="eastAsia" w:ascii="Times New Roman" w:eastAsia="仿宋_GB2312"/>
          <w:b w:val="0"/>
          <w:sz w:val="32"/>
          <w:szCs w:val="32"/>
          <w:lang w:val="en-US" w:eastAsia="zh-CN"/>
        </w:rPr>
        <w:t>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rPr>
        <w:t>554</w:t>
      </w:r>
      <w:r>
        <w:rPr>
          <w:rFonts w:hint="eastAsia" w:ascii="Times New Roman" w:eastAsia="仿宋_GB2312"/>
          <w:b w:val="0"/>
          <w:sz w:val="32"/>
          <w:szCs w:val="32"/>
          <w:lang w:val="en-US" w:eastAsia="zh-CN"/>
        </w:rPr>
        <w:t>.</w:t>
      </w:r>
      <w:r>
        <w:rPr>
          <w:rFonts w:hint="eastAsia" w:ascii="Times New Roman" w:eastAsia="仿宋_GB2312"/>
          <w:b w:val="0"/>
          <w:sz w:val="32"/>
          <w:szCs w:val="32"/>
        </w:rPr>
        <w:t>45</w:t>
      </w:r>
      <w:r>
        <w:rPr>
          <w:rFonts w:ascii="Times New Roman" w:eastAsia="仿宋_GB2312"/>
          <w:b w:val="0"/>
          <w:sz w:val="32"/>
          <w:szCs w:val="32"/>
        </w:rPr>
        <w:t>万元</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从评价情况来看</w:t>
      </w:r>
      <w:r>
        <w:rPr>
          <w:rFonts w:hint="eastAsia" w:ascii="Times New Roman" w:eastAsia="仿宋_GB2312"/>
          <w:b w:val="0"/>
          <w:sz w:val="32"/>
          <w:szCs w:val="32"/>
          <w:lang w:eastAsia="zh-CN"/>
        </w:rPr>
        <w:t>，</w:t>
      </w:r>
      <w:r>
        <w:rPr>
          <w:rFonts w:hint="eastAsia" w:ascii="Times New Roman" w:eastAsia="仿宋_GB2312"/>
          <w:sz w:val="32"/>
          <w:szCs w:val="32"/>
        </w:rPr>
        <w:t>根据年初设定的绩效目标，全年预算数为</w:t>
      </w:r>
      <w:r>
        <w:rPr>
          <w:rFonts w:hint="eastAsia" w:ascii="Times New Roman" w:eastAsia="仿宋_GB2312"/>
          <w:b w:val="0"/>
          <w:sz w:val="32"/>
          <w:szCs w:val="32"/>
          <w:lang w:val="en-US" w:eastAsia="zh-CN"/>
        </w:rPr>
        <w:t>1548.505</w:t>
      </w:r>
      <w:r>
        <w:rPr>
          <w:rFonts w:hint="eastAsia" w:ascii="Times New Roman" w:eastAsia="仿宋_GB2312"/>
          <w:sz w:val="32"/>
          <w:szCs w:val="32"/>
        </w:rPr>
        <w:t xml:space="preserve">万元，执行数为 </w:t>
      </w:r>
      <w:r>
        <w:rPr>
          <w:rFonts w:hint="eastAsia" w:ascii="Times New Roman" w:eastAsia="仿宋_GB2312"/>
          <w:b w:val="0"/>
          <w:sz w:val="32"/>
          <w:szCs w:val="32"/>
          <w:lang w:val="en-US" w:eastAsia="zh-CN"/>
        </w:rPr>
        <w:t>1548.505</w:t>
      </w:r>
      <w:r>
        <w:rPr>
          <w:rFonts w:hint="eastAsia" w:ascii="Times New Roman" w:eastAsia="仿宋_GB2312"/>
          <w:sz w:val="32"/>
          <w:szCs w:val="32"/>
        </w:rPr>
        <w:t>万元，完成预算的 100％。</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spacing w:line="560" w:lineRule="exact"/>
        <w:ind w:firstLine="640" w:firstLineChars="200"/>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仿宋" w:hAnsi="仿宋" w:eastAsia="仿宋"/>
          <w:sz w:val="32"/>
          <w:szCs w:val="32"/>
          <w:lang w:val="en-US" w:eastAsia="zh-CN"/>
        </w:rPr>
        <w:t>关于下达2025年省级农村综合改革转移支付资金</w:t>
      </w:r>
      <w:r>
        <w:rPr>
          <w:rFonts w:ascii="Times New Roman" w:eastAsia="仿宋_GB2312"/>
          <w:b w:val="0"/>
          <w:sz w:val="32"/>
          <w:szCs w:val="32"/>
        </w:rPr>
        <w:t>等</w:t>
      </w:r>
      <w:r>
        <w:rPr>
          <w:rFonts w:hint="eastAsia" w:ascii="Times New Roman" w:eastAsia="仿宋_GB2312"/>
          <w:b w:val="0"/>
          <w:sz w:val="32"/>
          <w:szCs w:val="32"/>
          <w:lang w:val="en-US" w:eastAsia="zh-CN"/>
        </w:rPr>
        <w:t>12</w:t>
      </w:r>
      <w:r>
        <w:rPr>
          <w:rFonts w:ascii="Times New Roman" w:eastAsia="仿宋_GB2312"/>
          <w:b w:val="0"/>
          <w:sz w:val="32"/>
          <w:szCs w:val="32"/>
        </w:rPr>
        <w:t>个项目绩效自评结果。</w:t>
      </w:r>
    </w:p>
    <w:p>
      <w:pPr>
        <w:keepNext w:val="0"/>
        <w:keepLines w:val="0"/>
        <w:widowControl/>
        <w:suppressLineNumbers w:val="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1548.505</w:t>
      </w:r>
      <w:r>
        <w:rPr>
          <w:rFonts w:ascii="Times New Roman" w:eastAsia="仿宋_GB2312"/>
          <w:b w:val="0"/>
          <w:sz w:val="32"/>
          <w:szCs w:val="32"/>
        </w:rPr>
        <w:t>万元，执行数为</w:t>
      </w:r>
      <w:r>
        <w:rPr>
          <w:rFonts w:hint="eastAsia" w:ascii="Times New Roman" w:eastAsia="仿宋_GB2312"/>
          <w:b w:val="0"/>
          <w:sz w:val="32"/>
          <w:szCs w:val="32"/>
          <w:lang w:val="en-US" w:eastAsia="zh-CN"/>
        </w:rPr>
        <w:t>1548.505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%。项目绩效目标完成情况：一是项目自评组织情况，通过多方收集资料，然后进行了严格的自评过程得出评价结果；二是绩效评价结果分为优、良、合格、不合 格四个等级</w:t>
      </w:r>
      <w:r>
        <w:rPr>
          <w:rFonts w:hint="eastAsia" w:ascii="Times New Roman" w:eastAsia="仿宋_GB2312"/>
          <w:b w:val="0"/>
          <w:sz w:val="32"/>
          <w:szCs w:val="32"/>
          <w:lang w:eastAsia="zh-CN"/>
        </w:rPr>
        <w:t>，</w:t>
      </w:r>
      <w:r>
        <w:rPr>
          <w:rFonts w:hint="eastAsia" w:ascii="Times New Roman" w:eastAsia="仿宋_GB2312"/>
          <w:b w:val="0"/>
          <w:sz w:val="32"/>
          <w:szCs w:val="32"/>
        </w:rPr>
        <w:t>通过自查收集整理汇总工作开展情况，经过严格自评，圆满完成</w:t>
      </w:r>
      <w:r>
        <w:rPr>
          <w:rFonts w:ascii="Times New Roman" w:eastAsia="仿宋_GB2312"/>
          <w:b w:val="0"/>
          <w:sz w:val="32"/>
          <w:szCs w:val="32"/>
        </w:rPr>
        <w:t>项目</w:t>
      </w:r>
      <w:r>
        <w:rPr>
          <w:rFonts w:hint="eastAsia" w:ascii="Times New Roman" w:eastAsia="仿宋_GB2312"/>
          <w:b w:val="0"/>
          <w:sz w:val="32"/>
          <w:szCs w:val="32"/>
        </w:rPr>
        <w:t>各项指标</w:t>
      </w:r>
      <w:r>
        <w:rPr>
          <w:rFonts w:hint="eastAsia" w:ascii="Times New Roman" w:eastAsia="仿宋_GB2312"/>
          <w:b w:val="0"/>
          <w:sz w:val="32"/>
          <w:szCs w:val="32"/>
          <w:lang w:eastAsia="zh-CN"/>
        </w:rPr>
        <w:t>。发</w:t>
      </w:r>
      <w:r>
        <w:rPr>
          <w:rFonts w:ascii="Times New Roman" w:eastAsia="仿宋_GB2312"/>
          <w:b w:val="0"/>
          <w:sz w:val="32"/>
          <w:szCs w:val="32"/>
        </w:rPr>
        <w:t>现的</w:t>
      </w:r>
      <w:r>
        <w:rPr>
          <w:rFonts w:ascii="Times New Roman" w:eastAsia="仿宋_GB2312" w:cs="宋体"/>
          <w:b w:val="0"/>
          <w:sz w:val="32"/>
          <w:szCs w:val="32"/>
        </w:rPr>
        <w:t>主要问题及原因是：</w:t>
      </w:r>
      <w:r>
        <w:rPr>
          <w:rFonts w:hint="eastAsia" w:ascii="Times New Roman" w:eastAsia="仿宋_GB2312" w:cs="宋体"/>
          <w:b w:val="0"/>
          <w:sz w:val="32"/>
          <w:szCs w:val="32"/>
        </w:rPr>
        <w:t>该项目各项指标完成度较好，但个别指标待细化。</w:t>
      </w:r>
      <w:r>
        <w:rPr>
          <w:rFonts w:ascii="Times New Roman" w:eastAsia="仿宋_GB2312" w:cs="宋体"/>
          <w:b w:val="0"/>
          <w:sz w:val="32"/>
          <w:szCs w:val="32"/>
        </w:rPr>
        <w:t>下一步改进措施：</w:t>
      </w:r>
      <w:r>
        <w:rPr>
          <w:rFonts w:ascii="Times New Roman" w:eastAsia="仿宋_GB2312" w:cs="宋体"/>
          <w:b w:val="0"/>
          <w:sz w:val="32"/>
          <w:szCs w:val="32"/>
          <w:lang w:val="en-US" w:eastAsia="zh-CN"/>
        </w:rPr>
        <w:t>进一步推进项目绩效评价指标体系的建设，提高项目绩效指标评价准确性，</w:t>
      </w:r>
      <w:r>
        <w:rPr>
          <w:rFonts w:ascii="Times New Roman" w:eastAsia="仿宋_GB2312"/>
          <w:b w:val="0"/>
          <w:sz w:val="32"/>
          <w:szCs w:val="32"/>
        </w:rPr>
        <w:t>提高财务管理工作的规范性</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1.关于下达2025年省级农村综合改革转移支付资金</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省级农村综合改革转移支付资金已全额及时下达，资金执行率达100%，各项绩效目标全面实现。在产出指标方面，项目立项规范，建设任务按期完工，工程验收合格率及资金使用合规率均达到100%。在效益指标方面，资金精准投向农村公益事业与重点村建设，有效改善了农村基础设施与人居环境，提升了乡村治理能力，实现了经济、社会与生态效益的协同提升。在满意度指标方面，项目切实解决了群众急难愁盼问题，基层干部与受益群众的满意度均保持在90%以上。本项目自评得分100分。</w:t>
      </w:r>
    </w:p>
    <w:tbl>
      <w:tblPr>
        <w:tblStyle w:val="13"/>
        <w:tblW w:w="903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6"/>
        <w:gridCol w:w="1318"/>
        <w:gridCol w:w="1251"/>
        <w:gridCol w:w="692"/>
        <w:gridCol w:w="1249"/>
        <w:gridCol w:w="704"/>
        <w:gridCol w:w="1206"/>
        <w:gridCol w:w="14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114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9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关于下达2025年省级农村综合改革转移支付资金的通知</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无极县财政局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5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74.123431</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74.123431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74.123431</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74.123431</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74.123431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74.123431</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2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1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支持农村公益事业建设、村级集体经济发展、乡村治理提升</w:t>
            </w:r>
          </w:p>
        </w:tc>
        <w:tc>
          <w:tcPr>
            <w:tcW w:w="31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支持农村公益事业建设、村级集体经济发展、乡村治理提升</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1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31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1140"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52"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扶持村级集体经济项目数</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9"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项目验收合格率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充分发挥资金使用效率</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充分发挥资金使用效率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资金拨付及时率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9"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无超预算、无挤占挪用</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3"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52"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预算执行率"指标计算公式为：当"预算执行进度95%"时，"预算执行率"指标自评得分为10分；当"预算执行进度〈95%"时，"预算执行率"指标自评得分=预算执行进度*10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5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村级集体经济增收能力提升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农村公共服务水平提升</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有效提升</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有效提升</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农村人居环境改善</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明显改善</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明显改善</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农村公益事业长效管护机制建立</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5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单位满意度</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0"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38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2" w:hRule="atLeast"/>
        </w:trPr>
        <w:tc>
          <w:tcPr>
            <w:tcW w:w="114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9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pPr>
        <w:ind w:firstLine="640" w:firstLineChars="200"/>
        <w:rPr>
          <w:rFonts w:hint="eastAsia" w:ascii="仿宋" w:hAnsi="仿宋" w:eastAsia="仿宋" w:cs="仿宋"/>
          <w:sz w:val="32"/>
          <w:szCs w:val="32"/>
          <w:lang w:val="en-US" w:eastAsia="zh-CN"/>
        </w:rPr>
      </w:pP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2.关于提前下达2025年省级农村综合改革转移支付预算</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省级农村综合改革转移支付预算提前下达，资金拨付合规及时，各项绩效目标全面达成。在产出指标方面，项目立项规范，建设任务按期高质量完工，工程验收合格率达100%。在效益指标方面，资金精准投向农村公益事业与重点村建设，有效改善了农村基础设施与人居环境，提升了乡村治理能力，实现了经济、社会与生态效益的协同提升。在满意度指标方面，项目切实解决了群众急难愁盼问题，基层干部与受益群众的满意度均保持在90%以上。本项目自评得分100分。</w:t>
      </w:r>
    </w:p>
    <w:tbl>
      <w:tblPr>
        <w:tblStyle w:val="13"/>
        <w:tblW w:w="87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7"/>
        <w:gridCol w:w="878"/>
        <w:gridCol w:w="1265"/>
        <w:gridCol w:w="1175"/>
        <w:gridCol w:w="1231"/>
        <w:gridCol w:w="946"/>
        <w:gridCol w:w="1015"/>
        <w:gridCol w:w="1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关于下达2025年中央农村综合改革转移支付预算的通知</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无极县财政局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12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253</w:t>
            </w:r>
          </w:p>
        </w:tc>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19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改善农村生产生活条件，提升农村公共服务水平</w:t>
            </w:r>
          </w:p>
        </w:tc>
        <w:tc>
          <w:tcPr>
            <w:tcW w:w="319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改善农村生产生活条件，提升农村公共服务水平</w:t>
            </w:r>
          </w:p>
        </w:tc>
        <w:tc>
          <w:tcPr>
            <w:tcW w:w="12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19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覆盖行政村数量</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工程建设质量达标率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充分发挥资金使用效率</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充分发挥资金使用效率</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按计划完成项目建设</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项目资金专款专用率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65"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预算执行率"指标计算公式为：当"预算执行进度95%"时，"预算执行率"指标自评得分为10分；当"预算执行进度〈95%"时，"预算执行率"指标自评得分=预算执行进度*10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村级集体经济增收能力提升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乡村治理规范化水平提升</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有效提升</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有效提升</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农村人居环境改善</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明显改善</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明显改善</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农村公益事业长效管护机制建立</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6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4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单位满意度</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5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3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7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pPr>
        <w:ind w:firstLine="640" w:firstLineChars="200"/>
        <w:rPr>
          <w:rFonts w:hint="eastAsia" w:ascii="仿宋" w:hAnsi="仿宋" w:eastAsia="仿宋" w:cs="仿宋"/>
          <w:sz w:val="32"/>
          <w:szCs w:val="32"/>
          <w:lang w:val="en-US" w:eastAsia="zh-CN"/>
        </w:rPr>
      </w:pP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3.关于提前下达2025年省级农村财会人员培训资金预算</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 w:hAnsi="仿宋" w:eastAsia="仿宋"/>
          <w:sz w:val="32"/>
          <w:szCs w:val="32"/>
          <w:lang w:val="en-US" w:eastAsia="zh-CN"/>
        </w:rPr>
      </w:pPr>
      <w:r>
        <w:rPr>
          <w:rFonts w:hint="eastAsia" w:ascii="仿宋" w:hAnsi="仿宋" w:eastAsia="仿宋" w:cs="仿宋"/>
          <w:sz w:val="32"/>
          <w:szCs w:val="32"/>
          <w:lang w:val="en-US" w:eastAsia="zh-CN"/>
        </w:rPr>
        <w:t>2025年省级农村财会人员培训资金预算提前下达，资金拨付及时合规，各项绩效目标全面达成。在产出指标方面，培训计划按期高质量落实，参训人员数量与培训合格率均达到100%。在效益指标方面，通过系统化的政策与实操培训，有效提升了基层财会人员的业务素养、政策执行力及“三资”规范化管理水平，为乡村振兴提供了坚实的人才保障。在满意度指标方面，培训内容紧贴基层实际需求，受训学员满意度保持在90%以上，切实打通了支农政策落地的“最后一公里”。本项目自评得分100分。</w:t>
      </w:r>
    </w:p>
    <w:tbl>
      <w:tblPr>
        <w:tblStyle w:val="13"/>
        <w:tblW w:w="89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6"/>
        <w:gridCol w:w="894"/>
        <w:gridCol w:w="1288"/>
        <w:gridCol w:w="1196"/>
        <w:gridCol w:w="1253"/>
        <w:gridCol w:w="963"/>
        <w:gridCol w:w="1033"/>
        <w:gridCol w:w="12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89" w:hRule="atLeast"/>
        </w:trPr>
        <w:tc>
          <w:tcPr>
            <w:tcW w:w="105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关于提前下达2025年省级农村财会人员培训资金预算的通知</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2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无极县财政局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5.385</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5.385</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5.385</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5.385</w:t>
            </w: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default" w:ascii="Calibri" w:hAnsi="Calibri" w:eastAsia="宋体" w:cs="Calibri"/>
                <w:i w:val="0"/>
                <w:iCs w:val="0"/>
                <w:color w:val="000000"/>
                <w:sz w:val="20"/>
                <w:szCs w:val="20"/>
                <w:u w:val="none"/>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7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提升农村财会人员业务能力与职业素养</w:t>
            </w:r>
          </w:p>
        </w:tc>
        <w:tc>
          <w:tcPr>
            <w:tcW w:w="324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保障农村集体资产安全，规范村级财务管理</w:t>
            </w:r>
          </w:p>
        </w:tc>
        <w:tc>
          <w:tcPr>
            <w:tcW w:w="1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056"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88"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培训人次=实际参与培训的农村财会人员总人次</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培训覆盖行政村比例=培训覆盖行政村数 / 辖区行政村总数 ×100%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培训完成及时性</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人均培训成本</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不超过各项目预算数</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3"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88" w:type="dxa"/>
            <w:tcBorders>
              <w:top w:val="nil"/>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预算执行率"指标计算公式为：当"预算执行进度95%"时，"预算执行率"指标自评得分为10分；当"预算执行进度〈95%"时，"预算执行率"指标自评得分=预算执行进度*10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restart"/>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8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财务规范率= 培训后村级财务核算规范的村数 / 参训村数 ×100%</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有所提升</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政策知晓率 =参训人员对财政支农政策掌握达标比例</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w:t>
            </w:r>
            <w:r>
              <w:rPr>
                <w:rFonts w:ascii="Calibri" w:hAnsi="Calibri" w:eastAsia="方正书宋_GBK" w:cs="Calibri"/>
                <w:i w:val="0"/>
                <w:iCs w:val="0"/>
                <w:color w:val="000000"/>
                <w:kern w:val="0"/>
                <w:sz w:val="20"/>
                <w:szCs w:val="20"/>
                <w:u w:val="none"/>
                <w:lang w:val="en-US" w:eastAsia="zh-CN" w:bidi="ar"/>
              </w:rPr>
              <w:t>90%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培训合格率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w:t>
            </w:r>
            <w:r>
              <w:rPr>
                <w:rFonts w:ascii="Calibri" w:hAnsi="Calibri" w:eastAsia="方正书宋_GBK" w:cs="Calibri"/>
                <w:i w:val="0"/>
                <w:iCs w:val="0"/>
                <w:color w:val="000000"/>
                <w:kern w:val="0"/>
                <w:sz w:val="20"/>
                <w:szCs w:val="20"/>
                <w:u w:val="none"/>
                <w:lang w:val="en-US" w:eastAsia="zh-CN" w:bidi="ar"/>
              </w:rPr>
              <w:t>90%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vMerge w:val="continue"/>
            <w:tcBorders>
              <w:top w:val="nil"/>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8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长效管理机制 =是否建立农村财会人员培训长效机制</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进一步完善</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8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4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参训人员满意度</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i w:val="0"/>
                <w:iCs w:val="0"/>
                <w:color w:val="000000"/>
                <w:sz w:val="20"/>
                <w:szCs w:val="20"/>
                <w:u w:val="none"/>
              </w:rPr>
            </w:pPr>
            <w:r>
              <w:rPr>
                <w:rFonts w:hint="eastAsia" w:ascii="方正书宋_GBK" w:hAnsi="方正书宋_GBK" w:eastAsia="方正书宋_GBK" w:cs="方正书宋_GBK"/>
                <w:i w:val="0"/>
                <w:iCs w:val="0"/>
                <w:color w:val="000000"/>
                <w:kern w:val="0"/>
                <w:sz w:val="20"/>
                <w:szCs w:val="20"/>
                <w:u w:val="none"/>
                <w:lang w:val="en-US" w:eastAsia="zh-CN" w:bidi="ar"/>
              </w:rPr>
              <w:t>满意度</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1056" w:type="dxa"/>
            <w:vMerge w:val="continue"/>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66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5" w:hRule="atLeast"/>
        </w:trPr>
        <w:tc>
          <w:tcPr>
            <w:tcW w:w="1056"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8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pPr>
        <w:pStyle w:val="12"/>
        <w:rPr>
          <w:rFonts w:hint="eastAsia" w:eastAsia="仿宋_GB2312"/>
          <w:lang w:val="en-US" w:eastAsia="zh-CN"/>
        </w:rPr>
      </w:pP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7678F61-7AB2-4D98-8085-BBF24B235424}"/>
  </w:font>
  <w:font w:name="黑体">
    <w:panose1 w:val="02010609060101010101"/>
    <w:charset w:val="86"/>
    <w:family w:val="auto"/>
    <w:pitch w:val="default"/>
    <w:sig w:usb0="800002BF" w:usb1="38CF7CFA" w:usb2="00000016" w:usb3="00000000" w:csb0="00040001" w:csb1="00000000"/>
    <w:embedRegular r:id="rId2" w:fontKey="{E6DF5FA3-E558-4F92-89E9-25F939A208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6FB2C923-A4E7-4C8A-B3BD-49F55CAF455E}"/>
  </w:font>
  <w:font w:name="仿宋">
    <w:panose1 w:val="02010609060101010101"/>
    <w:charset w:val="86"/>
    <w:family w:val="modern"/>
    <w:pitch w:val="default"/>
    <w:sig w:usb0="800002BF" w:usb1="38CF7CFA" w:usb2="00000016" w:usb3="00000000" w:csb0="00040001" w:csb1="00000000"/>
    <w:embedRegular r:id="rId4" w:fontKey="{5A6A1BF4-975B-45B1-A9A6-061683256A56}"/>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embedRegular r:id="rId5" w:fontKey="{0268F8ED-5133-465F-A4F2-657BD1ECD718}"/>
  </w:font>
  <w:font w:name="楷体_GB2312">
    <w:altName w:val="楷体"/>
    <w:panose1 w:val="02010609030101010101"/>
    <w:charset w:val="86"/>
    <w:family w:val="auto"/>
    <w:pitch w:val="default"/>
    <w:sig w:usb0="00000000" w:usb1="00000000" w:usb2="00000000" w:usb3="00000000" w:csb0="00040000" w:csb1="00000000"/>
    <w:embedRegular r:id="rId6" w:fontKey="{2747B2FC-E4F9-4561-B93E-B304C614E24B}"/>
  </w:font>
  <w:font w:name="微软雅黑">
    <w:panose1 w:val="020B0503020204020204"/>
    <w:charset w:val="86"/>
    <w:family w:val="auto"/>
    <w:pitch w:val="default"/>
    <w:sig w:usb0="80000287" w:usb1="2ACF3C50" w:usb2="00000016" w:usb3="00000000" w:csb0="0004001F" w:csb1="00000000"/>
    <w:embedRegular r:id="rId7" w:fontKey="{68967B8E-EAD2-4F3D-B852-FC3A99E0C944}"/>
  </w:font>
  <w:font w:name="方正小标宋_GBK">
    <w:altName w:val="微软雅黑"/>
    <w:panose1 w:val="02000000000000000000"/>
    <w:charset w:val="86"/>
    <w:family w:val="script"/>
    <w:pitch w:val="default"/>
    <w:sig w:usb0="00000000" w:usb1="00000000" w:usb2="00000000" w:usb3="00000000" w:csb0="00040000" w:csb1="00000000"/>
    <w:embedRegular r:id="rId8" w:fontKey="{E5C3D8C5-17F0-4726-BEAC-5D18C856DAFA}"/>
  </w:font>
  <w:font w:name="仿宋_GB2312">
    <w:altName w:val="仿宋"/>
    <w:panose1 w:val="02010609030101010101"/>
    <w:charset w:val="86"/>
    <w:family w:val="auto"/>
    <w:pitch w:val="default"/>
    <w:sig w:usb0="00000000" w:usb1="00000000" w:usb2="00000000" w:usb3="00000000" w:csb0="00040000" w:csb1="00000000"/>
    <w:embedRegular r:id="rId9" w:fontKey="{FCC229FA-FEB8-471A-A7DB-36CBFB5AEF10}"/>
  </w:font>
  <w:font w:name="ArialUnicodeMS">
    <w:altName w:val="Malgun Gothic"/>
    <w:panose1 w:val="00000000000000000000"/>
    <w:charset w:val="81"/>
    <w:family w:val="auto"/>
    <w:pitch w:val="default"/>
    <w:sig w:usb0="00000000" w:usb1="00000000" w:usb2="00000010" w:usb3="00000000" w:csb0="00080001" w:csb1="00000000"/>
    <w:embedRegular r:id="rId10" w:fontKey="{665165CD-2262-45DE-8A12-21E2A00FBA34}"/>
  </w:font>
  <w:font w:name="方正书宋_GBK">
    <w:altName w:val="微软雅黑"/>
    <w:panose1 w:val="02000000000000000000"/>
    <w:charset w:val="86"/>
    <w:family w:val="auto"/>
    <w:pitch w:val="default"/>
    <w:sig w:usb0="00000000" w:usb1="00000000" w:usb2="00000000" w:usb3="00000000" w:csb0="00040000" w:csb1="00000000"/>
    <w:embedRegular r:id="rId11" w:fontKey="{78F4721C-EF45-42AB-9D5D-B3D0DEBBF871}"/>
  </w:font>
  <w:font w:name="楷体">
    <w:panose1 w:val="02010609060101010101"/>
    <w:charset w:val="86"/>
    <w:family w:val="auto"/>
    <w:pitch w:val="default"/>
    <w:sig w:usb0="800002BF" w:usb1="38CF7CFA" w:usb2="00000016" w:usb3="00000000" w:csb0="00040001"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6E4A4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1131F"/>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86BCC"/>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9FF609C"/>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7"/>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ody Text Indent"/>
    <w:basedOn w:val="1"/>
    <w:qFormat/>
    <w:uiPriority w:val="0"/>
    <w:pPr>
      <w:spacing w:line="360" w:lineRule="auto"/>
      <w:ind w:firstLine="200" w:firstLineChars="200"/>
      <w:textAlignment w:val="baseline"/>
    </w:pPr>
    <w:rPr>
      <w:rFonts w:hint="eastAsia" w:eastAsia="宋体"/>
      <w:sz w:val="24"/>
    </w:rPr>
  </w:style>
  <w:style w:type="paragraph" w:styleId="8">
    <w:name w:val="Balloon Text"/>
    <w:basedOn w:val="1"/>
    <w:link w:val="26"/>
    <w:unhideWhenUsed/>
    <w:qFormat/>
    <w:uiPriority w:val="99"/>
    <w:rPr>
      <w:rFonts w:cstheme="minorBidi"/>
      <w:kern w:val="2"/>
      <w:sz w:val="18"/>
      <w:szCs w:val="18"/>
    </w:rPr>
  </w:style>
  <w:style w:type="paragraph" w:styleId="9">
    <w:name w:val="footer"/>
    <w:basedOn w:val="1"/>
    <w:link w:val="18"/>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2">
    <w:name w:val="Body Text First Indent 2"/>
    <w:basedOn w:val="7"/>
    <w:qFormat/>
    <w:uiPriority w:val="0"/>
    <w:pPr>
      <w:ind w:firstLine="420" w:firstLineChars="200"/>
    </w:p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customStyle="1" w:styleId="17">
    <w:name w:val="标题 2 Char"/>
    <w:link w:val="3"/>
    <w:qFormat/>
    <w:uiPriority w:val="0"/>
    <w:rPr>
      <w:rFonts w:ascii="Calibri Light" w:hAnsi="Calibri Light" w:eastAsia="宋体" w:cs="Times New Roman"/>
      <w:b/>
      <w:bCs/>
      <w:sz w:val="28"/>
      <w:szCs w:val="32"/>
    </w:rPr>
  </w:style>
  <w:style w:type="character" w:customStyle="1" w:styleId="18">
    <w:name w:val="页脚 Char"/>
    <w:basedOn w:val="15"/>
    <w:link w:val="9"/>
    <w:qFormat/>
    <w:uiPriority w:val="99"/>
    <w:rPr>
      <w:rFonts w:asciiTheme="minorHAnsi" w:hAnsiTheme="minorHAnsi" w:eastAsiaTheme="minorEastAsia" w:cstheme="minorBidi"/>
      <w:sz w:val="18"/>
      <w:szCs w:val="18"/>
      <w:lang w:val="en-US" w:eastAsia="zh-CN" w:bidi="ar-SA"/>
    </w:rPr>
  </w:style>
  <w:style w:type="character" w:customStyle="1" w:styleId="19">
    <w:name w:val="页眉 Char"/>
    <w:basedOn w:val="15"/>
    <w:link w:val="10"/>
    <w:qFormat/>
    <w:uiPriority w:val="0"/>
    <w:rPr>
      <w:rFonts w:asciiTheme="minorHAnsi" w:hAnsiTheme="minorHAnsi" w:eastAsiaTheme="minorEastAsia" w:cstheme="minorBidi"/>
      <w:sz w:val="18"/>
      <w:szCs w:val="18"/>
      <w:lang w:val="en-US" w:eastAsia="zh-CN" w:bidi="ar-SA"/>
    </w:rPr>
  </w:style>
  <w:style w:type="character" w:customStyle="1" w:styleId="20">
    <w:name w:val="font11"/>
    <w:basedOn w:val="15"/>
    <w:qFormat/>
    <w:uiPriority w:val="0"/>
    <w:rPr>
      <w:rFonts w:hint="eastAsia" w:ascii="宋体" w:hAnsi="宋体" w:eastAsia="宋体" w:cs="宋体"/>
      <w:color w:val="000000"/>
      <w:sz w:val="20"/>
      <w:szCs w:val="20"/>
      <w:u w:val="none"/>
      <w:lang w:val="en-US" w:eastAsia="zh-CN" w:bidi="ar-SA"/>
    </w:rPr>
  </w:style>
  <w:style w:type="character" w:customStyle="1" w:styleId="21">
    <w:name w:val="font01"/>
    <w:basedOn w:val="15"/>
    <w:qFormat/>
    <w:uiPriority w:val="0"/>
    <w:rPr>
      <w:rFonts w:hint="eastAsia" w:ascii="宋体" w:hAnsi="宋体" w:eastAsia="宋体" w:cs="宋体"/>
      <w:color w:val="000000"/>
      <w:sz w:val="22"/>
      <w:szCs w:val="22"/>
      <w:u w:val="none"/>
      <w:lang w:val="en-US" w:eastAsia="zh-CN" w:bidi="ar-SA"/>
    </w:rPr>
  </w:style>
  <w:style w:type="character" w:customStyle="1" w:styleId="22">
    <w:name w:val="font41"/>
    <w:basedOn w:val="15"/>
    <w:qFormat/>
    <w:uiPriority w:val="0"/>
    <w:rPr>
      <w:rFonts w:hint="eastAsia" w:ascii="宋体" w:hAnsi="宋体" w:eastAsia="宋体" w:cs="宋体"/>
      <w:color w:val="000000"/>
      <w:sz w:val="24"/>
      <w:szCs w:val="24"/>
      <w:u w:val="none"/>
      <w:lang w:val="en-US" w:eastAsia="zh-CN" w:bidi="ar-SA"/>
    </w:rPr>
  </w:style>
  <w:style w:type="character" w:customStyle="1" w:styleId="23">
    <w:name w:val="font3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9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5">
    <w:name w:val="font51"/>
    <w:basedOn w:val="15"/>
    <w:qFormat/>
    <w:uiPriority w:val="0"/>
    <w:rPr>
      <w:rFonts w:hint="eastAsia" w:ascii="宋体" w:hAnsi="宋体" w:eastAsia="宋体" w:cs="宋体"/>
      <w:color w:val="000000"/>
      <w:sz w:val="24"/>
      <w:szCs w:val="24"/>
      <w:u w:val="none"/>
      <w:lang w:val="en-US" w:eastAsia="zh-CN" w:bidi="ar-SA"/>
    </w:rPr>
  </w:style>
  <w:style w:type="character" w:customStyle="1" w:styleId="26">
    <w:name w:val="批注框文本 Char"/>
    <w:basedOn w:val="15"/>
    <w:link w:val="8"/>
    <w:semiHidden/>
    <w:qFormat/>
    <w:uiPriority w:val="99"/>
    <w:rPr>
      <w:rFonts w:asciiTheme="minorHAnsi" w:hAnsiTheme="minorHAnsi" w:eastAsiaTheme="minorEastAsia" w:cstheme="minorBidi"/>
      <w:sz w:val="18"/>
      <w:szCs w:val="18"/>
      <w:lang w:val="en-US" w:eastAsia="zh-CN" w:bidi="ar-SA"/>
    </w:rPr>
  </w:style>
  <w:style w:type="character" w:customStyle="1" w:styleId="27">
    <w:name w:val="font21"/>
    <w:basedOn w:val="15"/>
    <w:qFormat/>
    <w:uiPriority w:val="0"/>
    <w:rPr>
      <w:rFonts w:hint="eastAsia" w:ascii="方正仿宋_GB2312" w:hAnsi="方正仿宋_GB2312" w:eastAsia="方正仿宋_GB2312" w:cs="方正仿宋_GB2312"/>
      <w:color w:val="000000"/>
      <w:sz w:val="18"/>
      <w:szCs w:val="18"/>
      <w:u w:val="none"/>
    </w:rPr>
  </w:style>
  <w:style w:type="character" w:customStyle="1" w:styleId="28">
    <w:name w:val="font61"/>
    <w:basedOn w:val="15"/>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2751.59</c:v>
                </c:pt>
                <c:pt idx="1">
                  <c:v>1638.7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27515923.34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12030872.79</c:v>
                </c:pt>
                <c:pt idx="1">
                  <c:v>15485050.55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1638.7</c:v>
                </c:pt>
                <c:pt idx="1">
                  <c:v>1638.7</c:v>
                </c:pt>
                <c:pt idx="2">
                  <c:v>1638.7</c:v>
                </c:pt>
                <c:pt idx="3">
                  <c:v>1638.7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2751.59</c:v>
                </c:pt>
                <c:pt idx="1">
                  <c:v>2751.59</c:v>
                </c:pt>
                <c:pt idx="2">
                  <c:v>2751.59</c:v>
                </c:pt>
                <c:pt idx="3">
                  <c:v>2751.59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1336.7</c:v>
                </c:pt>
                <c:pt idx="1">
                  <c:v>1336.7</c:v>
                </c:pt>
                <c:pt idx="2">
                  <c:v>1336.7</c:v>
                </c:pt>
                <c:pt idx="3">
                  <c:v>1336.7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2751.59</c:v>
                </c:pt>
                <c:pt idx="1">
                  <c:v>2751.59</c:v>
                </c:pt>
                <c:pt idx="2">
                  <c:v>2751.59</c:v>
                </c:pt>
                <c:pt idx="3">
                  <c:v>2751.59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10</TotalTime>
  <ScaleCrop>false</ScaleCrop>
  <LinksUpToDate>false</LinksUpToDate>
  <CharactersWithSpaces>6550</CharactersWithSpaces>
  <Application>WPS Office_11.8.2.12080_F1E327BC-269C-435d-A152-05C5408002CA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李润泽</cp:lastModifiedBy>
  <cp:lastPrinted>2023-08-04T09:00:00Z</cp:lastPrinted>
  <dcterms:modified xsi:type="dcterms:W3CDTF">2026-09-16T08:54:53Z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2052-11.8.2.12080</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