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农牧局2014年“三公经费”增减情况说明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2014年我局共发生“三公经费”104548.59元，其中公务用车运行费用98538.59元，公务招待费6010元，因公出国费用0元，2013年“三公经费”共发生125482元，其中公务用车运行费用110000元，公务招待费支出15482元。两年相比，2014年比2013年各项费用均有减少，其原因是：加强公务用车管理，减少不必要的公务车辆出行；公务接待严格管理，适当降低公务接待标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9870BE"/>
    <w:rsid w:val="3E9870B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Office_10.1.0.5345_F1E327BC-269C-435d-A152-05C5408002CA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2015-11-13T08:59:00Z</dcterms:created>
  <dc:creator>Administrator</dc:creator>
  <cp:lastModifiedBy>Administrator</cp:lastModifiedBy>
  <dcterms:modified xsi:type="dcterms:W3CDTF">2015-11-13T09:14:17Z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2052-10.1.0.5345</vt:lpwstr>
  </property>
</Properties>
</file>