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autoSpaceDE w:val="0"/>
        <w:autoSpaceDN w:val="0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default" w:ascii="Times New Roman" w:hAnsi="Times New Roman" w:eastAsia="Times New Roman"/>
          <w:kern w:val="2"/>
          <w:sz w:val="32"/>
        </w:rPr>
        <w:t xml:space="preserve"> </w:t>
      </w:r>
    </w:p>
    <w:p>
      <w:pPr>
        <w:widowControl w:val="0"/>
        <w:autoSpaceDE w:val="0"/>
        <w:autoSpaceDN w:val="0"/>
        <w:jc w:val="center"/>
        <w:rPr>
          <w:rFonts w:hint="default" w:ascii="Times New Roman" w:hAnsi="Times New Roman" w:eastAsia="Times New Roman"/>
          <w:b/>
          <w:kern w:val="2"/>
          <w:sz w:val="44"/>
        </w:rPr>
      </w:pPr>
      <w:r>
        <w:rPr>
          <w:rFonts w:hint="eastAsia" w:ascii="宋体" w:hAnsi="宋体" w:eastAsia="宋体"/>
          <w:b/>
          <w:kern w:val="2"/>
          <w:sz w:val="44"/>
        </w:rPr>
        <w:t>关于批复无极县环境保护局2014年度部门决算的通知</w:t>
      </w:r>
    </w:p>
    <w:p>
      <w:pPr>
        <w:widowControl w:val="0"/>
        <w:autoSpaceDE w:val="0"/>
        <w:autoSpaceDN w:val="0"/>
        <w:jc w:val="center"/>
        <w:rPr>
          <w:rFonts w:hint="default" w:ascii="Times New Roman" w:hAnsi="Times New Roman" w:eastAsia="Times New Roman"/>
          <w:kern w:val="2"/>
          <w:sz w:val="24"/>
        </w:rPr>
      </w:pPr>
    </w:p>
    <w:p>
      <w:pPr>
        <w:widowControl w:val="0"/>
        <w:autoSpaceDE w:val="0"/>
        <w:autoSpaceDN w:val="0"/>
        <w:spacing w:line="580" w:lineRule="exact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eastAsia" w:ascii="宋体" w:hAnsi="宋体" w:eastAsia="宋体"/>
          <w:kern w:val="2"/>
          <w:sz w:val="32"/>
        </w:rPr>
        <w:t>无极县环境保护局</w:t>
      </w:r>
      <w:r>
        <w:rPr>
          <w:rFonts w:hint="eastAsia" w:ascii="仿宋_GB2312" w:hAnsi="仿宋_GB2312" w:eastAsia="仿宋_GB2312"/>
          <w:kern w:val="2"/>
          <w:sz w:val="32"/>
        </w:rPr>
        <w:t>：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eastAsia" w:ascii="仿宋_GB2312" w:hAnsi="仿宋_GB2312" w:eastAsia="仿宋_GB2312"/>
          <w:kern w:val="2"/>
          <w:sz w:val="32"/>
        </w:rPr>
        <w:t>省第十二届人大常委会第十六次会议已批准2014年省本级决算。根据《中华人民共和国预算法》和财政财务管理有关规定，经审核，现批复你部门2014年度决算。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eastAsia" w:ascii="仿宋_GB2312" w:hAnsi="仿宋_GB2312" w:eastAsia="仿宋_GB2312"/>
          <w:kern w:val="2"/>
          <w:sz w:val="32"/>
        </w:rPr>
        <w:t>一、核定你部门2014年度上年结转和结余0万元，本年收入2,063.62万元，本年支出2,063.62万元，年末结转和结余0万元。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color w:val="FF0000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kern w:val="2"/>
          <w:sz w:val="32"/>
        </w:rPr>
        <w:t>二、核定你部门2014年度一般公共预算财政拨款上年结转和结余0万元，本年收</w:t>
      </w:r>
      <w:r>
        <w:rPr>
          <w:rFonts w:hint="eastAsia" w:ascii="仿宋_GB2312" w:hAnsi="仿宋_GB2312" w:eastAsia="仿宋_GB2312"/>
          <w:kern w:val="2"/>
          <w:sz w:val="32"/>
          <w:lang w:val="zh-CN"/>
        </w:rPr>
        <w:t>入</w:t>
      </w:r>
      <w:r>
        <w:rPr>
          <w:rFonts w:hint="eastAsia" w:ascii="仿宋_GB2312" w:hAnsi="仿宋_GB2312" w:eastAsia="仿宋_GB2312"/>
          <w:kern w:val="2"/>
          <w:sz w:val="32"/>
          <w:lang w:val="en-US"/>
        </w:rPr>
        <w:t>2,063.62万元，本年支出2,063.62万元，年末结转和结余0万元。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三、核定你部门2014年度政府性基金预算财政拨款上年结转和结余0万元，本年收入0万元，本年支出0万元，年末结转和结余0万元。</w:t>
      </w:r>
    </w:p>
    <w:p>
      <w:pPr>
        <w:widowControl w:val="0"/>
        <w:autoSpaceDE w:val="0"/>
        <w:autoSpaceDN w:val="0"/>
        <w:spacing w:line="580" w:lineRule="exact"/>
        <w:ind w:firstLine="480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 xml:space="preserve"> 四、你部门应当自我厅批复决算之日起十五日内，依据本批复文件向所属单位批复决算。</w:t>
      </w:r>
    </w:p>
    <w:p>
      <w:pPr>
        <w:widowControl w:val="0"/>
        <w:autoSpaceDE w:val="0"/>
        <w:autoSpaceDN w:val="0"/>
        <w:spacing w:line="580" w:lineRule="exact"/>
        <w:ind w:firstLine="640"/>
        <w:jc w:val="both"/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五、你部门应当按照《中华人民共和国预算法》、《</w:t>
      </w:r>
      <w:r>
        <w:rPr>
          <w:rFonts w:hint="eastAsia" w:ascii="仿宋_GB2312" w:hAnsi="仿宋_GB2312" w:eastAsia="仿宋_GB2312"/>
          <w:color w:val="auto"/>
          <w:sz w:val="32"/>
          <w:lang w:val="en-US"/>
        </w:rPr>
        <w:t>河北省人民政府办公厅关于印发2015年政府信息公开工作要点分解细化方案的通知》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（冀政办字〔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2015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〕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67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号）</w:t>
      </w:r>
      <w:r>
        <w:rPr>
          <w:rFonts w:hint="eastAsia" w:ascii="仿宋_GB2312" w:hAnsi="仿宋_GB2312" w:eastAsia="仿宋_GB2312"/>
          <w:color w:val="auto"/>
          <w:sz w:val="32"/>
          <w:lang w:val="en-US"/>
        </w:rPr>
        <w:t>和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《河北省财政厅关于深入推进预决算公开工作的通知》（冀财预〔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2014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〕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38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 xml:space="preserve">号）等有关规定，自我厅正式批复决算之日起二十日内向社会公开，积极组织相关决算公开工作，切实履行公开责任和义务，并及时将公开情况反馈我厅。         </w:t>
      </w:r>
    </w:p>
    <w:p>
      <w:pPr>
        <w:widowControl w:val="0"/>
        <w:autoSpaceDE w:val="0"/>
        <w:autoSpaceDN w:val="0"/>
        <w:spacing w:line="580" w:lineRule="exact"/>
        <w:ind w:firstLine="640"/>
        <w:jc w:val="both"/>
        <w:rPr>
          <w:rFonts w:hint="default" w:ascii="Times New Roman" w:hAnsi="Times New Roman" w:eastAsia="Times New Roman"/>
          <w:color w:val="auto"/>
          <w:sz w:val="44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附件：无极县环境保护局2014年度部门决算批复表(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zh-CN"/>
        </w:rPr>
        <w:t>电子数据，单发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)</w:t>
      </w:r>
    </w:p>
    <w:p>
      <w:pPr>
        <w:widowControl w:val="0"/>
        <w:autoSpaceDE w:val="0"/>
        <w:autoSpaceDN w:val="0"/>
        <w:ind w:firstLine="1872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</w:p>
    <w:p>
      <w:pPr>
        <w:widowControl w:val="0"/>
        <w:autoSpaceDE w:val="0"/>
        <w:autoSpaceDN w:val="0"/>
        <w:ind w:firstLine="1872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</w:p>
    <w:p>
      <w:pPr>
        <w:widowControl w:val="0"/>
        <w:autoSpaceDE w:val="0"/>
        <w:autoSpaceDN w:val="0"/>
        <w:ind w:firstLine="1872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Times New Roman"/>
          <w:color w:val="auto"/>
          <w:sz w:val="18"/>
          <w:lang w:val="zh-CN"/>
        </w:rPr>
      </w:pPr>
    </w:p>
    <w:p>
      <w:pPr>
        <w:widowControl w:val="0"/>
        <w:autoSpaceDE w:val="0"/>
        <w:autoSpaceDN w:val="0"/>
        <w:jc w:val="both"/>
        <w:rPr>
          <w:rFonts w:hint="default" w:ascii="Times New Roman" w:hAnsi="Times New Roman" w:eastAsia="Times New Roman"/>
          <w:color w:val="auto"/>
          <w:kern w:val="2"/>
          <w:sz w:val="21"/>
          <w:lang w:val="en-US"/>
        </w:rPr>
      </w:pPr>
    </w:p>
    <w:p>
      <w:pPr>
        <w:widowControl w:val="0"/>
        <w:autoSpaceDE w:val="0"/>
        <w:autoSpaceDN w:val="0"/>
        <w:rPr>
          <w:rFonts w:hint="eastAsia" w:ascii="宋体" w:hAnsi="宋体" w:eastAsia="宋体"/>
          <w:color w:val="auto"/>
          <w:sz w:val="18"/>
          <w:lang w:val="zh-CN"/>
        </w:rPr>
      </w:pPr>
    </w:p>
    <w:p/>
    <w:sectPr>
      <w:cols w:space="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50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doNotExpandShiftReturn/>
    <w:adjustLineHeightInTable/>
    <w:doNotWrapTextWithPunct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jc w:val="both"/>
    </w:pPr>
    <w:rPr>
      <w:rFonts w:eastAsia="宋体"/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2015-08-27T16:26:57Z</dcterms:created>
  <dcterms:modified xsi:type="dcterms:W3CDTF">2015-08-27T16:27:01Z</dcterms:modified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