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rPr>
      </w:pPr>
    </w:p>
    <w:p>
      <w:pPr>
        <w:widowControl/>
        <w:jc w:val="center"/>
        <w:rPr>
          <w:rFonts w:hAnsi="宋体" w:asciiTheme="minorEastAsia" w:eastAsiaTheme="minorEastAsia"/>
          <w:color w:val="002060"/>
          <w:sz w:val="84"/>
          <w:szCs w:val="84"/>
        </w:rPr>
      </w:pPr>
      <w:r>
        <w:rPr>
          <w:rFonts w:hint="eastAsia" w:hAnsi="宋体" w:asciiTheme="minorEastAsia" w:eastAsiaTheme="minorEastAsia"/>
          <w:color w:val="002060"/>
          <w:sz w:val="84"/>
          <w:szCs w:val="84"/>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ind w:firstLine="2588" w:firstLineChars="586"/>
        <w:rPr>
          <w:rFonts w:ascii="宋体" w:hAnsi="宋体"/>
          <w:b/>
          <w:sz w:val="44"/>
          <w:szCs w:val="44"/>
        </w:rPr>
      </w:pPr>
      <w:r>
        <w:rPr>
          <w:rFonts w:hint="eastAsia" w:ascii="宋体" w:hAnsi="宋体"/>
          <w:b/>
          <w:sz w:val="44"/>
          <w:szCs w:val="44"/>
        </w:rPr>
        <w:t>东侯坊乡人民政府</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东侯坊乡人民政府</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东侯坊乡人民政府</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东侯坊乡人民政府</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第一部分东侯坊乡人民政府概况</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一、部门职责</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乡镇党委、政府要通过组织群众、宣传群众、教育群众，切实贯彻落实党和国家在农村的各项方针政策和法律法规，执行本级人民代表大会的决议和上级行政机关的决定和命令，围绕农业、农村、农民搞好服务。</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年度，纳入本部门决算汇编范围的独立核算单位</w:t>
      </w:r>
    </w:p>
    <w:p>
      <w:pPr>
        <w:autoSpaceDE w:val="0"/>
        <w:autoSpaceDN w:val="0"/>
        <w:adjustRightInd w:val="0"/>
        <w:spacing w:after="0" w:line="560" w:lineRule="exact"/>
        <w:jc w:val="left"/>
        <w:rPr>
          <w:rFonts w:ascii="仿宋_GB2312" w:eastAsia="仿宋_GB2312" w:cs="ArialUnicodeMS" w:hAnsiTheme="minorHAnsi"/>
          <w:kern w:val="0"/>
          <w:sz w:val="32"/>
          <w:szCs w:val="32"/>
        </w:rPr>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（以下简称“单位”）共 1个，东侯坊乡人民政府，单位基本性质为行政单位，预算管理级次乡镇级预算单位，执行行政单位会计制度，较上年无增减变化。</w:t>
      </w:r>
    </w:p>
    <w:p>
      <w:pPr>
        <w:spacing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after="0" w:line="56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5" w:left="1588" w:header="851" w:footer="992" w:gutter="0"/>
          <w:cols w:space="425" w:num="1"/>
          <w:docGrid w:type="lines" w:linePitch="312" w:charSpace="0"/>
        </w:sectPr>
      </w:pP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本部门2017年度年初结转和结余60.2万元，本年收入720.27万元；本年支出</w:t>
      </w:r>
      <w:r>
        <w:rPr>
          <w:rFonts w:ascii="仿宋_GB2312" w:eastAsia="仿宋_GB2312" w:cs="DengXian-Regular"/>
          <w:sz w:val="32"/>
          <w:szCs w:val="32"/>
        </w:rPr>
        <w:t>740.46</w:t>
      </w:r>
      <w:r>
        <w:rPr>
          <w:rFonts w:hint="eastAsia" w:ascii="仿宋_GB2312" w:eastAsia="仿宋_GB2312" w:cs="DengXian-Regular"/>
          <w:sz w:val="32"/>
          <w:szCs w:val="32"/>
        </w:rPr>
        <w:t>万元、年末结转和结余40.01万元。与2016年度决算相比，本年收入减少106.73万元，降低13%，主要是项目减少，投入减少；本年支出减少</w:t>
      </w:r>
      <w:r>
        <w:rPr>
          <w:rFonts w:ascii="仿宋_GB2312" w:eastAsia="仿宋_GB2312" w:cs="DengXian-Regular"/>
          <w:sz w:val="32"/>
          <w:szCs w:val="32"/>
        </w:rPr>
        <w:t>26.34</w:t>
      </w:r>
      <w:r>
        <w:rPr>
          <w:rFonts w:hint="eastAsia" w:ascii="仿宋_GB2312" w:eastAsia="仿宋_GB2312" w:cs="DengXian-Regular"/>
          <w:sz w:val="32"/>
          <w:szCs w:val="32"/>
        </w:rPr>
        <w:t>万元，降低3.40%，主要是相关项目资金支出有所减少。</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w:t>
      </w:r>
      <w:r>
        <w:rPr>
          <w:rFonts w:ascii="仿宋_GB2312" w:eastAsia="仿宋_GB2312" w:cs="DengXian-Regular"/>
          <w:sz w:val="32"/>
          <w:szCs w:val="32"/>
        </w:rPr>
        <w:t>720.27</w:t>
      </w:r>
      <w:r>
        <w:rPr>
          <w:rFonts w:hint="eastAsia" w:ascii="仿宋_GB2312" w:eastAsia="仿宋_GB2312" w:cs="DengXian-Regular"/>
          <w:sz w:val="32"/>
          <w:szCs w:val="32"/>
        </w:rPr>
        <w:t>万元，其中：财政拨款收入</w:t>
      </w:r>
      <w:r>
        <w:rPr>
          <w:rFonts w:ascii="仿宋_GB2312" w:eastAsia="仿宋_GB2312" w:cs="DengXian-Regular"/>
          <w:sz w:val="32"/>
          <w:szCs w:val="32"/>
        </w:rPr>
        <w:t>720.27</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；事业收入0万元，占0%；经营收入0万元，占0%；其他收入0万元，占</w:t>
      </w:r>
      <w:bookmarkStart w:id="0" w:name="_Hlk1034451"/>
      <w:r>
        <w:rPr>
          <w:rFonts w:hint="eastAsia" w:ascii="仿宋_GB2312" w:eastAsia="仿宋_GB2312" w:cs="DengXian-Regular"/>
          <w:sz w:val="32"/>
          <w:szCs w:val="32"/>
        </w:rPr>
        <w:t>0%</w:t>
      </w:r>
      <w:bookmarkEnd w:id="0"/>
      <w:r>
        <w:rPr>
          <w:rFonts w:hint="eastAsia" w:ascii="仿宋_GB2312" w:eastAsia="仿宋_GB2312" w:cs="DengXian-Regular"/>
          <w:sz w:val="32"/>
          <w:szCs w:val="32"/>
        </w:rPr>
        <w:t>。如图所示：</w:t>
      </w:r>
    </w:p>
    <w:p>
      <w:pPr>
        <w:adjustRightInd w:val="0"/>
        <w:snapToGrid w:val="0"/>
        <w:spacing w:line="560" w:lineRule="exact"/>
        <w:ind w:firstLine="1920" w:firstLineChars="600"/>
        <w:rPr>
          <w:rFonts w:hint="eastAsia" w:ascii="仿宋_GB2312" w:eastAsia="仿宋_GB2312" w:cs="DengXian-Regular"/>
          <w:sz w:val="32"/>
          <w:szCs w:val="32"/>
        </w:rPr>
      </w:pPr>
      <w:r>
        <w:rPr>
          <w:rFonts w:hint="eastAsia" w:ascii="仿宋_GB2312" w:eastAsia="仿宋_GB2312" w:cs="DengXian-Regular"/>
          <w:sz w:val="32"/>
          <w:szCs w:val="32"/>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rPr>
      </w:pPr>
      <w:r>
        <w:drawing>
          <wp:inline distT="0" distB="0" distL="114300" distR="114300">
            <wp:extent cx="4572000" cy="2743200"/>
            <wp:effectExtent l="4445" t="4445" r="14605"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adjustRightInd w:val="0"/>
        <w:snapToGrid w:val="0"/>
        <w:spacing w:line="560" w:lineRule="exact"/>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w:t>
      </w:r>
      <w:r>
        <w:rPr>
          <w:rFonts w:ascii="仿宋_GB2312" w:eastAsia="仿宋_GB2312" w:cs="DengXian-Regular"/>
          <w:sz w:val="32"/>
          <w:szCs w:val="32"/>
        </w:rPr>
        <w:t>740.46</w:t>
      </w:r>
      <w:r>
        <w:rPr>
          <w:rFonts w:hint="eastAsia" w:ascii="仿宋_GB2312" w:eastAsia="仿宋_GB2312" w:cs="DengXian-Regular"/>
          <w:sz w:val="32"/>
          <w:szCs w:val="32"/>
        </w:rPr>
        <w:t>万元，其中：基本支出</w:t>
      </w:r>
      <w:r>
        <w:rPr>
          <w:rFonts w:ascii="仿宋_GB2312" w:eastAsia="仿宋_GB2312" w:cs="DengXian-Regular"/>
          <w:sz w:val="32"/>
          <w:szCs w:val="32"/>
        </w:rPr>
        <w:t>598.26</w:t>
      </w:r>
      <w:r>
        <w:rPr>
          <w:rFonts w:hint="eastAsia" w:ascii="仿宋_GB2312" w:eastAsia="仿宋_GB2312" w:cs="DengXian-Regular"/>
          <w:sz w:val="32"/>
          <w:szCs w:val="32"/>
        </w:rPr>
        <w:t>万元，占80.80%；项目支出</w:t>
      </w:r>
      <w:r>
        <w:rPr>
          <w:rFonts w:ascii="仿宋_GB2312" w:eastAsia="仿宋_GB2312" w:cs="DengXian-Regular"/>
          <w:sz w:val="32"/>
          <w:szCs w:val="32"/>
        </w:rPr>
        <w:t>142.2</w:t>
      </w:r>
      <w:r>
        <w:rPr>
          <w:rFonts w:hint="eastAsia" w:ascii="仿宋_GB2312" w:eastAsia="仿宋_GB2312" w:cs="DengXian-Regular"/>
          <w:sz w:val="32"/>
          <w:szCs w:val="32"/>
        </w:rPr>
        <w:t>万元，占19.20%；经营支出0万元，占0%。如图所示：</w:t>
      </w:r>
    </w:p>
    <w:p>
      <w:pPr>
        <w:adjustRightInd w:val="0"/>
        <w:snapToGrid w:val="0"/>
        <w:spacing w:line="560" w:lineRule="exact"/>
        <w:ind w:firstLine="1920" w:firstLineChars="600"/>
        <w:rPr>
          <w:rFonts w:hint="eastAsia"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rPr>
      </w:pPr>
      <w:r>
        <w:drawing>
          <wp:inline distT="0" distB="0" distL="114300" distR="114300">
            <wp:extent cx="4572000" cy="2743200"/>
            <wp:effectExtent l="4445" t="4445" r="14605" b="1460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560" w:lineRule="exact"/>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年初结转和结余60.2万元、本年收入720.27万元；本年支出740.46万元、年末结转和结余40.01万元。与2016年度决算相比，财政拨款本年收入减少106.73万元，降低13%，主要是项目减少，投入减少；本年支出减少26.34万元，降低3.40%，主要是相关项目资金支出有所减少。</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60.02万元、本年收入697.86万元；本年支出718.05万元、年末结转和结余40.01万元。与2016年度决算相比，一般公共预算财政拨款本年收入减少88.14万元，降低11%，主要是项目减少，投入减少；本年支出减少67.95万元，降低14%，主要是相关项目资金支出有所减少。</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0万元、本年收入22.41万元；本年支出22.41万元、年末结转和结余0万元。与2016年度决算相比，政府性基金预算财政拨款本年收入减少18.59万元，降低45%，主要是项目减少；本年支出减少18.59万元，降低45%，主要是项目减少。</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本部门2017年度财政拨款本年收入较2017年初预算增加213.57万元，增长42%，主要是临时事项支出增加；本年支出增加233.76万元，增长46%，主要是临时事项支出增加。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其中，本部门2017年度一般公共预算财政拨款本年收入较2017年初预算增加191.16万元，增长38%，主要是临时事项支出增加；本年支出增加211.35万元，增长42%，主要是临时事项支出增加。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本部门2017年度政府性基金预算财政拨款本年收入较2017年初预算增加22.41万元，增长100%，主要是临时项目增加；本年支出增加22.41万元，增长100%，主要是临时项目增加。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本部门2017年度“三公”经费支出共计3.26万元，较年初预算减少1.74万元，35%，主要是车辆减少；较2016年度决算减少0.34万元降低9%，主要是车辆减少。具体情况如下：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本部门2017年度参加其他单位组织的因公出国（境）团组0个、共0人/无本单位组织的出国（境）团组。因公出国（境）费支出较年初预算无增减变化,主要是未发生；较2016年度决算无增减变化,主要是未发生。</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（二）公务用车购置及运行维护费支出2.9万元。</w:t>
      </w:r>
      <w:r>
        <w:rPr>
          <w:rFonts w:hint="eastAsia" w:ascii="仿宋_GB2312" w:eastAsia="仿宋_GB2312" w:cs="DengXian-Regular"/>
          <w:sz w:val="32"/>
          <w:szCs w:val="32"/>
        </w:rPr>
        <w:t>本部门2017年度公务用车购置及运行维护费较年初预算减少1.74万元，降低35%,主要是车辆减少；较2016年度决算减少0.34万元，降低9%,主要是车辆减少。</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本部门2017年度公务用车购置量0辆，发生“公务用车购置”经费支出0万元。公务用车购置费支出较年初预算无增减变化,主要是未发生；较2016年度决算无增减变化,主要是未发生。</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本部门2017年度单位公务用车保有量1辆。公车运行维护费支出较年初预算减少1.1万元，降低28%,主要是车辆减少；较2016年度决算减少0.1万元，降低3%，主要是车辆支出减少。</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（三）公务接待费支出0.36万元。</w:t>
      </w:r>
      <w:r>
        <w:rPr>
          <w:rFonts w:hint="eastAsia" w:ascii="仿宋_GB2312" w:eastAsia="仿宋_GB2312" w:cs="DengXian-Regular"/>
          <w:sz w:val="32"/>
          <w:szCs w:val="32"/>
        </w:rPr>
        <w:t>本部门2017年度公务接待共11批次、120人次。公务接待费支出较年初预算减少</w:t>
      </w:r>
      <w:r>
        <w:rPr>
          <w:rFonts w:ascii="仿宋_GB2312" w:eastAsia="仿宋_GB2312" w:cs="DengXian-Regular"/>
          <w:sz w:val="32"/>
          <w:szCs w:val="32"/>
        </w:rPr>
        <w:t>1.14</w:t>
      </w:r>
      <w:r>
        <w:rPr>
          <w:rFonts w:hint="eastAsia" w:ascii="仿宋_GB2312" w:eastAsia="仿宋_GB2312" w:cs="DengXian-Regular"/>
          <w:sz w:val="32"/>
          <w:szCs w:val="32"/>
        </w:rPr>
        <w:t>万元，降低</w:t>
      </w:r>
      <w:r>
        <w:rPr>
          <w:rFonts w:ascii="仿宋_GB2312" w:eastAsia="仿宋_GB2312" w:cs="DengXian-Regular"/>
          <w:sz w:val="32"/>
          <w:szCs w:val="32"/>
        </w:rPr>
        <w:t>76</w:t>
      </w:r>
      <w:r>
        <w:rPr>
          <w:rFonts w:hint="eastAsia" w:ascii="仿宋_GB2312" w:eastAsia="仿宋_GB2312" w:cs="DengXian-Regular"/>
          <w:sz w:val="32"/>
          <w:szCs w:val="32"/>
        </w:rPr>
        <w:t>%,主要是公务接待减少；较2016年度决算减少0.24万元，降低</w:t>
      </w:r>
      <w:r>
        <w:rPr>
          <w:rFonts w:ascii="仿宋_GB2312" w:eastAsia="仿宋_GB2312" w:cs="DengXian-Regular"/>
          <w:sz w:val="32"/>
          <w:szCs w:val="32"/>
        </w:rPr>
        <w:t>40</w:t>
      </w:r>
      <w:r>
        <w:rPr>
          <w:rFonts w:hint="eastAsia" w:ascii="仿宋_GB2312" w:eastAsia="仿宋_GB2312" w:cs="DengXian-Regular"/>
          <w:sz w:val="32"/>
          <w:szCs w:val="32"/>
        </w:rPr>
        <w:t>%,主要是公务接待减少。</w:t>
      </w:r>
    </w:p>
    <w:p>
      <w:pPr>
        <w:pStyle w:val="3"/>
        <w:spacing w:before="0" w:after="0" w:line="560" w:lineRule="exact"/>
        <w:rPr>
          <w:rFonts w:ascii="黑体" w:eastAsia="黑体" w:cs="Times New Roman"/>
        </w:rPr>
      </w:pPr>
      <w:bookmarkStart w:id="3" w:name="_GoBack"/>
      <w:bookmarkEnd w:id="3"/>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pStyle w:val="3"/>
        <w:spacing w:after="0" w:line="560" w:lineRule="exact"/>
        <w:ind w:firstLine="640" w:firstLineChars="200"/>
        <w:rPr>
          <w:rFonts w:ascii="仿宋_GB2312" w:hAnsi="Times New Roman" w:eastAsia="仿宋_GB2312" w:cs="DengXian-Regular"/>
          <w:b w:val="0"/>
          <w:bCs w:val="0"/>
        </w:rPr>
      </w:pPr>
      <w:r>
        <w:rPr>
          <w:rFonts w:hint="eastAsia" w:ascii="仿宋_GB2312" w:hAnsi="Times New Roman" w:eastAsia="仿宋_GB2312" w:cs="DengXian-Regular"/>
          <w:b w:val="0"/>
          <w:bCs w:val="0"/>
        </w:rPr>
        <w:t>（一）绩效管理工作开展情况</w:t>
      </w:r>
    </w:p>
    <w:p>
      <w:pPr>
        <w:pStyle w:val="3"/>
        <w:spacing w:after="0" w:line="560" w:lineRule="exact"/>
        <w:ind w:firstLine="640" w:firstLineChars="200"/>
        <w:rPr>
          <w:rFonts w:ascii="仿宋_GB2312" w:hAnsi="Times New Roman" w:eastAsia="仿宋_GB2312" w:cs="DengXian-Regular"/>
          <w:b w:val="0"/>
          <w:bCs w:val="0"/>
        </w:rPr>
      </w:pPr>
      <w:r>
        <w:rPr>
          <w:rFonts w:hint="eastAsia" w:ascii="仿宋_GB2312" w:hAnsi="Times New Roman" w:eastAsia="仿宋_GB2312" w:cs="DengXian-Regular"/>
          <w:b w:val="0"/>
          <w:bCs w:val="0"/>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pStyle w:val="3"/>
        <w:spacing w:after="0" w:line="560" w:lineRule="exact"/>
        <w:ind w:firstLine="640" w:firstLineChars="200"/>
        <w:rPr>
          <w:rFonts w:ascii="仿宋_GB2312" w:hAnsi="Times New Roman" w:eastAsia="仿宋_GB2312" w:cs="DengXian-Regular"/>
          <w:b w:val="0"/>
          <w:bCs w:val="0"/>
        </w:rPr>
      </w:pPr>
      <w:r>
        <w:rPr>
          <w:rFonts w:hint="eastAsia" w:ascii="仿宋_GB2312" w:hAnsi="Times New Roman" w:eastAsia="仿宋_GB2312" w:cs="DengXian-Regular"/>
          <w:b w:val="0"/>
          <w:bCs w:val="0"/>
        </w:rPr>
        <w:t>（二）预算项目绩效评价开展情况</w:t>
      </w:r>
    </w:p>
    <w:p>
      <w:pPr>
        <w:pStyle w:val="3"/>
        <w:spacing w:after="0" w:line="560" w:lineRule="exact"/>
        <w:ind w:firstLine="640" w:firstLineChars="200"/>
        <w:rPr>
          <w:rFonts w:ascii="仿宋_GB2312" w:hAnsi="Times New Roman" w:eastAsia="仿宋_GB2312" w:cs="DengXian-Regular"/>
          <w:b w:val="0"/>
          <w:bCs w:val="0"/>
        </w:rPr>
      </w:pPr>
      <w:r>
        <w:rPr>
          <w:rFonts w:hint="eastAsia" w:ascii="仿宋_GB2312" w:hAnsi="Times New Roman" w:eastAsia="仿宋_GB2312" w:cs="DengXian-Regular"/>
          <w:b w:val="0"/>
          <w:bCs w:val="0"/>
        </w:rPr>
        <w:t>根据预算绩效管理要求，本单位组织对2017年度一般公共预算项目支出全面开展绩效自评，涉及</w:t>
      </w:r>
      <w:bookmarkStart w:id="1" w:name="_Hlk1034217"/>
      <w:r>
        <w:rPr>
          <w:rFonts w:hint="eastAsia" w:ascii="仿宋_GB2312" w:hAnsi="Times New Roman" w:eastAsia="仿宋_GB2312" w:cs="DengXian-Regular"/>
          <w:b w:val="0"/>
          <w:bCs w:val="0"/>
        </w:rPr>
        <w:t>乡村环境卫生整治、东侯坊乡有关信访的费用，千山路西延及规划二街张村公园段占地补偿项目</w:t>
      </w:r>
      <w:bookmarkEnd w:id="1"/>
      <w:r>
        <w:rPr>
          <w:rFonts w:hint="eastAsia" w:ascii="仿宋_GB2312" w:hAnsi="Times New Roman" w:eastAsia="仿宋_GB2312" w:cs="DengXian-Regular"/>
          <w:b w:val="0"/>
          <w:bCs w:val="0"/>
        </w:rPr>
        <w:t>，涉及资金</w:t>
      </w:r>
      <w:bookmarkStart w:id="2" w:name="_Hlk1034284"/>
      <w:r>
        <w:rPr>
          <w:rFonts w:ascii="仿宋_GB2312" w:hAnsi="Times New Roman" w:eastAsia="仿宋_GB2312" w:cs="DengXian-Regular"/>
          <w:b w:val="0"/>
          <w:bCs w:val="0"/>
        </w:rPr>
        <w:t>142.20672</w:t>
      </w:r>
      <w:bookmarkEnd w:id="2"/>
      <w:r>
        <w:rPr>
          <w:rFonts w:hint="eastAsia" w:ascii="仿宋_GB2312" w:hAnsi="Times New Roman" w:eastAsia="仿宋_GB2312" w:cs="DengXian-Regular"/>
          <w:b w:val="0"/>
          <w:bCs w:val="0"/>
        </w:rPr>
        <w:t>万元，自评结果为良好。</w:t>
      </w:r>
    </w:p>
    <w:p>
      <w:pPr>
        <w:pStyle w:val="3"/>
        <w:spacing w:after="0" w:line="560" w:lineRule="exact"/>
        <w:ind w:firstLine="640" w:firstLineChars="200"/>
        <w:rPr>
          <w:rFonts w:ascii="仿宋_GB2312" w:hAnsi="Times New Roman" w:eastAsia="仿宋_GB2312" w:cs="DengXian-Regular"/>
          <w:b w:val="0"/>
          <w:bCs w:val="0"/>
        </w:rPr>
      </w:pPr>
      <w:r>
        <w:rPr>
          <w:rFonts w:hint="eastAsia" w:ascii="仿宋_GB2312" w:hAnsi="Times New Roman" w:eastAsia="仿宋_GB2312" w:cs="DengXian-Regular"/>
          <w:b w:val="0"/>
          <w:bCs w:val="0"/>
        </w:rPr>
        <w:t>（三）预算项目绩效自评选例</w:t>
      </w:r>
    </w:p>
    <w:p>
      <w:pPr>
        <w:pStyle w:val="3"/>
        <w:spacing w:before="0" w:after="0" w:line="560" w:lineRule="exact"/>
        <w:ind w:firstLine="640" w:firstLineChars="200"/>
        <w:rPr>
          <w:rFonts w:ascii="黑体" w:eastAsia="黑体" w:cs="Times New Roman"/>
        </w:rPr>
      </w:pPr>
      <w:r>
        <w:rPr>
          <w:rFonts w:hint="eastAsia" w:ascii="仿宋_GB2312" w:hAnsi="Times New Roman" w:eastAsia="仿宋_GB2312" w:cs="DengXian-Regular"/>
          <w:b w:val="0"/>
          <w:bCs w:val="0"/>
        </w:rPr>
        <w:t>    本单位乡村环境卫生整治、东侯坊乡有关信访的费用，千山路西延及规划二街张村公园段占地补偿项目绩效自评：根据年初设定的绩效目标，乡村环境卫生整治、东侯坊乡有关信访的费用，千山路西延及规划二街张村公园段占地补偿项目项目自评结果为良好。项目全年预算数为</w:t>
      </w:r>
      <w:r>
        <w:rPr>
          <w:rFonts w:ascii="仿宋_GB2312" w:hAnsi="Times New Roman" w:eastAsia="仿宋_GB2312" w:cs="DengXian-Regular"/>
          <w:b w:val="0"/>
          <w:bCs w:val="0"/>
        </w:rPr>
        <w:t>142.20672</w:t>
      </w:r>
      <w:r>
        <w:rPr>
          <w:rFonts w:hint="eastAsia" w:ascii="仿宋_GB2312" w:hAnsi="Times New Roman" w:eastAsia="仿宋_GB2312" w:cs="DengXian-Regular"/>
          <w:b w:val="0"/>
          <w:bCs w:val="0"/>
        </w:rPr>
        <w:t>万元。完成预算的100%。</w:t>
      </w: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本部门2017年度机关运行经费支出214.9万元，比2016年度减少85.6万元，降低28%。主要原因是支出事项减少。</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w:t>
      </w:r>
      <w:r>
        <w:rPr>
          <w:rFonts w:ascii="仿宋_GB2312" w:eastAsia="仿宋_GB2312" w:cs="DengXian-Regular"/>
          <w:sz w:val="32"/>
          <w:szCs w:val="32"/>
        </w:rPr>
        <w:t>0</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截至2017年12月31日，本部门共有车辆1辆，其中，市级领导干部用车0辆、一般公务用车</w:t>
      </w:r>
      <w:r>
        <w:rPr>
          <w:rFonts w:ascii="仿宋_GB2312" w:eastAsia="仿宋_GB2312" w:cs="DengXian-Regular"/>
          <w:sz w:val="32"/>
          <w:szCs w:val="32"/>
        </w:rPr>
        <w:t>1</w:t>
      </w:r>
      <w:r>
        <w:rPr>
          <w:rFonts w:hint="eastAsia" w:ascii="仿宋_GB2312" w:eastAsia="仿宋_GB2312" w:cs="DengXian-Regular"/>
          <w:sz w:val="32"/>
          <w:szCs w:val="32"/>
        </w:rPr>
        <w:t>辆、一般执法执勤用车0辆、特种专业技术用车0辆、其他用车0辆，其他用车主要是无；单位价值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1、本部门2017年度国有资本经营预算财政拨款收入支出决算表为空、无收支及结转结余情况，故以空表列示。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第四部分名词解释</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01EFB"/>
    <w:rsid w:val="00024E7F"/>
    <w:rsid w:val="000475A0"/>
    <w:rsid w:val="00086340"/>
    <w:rsid w:val="000E2F81"/>
    <w:rsid w:val="00106A9D"/>
    <w:rsid w:val="00152FB8"/>
    <w:rsid w:val="001B3410"/>
    <w:rsid w:val="001C030D"/>
    <w:rsid w:val="001C1128"/>
    <w:rsid w:val="001E0FE7"/>
    <w:rsid w:val="001F7CF5"/>
    <w:rsid w:val="00227CBD"/>
    <w:rsid w:val="002C04C4"/>
    <w:rsid w:val="002C70D1"/>
    <w:rsid w:val="002D08B0"/>
    <w:rsid w:val="002F6259"/>
    <w:rsid w:val="00341C8F"/>
    <w:rsid w:val="00377DA7"/>
    <w:rsid w:val="00391D9D"/>
    <w:rsid w:val="003B6C51"/>
    <w:rsid w:val="003C1413"/>
    <w:rsid w:val="003C549F"/>
    <w:rsid w:val="003D5A16"/>
    <w:rsid w:val="003E6EA5"/>
    <w:rsid w:val="005C7DF1"/>
    <w:rsid w:val="005F4B66"/>
    <w:rsid w:val="00641318"/>
    <w:rsid w:val="006F209F"/>
    <w:rsid w:val="0070664B"/>
    <w:rsid w:val="007071B8"/>
    <w:rsid w:val="007414DE"/>
    <w:rsid w:val="0074752C"/>
    <w:rsid w:val="007905A9"/>
    <w:rsid w:val="007E5500"/>
    <w:rsid w:val="00840A97"/>
    <w:rsid w:val="00861751"/>
    <w:rsid w:val="00866BB1"/>
    <w:rsid w:val="00870B55"/>
    <w:rsid w:val="008C0149"/>
    <w:rsid w:val="008E0DC8"/>
    <w:rsid w:val="0092625D"/>
    <w:rsid w:val="00952EA6"/>
    <w:rsid w:val="009832EE"/>
    <w:rsid w:val="009A1ABE"/>
    <w:rsid w:val="009A6A0D"/>
    <w:rsid w:val="00A257BF"/>
    <w:rsid w:val="00A35CE0"/>
    <w:rsid w:val="00A44AA4"/>
    <w:rsid w:val="00A61623"/>
    <w:rsid w:val="00A84687"/>
    <w:rsid w:val="00A85AA8"/>
    <w:rsid w:val="00AD3B6E"/>
    <w:rsid w:val="00B05E6F"/>
    <w:rsid w:val="00B56722"/>
    <w:rsid w:val="00B83A00"/>
    <w:rsid w:val="00BC7962"/>
    <w:rsid w:val="00C3774E"/>
    <w:rsid w:val="00C661C8"/>
    <w:rsid w:val="00C87FAB"/>
    <w:rsid w:val="00C91FF7"/>
    <w:rsid w:val="00C94E53"/>
    <w:rsid w:val="00CC3F4D"/>
    <w:rsid w:val="00DB35AF"/>
    <w:rsid w:val="00DB66DF"/>
    <w:rsid w:val="00DF5B88"/>
    <w:rsid w:val="00E06113"/>
    <w:rsid w:val="00E2595E"/>
    <w:rsid w:val="00E35374"/>
    <w:rsid w:val="00E50C19"/>
    <w:rsid w:val="00E5123E"/>
    <w:rsid w:val="00E856C9"/>
    <w:rsid w:val="00EB6A8B"/>
    <w:rsid w:val="00EF38C6"/>
    <w:rsid w:val="00FE26CD"/>
    <w:rsid w:val="00FE3DC8"/>
    <w:rsid w:val="64E8519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7"/>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9"/>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uiPriority w:val="1"/>
  </w:style>
  <w:style w:type="table" w:default="1" w:styleId="11">
    <w:name w:val="Normal Table"/>
    <w:semiHidden/>
    <w:unhideWhenUsed/>
    <w:uiPriority w:val="99"/>
    <w:tblPr>
      <w:tblLayout w:type="fixed"/>
      <w:tblCellMar>
        <w:top w:w="0" w:type="dxa"/>
        <w:left w:w="108" w:type="dxa"/>
        <w:bottom w:w="0" w:type="dxa"/>
        <w:right w:w="108" w:type="dxa"/>
      </w:tblCellMar>
    </w:tblPr>
  </w:style>
  <w:style w:type="paragraph" w:styleId="6">
    <w:name w:val="Balloon Text"/>
    <w:basedOn w:val="1"/>
    <w:link w:val="18"/>
    <w:semiHidden/>
    <w:unhideWhenUsed/>
    <w:uiPriority w:val="99"/>
    <w:rPr>
      <w:sz w:val="18"/>
      <w:szCs w:val="18"/>
    </w:rPr>
  </w:style>
  <w:style w:type="paragraph" w:styleId="7">
    <w:name w:val="footer"/>
    <w:basedOn w:val="1"/>
    <w:link w:val="15"/>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4"/>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0"/>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0">
    <w:name w:val="Title"/>
    <w:basedOn w:val="1"/>
    <w:next w:val="1"/>
    <w:link w:val="19"/>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2">
    <w:name w:val="Table Grid"/>
    <w:basedOn w:val="11"/>
    <w:qFormat/>
    <w:uiPriority w:val="1"/>
    <w:pPr>
      <w:spacing w:after="0" w:line="240" w:lineRule="auto"/>
    </w:pPr>
    <w:rPr>
      <w:kern w:val="0"/>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Pr>
  </w:style>
  <w:style w:type="character" w:customStyle="1" w:styleId="14">
    <w:name w:val="页眉 字符"/>
    <w:basedOn w:val="13"/>
    <w:link w:val="8"/>
    <w:uiPriority w:val="99"/>
    <w:rPr>
      <w:sz w:val="18"/>
      <w:szCs w:val="18"/>
    </w:rPr>
  </w:style>
  <w:style w:type="character" w:customStyle="1" w:styleId="15">
    <w:name w:val="页脚 字符"/>
    <w:basedOn w:val="13"/>
    <w:link w:val="7"/>
    <w:uiPriority w:val="99"/>
    <w:rPr>
      <w:sz w:val="18"/>
      <w:szCs w:val="18"/>
    </w:rPr>
  </w:style>
  <w:style w:type="paragraph" w:styleId="16">
    <w:name w:val="No Spacing"/>
    <w:link w:val="17"/>
    <w:qFormat/>
    <w:uiPriority w:val="1"/>
    <w:pPr>
      <w:spacing w:after="160" w:line="480" w:lineRule="auto"/>
    </w:pPr>
    <w:rPr>
      <w:rFonts w:asciiTheme="minorHAnsi" w:hAnsiTheme="minorHAnsi" w:eastAsiaTheme="minorEastAsia" w:cstheme="minorBidi"/>
      <w:kern w:val="0"/>
      <w:sz w:val="22"/>
      <w:szCs w:val="22"/>
      <w:lang w:val="en-US" w:eastAsia="zh-CN" w:bidi="ar-SA"/>
    </w:rPr>
  </w:style>
  <w:style w:type="character" w:customStyle="1" w:styleId="17">
    <w:name w:val="无间隔 字符"/>
    <w:basedOn w:val="13"/>
    <w:link w:val="16"/>
    <w:uiPriority w:val="1"/>
    <w:rPr>
      <w:kern w:val="0"/>
      <w:sz w:val="22"/>
    </w:rPr>
  </w:style>
  <w:style w:type="character" w:customStyle="1" w:styleId="18">
    <w:name w:val="批注框文本 字符"/>
    <w:basedOn w:val="13"/>
    <w:link w:val="6"/>
    <w:semiHidden/>
    <w:qFormat/>
    <w:uiPriority w:val="99"/>
    <w:rPr>
      <w:rFonts w:ascii="Times New Roman" w:hAnsi="Times New Roman" w:eastAsia="宋体" w:cs="Times New Roman"/>
      <w:sz w:val="18"/>
      <w:szCs w:val="18"/>
    </w:rPr>
  </w:style>
  <w:style w:type="character" w:customStyle="1" w:styleId="19">
    <w:name w:val="标题 字符"/>
    <w:basedOn w:val="13"/>
    <w:link w:val="10"/>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0">
    <w:name w:val="副标题 字符"/>
    <w:basedOn w:val="13"/>
    <w:link w:val="9"/>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1">
    <w:name w:val="Style1"/>
    <w:basedOn w:val="13"/>
    <w:qFormat/>
    <w:uiPriority w:val="1"/>
    <w:rPr>
      <w:rFonts w:asciiTheme="minorHAnsi" w:hAnsiTheme="minorEastAsia" w:eastAsiaTheme="minorEastAsia" w:cstheme="minorBidi"/>
      <w:sz w:val="22"/>
      <w:szCs w:val="22"/>
      <w:lang w:eastAsia="zh-CN"/>
    </w:rPr>
  </w:style>
  <w:style w:type="character" w:customStyle="1" w:styleId="22">
    <w:name w:val="Style2"/>
    <w:basedOn w:val="13"/>
    <w:qFormat/>
    <w:uiPriority w:val="1"/>
    <w:rPr>
      <w:rFonts w:asciiTheme="minorHAnsi" w:hAnsiTheme="minorEastAsia" w:eastAsiaTheme="minorEastAsia" w:cstheme="minorBidi"/>
      <w:sz w:val="22"/>
      <w:szCs w:val="22"/>
      <w:lang w:eastAsia="zh-CN"/>
    </w:rPr>
  </w:style>
  <w:style w:type="character" w:customStyle="1" w:styleId="23">
    <w:name w:val="Style3"/>
    <w:basedOn w:val="13"/>
    <w:qFormat/>
    <w:uiPriority w:val="1"/>
    <w:rPr>
      <w:rFonts w:asciiTheme="minorHAnsi" w:hAnsiTheme="minorEastAsia" w:eastAsiaTheme="minorEastAsia" w:cstheme="minorBidi"/>
      <w:szCs w:val="22"/>
      <w:lang w:eastAsia="zh-CN"/>
    </w:rPr>
  </w:style>
  <w:style w:type="character" w:customStyle="1" w:styleId="24">
    <w:name w:val="Style4"/>
    <w:basedOn w:val="13"/>
    <w:qFormat/>
    <w:uiPriority w:val="1"/>
    <w:rPr>
      <w:rFonts w:asciiTheme="minorHAnsi" w:hAnsiTheme="minorEastAsia" w:eastAsiaTheme="minorEastAsia" w:cstheme="minorBidi"/>
      <w:szCs w:val="22"/>
      <w:lang w:eastAsia="zh-CN"/>
    </w:rPr>
  </w:style>
  <w:style w:type="character" w:customStyle="1" w:styleId="25">
    <w:name w:val="Style5"/>
    <w:basedOn w:val="13"/>
    <w:qFormat/>
    <w:uiPriority w:val="1"/>
    <w:rPr>
      <w:rFonts w:asciiTheme="minorHAnsi" w:hAnsiTheme="minorEastAsia" w:eastAsiaTheme="minorEastAsia" w:cstheme="minorBidi"/>
      <w:sz w:val="22"/>
      <w:szCs w:val="22"/>
      <w:lang w:eastAsia="zh-CN"/>
    </w:rPr>
  </w:style>
  <w:style w:type="character" w:customStyle="1" w:styleId="26">
    <w:name w:val="标题 1 字符"/>
    <w:basedOn w:val="13"/>
    <w:link w:val="2"/>
    <w:qFormat/>
    <w:uiPriority w:val="9"/>
    <w:rPr>
      <w:rFonts w:ascii="Times New Roman" w:hAnsi="Times New Roman" w:eastAsia="宋体" w:cs="Times New Roman"/>
      <w:b/>
      <w:bCs/>
      <w:kern w:val="44"/>
      <w:sz w:val="44"/>
      <w:szCs w:val="44"/>
    </w:rPr>
  </w:style>
  <w:style w:type="character" w:customStyle="1" w:styleId="27">
    <w:name w:val="标题 2 字符"/>
    <w:basedOn w:val="13"/>
    <w:link w:val="3"/>
    <w:qFormat/>
    <w:uiPriority w:val="9"/>
    <w:rPr>
      <w:rFonts w:asciiTheme="majorHAnsi" w:hAnsiTheme="majorHAnsi" w:eastAsiaTheme="majorEastAsia" w:cstheme="majorBidi"/>
      <w:b/>
      <w:bCs/>
      <w:sz w:val="32"/>
      <w:szCs w:val="32"/>
    </w:rPr>
  </w:style>
  <w:style w:type="character" w:customStyle="1" w:styleId="28">
    <w:name w:val="标题 3 字符"/>
    <w:basedOn w:val="13"/>
    <w:link w:val="4"/>
    <w:qFormat/>
    <w:uiPriority w:val="9"/>
    <w:rPr>
      <w:rFonts w:ascii="Times New Roman" w:hAnsi="Times New Roman" w:eastAsia="宋体" w:cs="Times New Roman"/>
      <w:b/>
      <w:bCs/>
      <w:sz w:val="32"/>
      <w:szCs w:val="32"/>
    </w:rPr>
  </w:style>
  <w:style w:type="character" w:customStyle="1" w:styleId="29">
    <w:name w:val="标题 4 字符"/>
    <w:basedOn w:val="13"/>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E:\2017&#20915;&#31639;\&#26080;&#26497;&#21439;&#19996;&#20505;&#22346;&#20065;&#20154;&#27665;&#25919;&#24220;2017.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E:\2017&#20915;&#31639;\&#26080;&#26497;&#21439;&#19996;&#20505;&#22346;&#20065;&#20154;&#27665;&#25919;&#24220;2017.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收入决算表</a:t>
            </a:r>
          </a:p>
        </c:rich>
      </c:tx>
      <c:layout>
        <c:manualLayout>
          <c:xMode val="edge"/>
          <c:yMode val="edge"/>
          <c:x val="0.416527777777778"/>
          <c:y val="0.0283018867924528"/>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multiLvlStrRef>
              <c:f>'[无极县东候坊乡人民政府2017.XLS]Z03 收入决算表(公开02表)'!$F$4:$K$8</c:f>
              <c:multiLvlStrCache>
                <c:ptCount val="6"/>
                <c:lvl>
                  <c:pt idx="0">
                    <c:v>2</c:v>
                  </c:pt>
                  <c:pt idx="1">
                    <c:v>3</c:v>
                  </c:pt>
                  <c:pt idx="2">
                    <c:v>4</c:v>
                  </c:pt>
                  <c:pt idx="3">
                    <c:v>5</c:v>
                  </c:pt>
                  <c:pt idx="4">
                    <c:v>6</c:v>
                  </c:pt>
                  <c:pt idx="5">
                    <c:v>7</c:v>
                  </c:pt>
                </c:lvl>
                <c:lvl/>
                <c:lvl/>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'[无极县东候坊乡人民政府2017.XLS]Z03 收入决算表(公开02表)'!$F$9:$K$9</c:f>
              <c:numCache>
                <c:formatCode>#,##0.00</c:formatCode>
                <c:ptCount val="6"/>
                <c:pt idx="0">
                  <c:v>720.27</c:v>
                </c:pt>
                <c:pt idx="1">
                  <c:v>0</c:v>
                </c:pt>
                <c:pt idx="2">
                  <c:v>0</c:v>
                </c:pt>
                <c:pt idx="3">
                  <c:v>0</c:v>
                </c:pt>
                <c:pt idx="4">
                  <c:v>0</c:v>
                </c:pt>
                <c:pt idx="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支出决算表</a:t>
            </a:r>
          </a:p>
        </c:rich>
      </c:tx>
      <c:layout>
        <c:manualLayout>
          <c:xMode val="edge"/>
          <c:yMode val="edge"/>
          <c:x val="0.418611111111111"/>
          <c:y val="0.0247641509433962"/>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multiLvlStrRef>
              <c:f>'[无极县东候坊乡人民政府2017.XLS]Z04 支出决算表(公开03表)'!$F$4:$J$8</c:f>
              <c:multiLvlStrCache>
                <c:ptCount val="5"/>
                <c:lvl>
                  <c:pt idx="0">
                    <c:v>2</c:v>
                  </c:pt>
                  <c:pt idx="1">
                    <c:v>3</c:v>
                  </c:pt>
                  <c:pt idx="2">
                    <c:v>4</c:v>
                  </c:pt>
                  <c:pt idx="3">
                    <c:v>5</c:v>
                  </c:pt>
                  <c:pt idx="4">
                    <c:v>6</c:v>
                  </c:pt>
                </c:lvl>
                <c:lvl/>
                <c:lvl/>
                <c:lvl/>
                <c:lvl>
                  <c:pt idx="0">
                    <c:v>基本支出</c:v>
                  </c:pt>
                  <c:pt idx="1">
                    <c:v>项目支出</c:v>
                  </c:pt>
                  <c:pt idx="2">
                    <c:v>上缴上级支出</c:v>
                  </c:pt>
                  <c:pt idx="3">
                    <c:v>经营支出</c:v>
                  </c:pt>
                  <c:pt idx="4">
                    <c:v>对附属单位补助支出</c:v>
                  </c:pt>
                </c:lvl>
              </c:multiLvlStrCache>
            </c:multiLvlStrRef>
          </c:cat>
          <c:val>
            <c:numRef>
              <c:f>'[无极县东候坊乡人民政府2017.XLS]Z04 支出决算表(公开03表)'!$F$9:$J$9</c:f>
              <c:numCache>
                <c:formatCode>#,##0.00</c:formatCode>
                <c:ptCount val="5"/>
                <c:pt idx="0">
                  <c:v>598.25</c:v>
                </c:pt>
                <c:pt idx="1">
                  <c:v>142.21</c:v>
                </c:pt>
                <c:pt idx="2">
                  <c:v>0</c:v>
                </c:pt>
                <c:pt idx="3">
                  <c:v>0</c:v>
                </c:pt>
                <c:pt idx="4">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DFCE3E4-036C-4358-A406-2508797902BD}">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715</Words>
  <Characters>4081</Characters>
  <Lines>34</Lines>
  <Paragraphs>9</Paragraphs>
  <TotalTime>443</TotalTime>
  <ScaleCrop>false</ScaleCrop>
  <LinksUpToDate>false</LinksUpToDate>
  <CharactersWithSpaces>4787</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123</cp:lastModifiedBy>
  <dcterms:modified xsi:type="dcterms:W3CDTF">2019-02-14T03:15:16Z</dcterms:modified>
  <dc:subject>石家庄市xxx部门</dc:subject>
  <dc:title>2017年度部门决算</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