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Default ContentType="image/png" Extension="pn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无极县郭庄镇人民政府</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郭庄镇人民政府</w:t>
      </w:r>
      <w:r>
        <w:rPr>
          <w:rFonts w:eastAsia="黑体"/>
          <w:sz w:val="32"/>
          <w:szCs w:val="32"/>
        </w:rPr>
        <w:t>部门概况</w:t>
      </w:r>
    </w:p>
    <w:p>
      <w:pPr>
        <w:widowControl/>
        <w:spacing w:line="580" w:lineRule="exact"/>
        <w:ind w:firstLine="1274"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4"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郭庄镇人民政府</w:t>
      </w:r>
      <w:r>
        <w:rPr>
          <w:rFonts w:eastAsia="黑体"/>
          <w:sz w:val="32"/>
          <w:szCs w:val="32"/>
        </w:rPr>
        <w:t>2017年度部门决算报表</w:t>
      </w:r>
    </w:p>
    <w:p>
      <w:pPr>
        <w:widowControl/>
        <w:spacing w:line="580" w:lineRule="exact"/>
        <w:ind w:left="640" w:firstLine="640" w:firstLineChars="200"/>
        <w:rPr>
          <w:rFonts w:eastAsia="仿宋_GB2312"/>
          <w:sz w:val="32"/>
          <w:szCs w:val="32"/>
        </w:rPr>
      </w:pPr>
      <w:bookmarkStart w:id="0" w:name="_Hlk536363871"/>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bookmarkEnd w:id="0"/>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郭庄镇人民政府</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一、部门职责</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部门职责1党政事务管理</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完成党委、人大、纪检、组织、宣传、环保、计生、民政、工会、共青团、妇联等工作，协调各办公室的工作关系；完成社会主义新农村的规划和建设工作；完成政府日常事务和机关后勤工作，完成党委政府交办的其他事项。</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部门职责2环保工作管理</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积极配合县委县政府的环境保护和污染治理工作，以更高站位、更负责的态度、更大的勇气、更有力的举措，全面打好蓝天保卫战，为山清水绿贡献力量。</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部门职责3社会事务管理</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负责民政工作，发展社会福利事业，做好民族宗教及残联工作，办理征兵事项，负责村民自治的选举工作，负责协调文化、教育、卫生等工作。</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部门职责4社会治安综合治理事务</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完成开展社会主义民主与法制教育；加强社会治安综合治理；做好司法、宗教工作，打击邪教；做好群众来信来访工作；调解民事纠纷、维护社会稳定，营造风清气正的社会环境。</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部门职责5城镇规划建设事务</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配合县委有关部门，完成编制镇建设规划，基础设施，公用设施的建设与管理及农村面貌改造</w:t>
      </w:r>
      <w:r>
        <w:rPr>
          <w:rFonts w:hint="eastAsia" w:ascii="仿宋_GB2312" w:hAnsi="Cambria" w:eastAsia="仿宋_GB2312" w:cs="ArialUnicodeMS"/>
          <w:kern w:val="0"/>
          <w:sz w:val="32"/>
          <w:szCs w:val="32"/>
          <w:lang w:eastAsia="zh-CN"/>
        </w:rPr>
        <w:t>。</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部门职责6劳动保障服务事务</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完成劳动法宣传、劳动就业、社会保障工作。</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部门职责7文化卫生服务站事务</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丰富群众文化卫生、娱乐、体育活动、完成新型农村合作医疗，广播电视村村通等工作，加强推进农村幸福院的建设完善。</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部门职责8社区服务中心事务</w:t>
      </w:r>
    </w:p>
    <w:p>
      <w:pPr>
        <w:autoSpaceDE w:val="0"/>
        <w:autoSpaceDN w:val="0"/>
        <w:adjustRightInd w:val="0"/>
        <w:spacing w:after="0" w:line="560" w:lineRule="exact"/>
        <w:ind w:firstLine="640" w:firstLineChars="200"/>
        <w:jc w:val="left"/>
        <w:rPr>
          <w:rFonts w:ascii="仿宋" w:hAnsi="仿宋" w:eastAsia="仿宋" w:cs="ArialUnicodeMS"/>
          <w:kern w:val="0"/>
          <w:sz w:val="32"/>
          <w:szCs w:val="32"/>
        </w:rPr>
      </w:pPr>
      <w:r>
        <w:rPr>
          <w:rFonts w:hint="eastAsia" w:ascii="仿宋" w:hAnsi="仿宋" w:eastAsia="仿宋" w:cs="ArialUnicodeMS"/>
          <w:kern w:val="0"/>
          <w:sz w:val="32"/>
          <w:szCs w:val="32"/>
        </w:rPr>
        <w:t>推进和谐社区的建设，健全服务网络，满足社区居民的物质、文化需求。</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部门职责9财政所</w:t>
      </w:r>
    </w:p>
    <w:p>
      <w:pPr>
        <w:autoSpaceDE w:val="0"/>
        <w:autoSpaceDN w:val="0"/>
        <w:adjustRightInd w:val="0"/>
        <w:spacing w:after="0" w:line="560" w:lineRule="exact"/>
        <w:ind w:firstLine="640" w:firstLineChars="200"/>
        <w:jc w:val="left"/>
        <w:rPr>
          <w:rFonts w:ascii="仿宋" w:hAnsi="仿宋" w:eastAsia="仿宋" w:cs="ArialUnicodeMS"/>
          <w:kern w:val="0"/>
          <w:sz w:val="32"/>
          <w:szCs w:val="32"/>
        </w:rPr>
      </w:pPr>
      <w:r>
        <w:rPr>
          <w:rFonts w:hint="eastAsia" w:ascii="仿宋" w:hAnsi="仿宋" w:eastAsia="仿宋" w:cs="ArialUnicodeMS"/>
          <w:kern w:val="0"/>
          <w:sz w:val="32"/>
          <w:szCs w:val="32"/>
        </w:rPr>
        <w:t>落实兑现各级惠农补助资金，对农民负担和农村政策实施监管；围绕乡镇财源建设搞好服务；农村财务管理指导、监督和审计，依法代理村级财务，财政项目资金管理和乡镇政府机关</w:t>
      </w:r>
      <w:r>
        <w:fldChar w:fldCharType="begin"/>
      </w:r>
      <w:r>
        <w:instrText xml:space="preserve">HYPERLINK "https://www.baidu.com/s?wd=%E8%B4%A2%E5%8A%A1%E4%BB%A3%E7%90%86&amp;tn=SE_PcZhidaonwhc_ngpagmjz&amp;rsv_dl=gh_pc_zhidao" \t "https://zhidao.baidu.com/question/_blank" </w:instrText>
      </w:r>
      <w:r>
        <w:fldChar w:fldCharType="separate"/>
      </w:r>
      <w:r>
        <w:rPr>
          <w:rFonts w:hint="eastAsia" w:ascii="仿宋" w:hAnsi="仿宋" w:eastAsia="仿宋" w:cs="ArialUnicodeMS"/>
          <w:kern w:val="0"/>
        </w:rPr>
        <w:t>财务代理</w:t>
      </w:r>
      <w:r>
        <w:fldChar w:fldCharType="end"/>
      </w:r>
      <w:r>
        <w:rPr>
          <w:rFonts w:hint="eastAsia" w:ascii="仿宋" w:hAnsi="仿宋" w:eastAsia="仿宋" w:cs="ArialUnicodeMS"/>
          <w:kern w:val="0"/>
          <w:sz w:val="32"/>
          <w:szCs w:val="32"/>
        </w:rPr>
        <w:t>；乡镇公有资产管理利用及村级集体资产监督管理；</w:t>
      </w:r>
      <w:r>
        <w:fldChar w:fldCharType="begin"/>
      </w:r>
      <w:r>
        <w:instrText xml:space="preserve">HYPERLINK "https://www.baidu.com/s?wd=%E8%B4%A2%E6%94%BF%E9%A2%84%E7%AE%97&amp;tn=SE_PcZhidaonwhc_ngpagmjz&amp;rsv_dl=gh_pc_zhidao" \t "https://zhidao.baidu.com/question/_blank" </w:instrText>
      </w:r>
      <w:r>
        <w:fldChar w:fldCharType="separate"/>
      </w:r>
      <w:r>
        <w:rPr>
          <w:rFonts w:hint="eastAsia" w:ascii="仿宋" w:hAnsi="仿宋" w:eastAsia="仿宋" w:cs="ArialUnicodeMS"/>
          <w:kern w:val="0"/>
          <w:sz w:val="32"/>
          <w:szCs w:val="32"/>
        </w:rPr>
        <w:t>财政预算</w:t>
      </w:r>
      <w:r>
        <w:fldChar w:fldCharType="end"/>
      </w:r>
      <w:r>
        <w:rPr>
          <w:rFonts w:hint="eastAsia" w:ascii="仿宋" w:hAnsi="仿宋" w:eastAsia="仿宋" w:cs="ArialUnicodeMS"/>
          <w:kern w:val="0"/>
          <w:sz w:val="32"/>
          <w:szCs w:val="32"/>
        </w:rPr>
        <w:t>、决算编制、执行及管理。</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二、部门决算单位构成</w:t>
      </w:r>
    </w:p>
    <w:p>
      <w:pPr>
        <w:autoSpaceDE w:val="0"/>
        <w:autoSpaceDN w:val="0"/>
        <w:adjustRightInd w:val="0"/>
        <w:spacing w:after="0" w:line="560" w:lineRule="exact"/>
        <w:ind w:firstLine="640" w:firstLineChars="200"/>
        <w:jc w:val="left"/>
        <w:sectPr>
          <w:pgSz w:w="11906" w:h="16838"/>
          <w:pgMar w:top="2098" w:right="1474" w:bottom="1985" w:left="1588" w:header="851" w:footer="992" w:gutter="0"/>
          <w:pgNumType w:start="0"/>
          <w:cols w:space="720" w:num="1"/>
          <w:titlePg/>
          <w:docGrid w:type="lines" w:linePitch="312"/>
        </w:sectPr>
      </w:pPr>
      <w:r>
        <w:rPr>
          <w:rFonts w:hint="eastAsia" w:ascii="仿宋" w:hAnsi="仿宋" w:eastAsia="仿宋" w:cs="ArialUnicodeMS"/>
          <w:kern w:val="0"/>
          <w:sz w:val="32"/>
          <w:szCs w:val="32"/>
        </w:rPr>
        <w:t>2017 年度，纳入本部门决算汇编范围的独立核算单位（以下简称“单位”）共1个，无极县郭庄镇人民政府，单位基本性质为行政单位，预算管理级次为一级预算单位，执行行政单位会计制度，较上年无增减变化。</w:t>
      </w: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left="640" w:firstLine="640" w:firstLineChars="200"/>
        <w:rPr>
          <w:rFonts w:eastAsia="仿宋_GB2312"/>
          <w:sz w:val="32"/>
          <w:szCs w:val="32"/>
        </w:rPr>
      </w:pPr>
    </w:p>
    <w:p>
      <w:pPr>
        <w:widowControl/>
        <w:spacing w:line="580" w:lineRule="exact"/>
        <w:ind w:left="640" w:firstLine="640" w:firstLineChars="200"/>
        <w:rPr>
          <w:rFonts w:eastAsia="仿宋_GB2312"/>
          <w:sz w:val="32"/>
          <w:szCs w:val="32"/>
        </w:rPr>
      </w:pPr>
    </w:p>
    <w:p>
      <w:pPr>
        <w:widowControl/>
        <w:spacing w:line="580" w:lineRule="exact"/>
        <w:ind w:left="640" w:firstLine="640" w:firstLineChars="200"/>
        <w:rPr>
          <w:rFonts w:eastAsia="仿宋_GB2312"/>
          <w:sz w:val="32"/>
          <w:szCs w:val="32"/>
        </w:rPr>
      </w:pPr>
    </w:p>
    <w:p>
      <w:pPr>
        <w:widowControl/>
        <w:spacing w:line="580" w:lineRule="exact"/>
        <w:ind w:left="640" w:firstLine="640" w:firstLineChars="200"/>
        <w:rPr>
          <w:rFonts w:eastAsia="仿宋_GB2312"/>
          <w:sz w:val="32"/>
          <w:szCs w:val="32"/>
        </w:rPr>
      </w:pPr>
    </w:p>
    <w:p>
      <w:pPr>
        <w:pStyle w:val="2"/>
        <w:spacing w:line="560" w:lineRule="exact"/>
        <w:jc w:val="center"/>
        <w:rPr>
          <w:rFonts w:ascii="宋体" w:hAnsi="宋体" w:eastAsia="宋体" w:cs="ArialUnicodeMS"/>
          <w:color w:val="000000"/>
          <w:kern w:val="0"/>
        </w:rPr>
      </w:pPr>
      <w:r>
        <w:rPr>
          <w:rFonts w:hint="eastAsia" w:ascii="宋体" w:hAnsi="宋体" w:eastAsia="宋体" w:cs="ArialUnicodeMS"/>
          <w:color w:val="00000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0万元，本年收入509.5万元；本年支出478.88万元、年末结转和结余30.62万元。与2016年度决算相比，本年收入减少354.6万元，降低41%，主要是财政拨款减少；本年支出减少385.2万元，降低45%，主要是财政拨款减少,压缩开支。</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本部门2017年度本年收入合计509.5万元，其中：财政拨款收入509.5万元，占100%；事业收入0万元，占0%；经营收入0万元，占0%；其他收入0万元，占0%。</w:t>
      </w:r>
      <w:r>
        <w:rPr>
          <w:rFonts w:hint="eastAsia" w:ascii="仿宋_GB2312" w:eastAsia="仿宋_GB2312" w:cs="DengXian-Regular"/>
          <w:sz w:val="32"/>
          <w:szCs w:val="32"/>
          <w:lang w:val="en-US" w:eastAsia="zh-CN"/>
        </w:rPr>
        <w:t>如图所示：</w:t>
      </w:r>
    </w:p>
    <w:p>
      <w:pPr>
        <w:adjustRightInd w:val="0"/>
        <w:snapToGrid w:val="0"/>
        <w:spacing w:line="560" w:lineRule="exact"/>
        <w:jc w:val="center"/>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图1：收入决算结构饼状图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rPr>
          <w:rFonts w:ascii="Times New Roman" w:hAnsi="Times New Roman" w:eastAsia="宋体" w:cs="Times New Roman"/>
          <w:kern w:val="2"/>
          <w:sz w:val="21"/>
          <w:szCs w:val="24"/>
          <w:lang w:val="en-US" w:eastAsia="zh-CN" w:bidi="ar-SA"/>
        </w:rPr>
        <w:pict>
          <v:shape id="图片框 1025" o:spid="_x0000_s1025" type="#_x0000_t75" style="height:201.2pt;width:442.1pt;rotation:0f;" o:ole="f" fillcolor="#FFFFFF" filled="f" o:preferrelative="t" stroked="f" coordorigin="0,0" coordsize="21600,21600">
            <v:fill on="f" color2="#FFFFFF" focus="0%"/>
            <v:imagedata gain="65536f" blacklevel="0f" gamma="0" o:title="" r:id="rId5"/>
            <o:lock v:ext="edit" position="f" selection="f" grouping="f" rotation="f" cropping="f" text="f" aspectratio="t"/>
            <w10:wrap type="none"/>
            <w10:anchorlock/>
          </v:shape>
        </w:pic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本部门2017年度本年支出合计478.88万元，其中：基本支出478.88万元，占100%；项目支出0万元，占0%；经营支出0万元，占0%。</w:t>
      </w:r>
      <w:r>
        <w:rPr>
          <w:rFonts w:hint="eastAsia" w:ascii="仿宋_GB2312" w:eastAsia="仿宋_GB2312" w:cs="DengXian-Regular"/>
          <w:sz w:val="32"/>
          <w:szCs w:val="32"/>
          <w:lang w:val="en-US" w:eastAsia="zh-CN"/>
        </w:rPr>
        <w:t>如图所示：</w:t>
      </w:r>
    </w:p>
    <w:p>
      <w:pPr>
        <w:adjustRightInd w:val="0"/>
        <w:snapToGrid w:val="0"/>
        <w:spacing w:line="560" w:lineRule="exact"/>
        <w:jc w:val="center"/>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图2：支出决算结构饼状图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rPr>
          <w:rFonts w:ascii="Times New Roman" w:hAnsi="Times New Roman" w:eastAsia="宋体" w:cs="Times New Roman"/>
          <w:kern w:val="2"/>
          <w:sz w:val="21"/>
          <w:szCs w:val="24"/>
          <w:lang w:val="en-US" w:eastAsia="zh-CN" w:bidi="ar-SA"/>
        </w:rPr>
        <w:pict>
          <v:shape id="图片框 1026" o:spid="_x0000_s1026" type="#_x0000_t75" style="height:201.2pt;width:442.1pt;rotation:0f;" o:ole="f" fillcolor="#FFFFFF" filled="f" o:preferrelative="t" stroked="f" coordorigin="0,0" coordsize="21600,21600">
            <v:fill on="f" color2="#FFFFFF" focus="0%"/>
            <v:imagedata gain="65536f" blacklevel="0f" gamma="0" o:title="" r:id="rId6"/>
            <o:lock v:ext="edit" position="f" selection="f" grouping="f" rotation="f" cropping="f" text="f"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0"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0万元、本年收入509.5万元；本年支出478.88万元、年末结转和结余30.62万元。与2016年度决算相比，一般公共预算财政拨款本年收入减少354.6万元，降低41%，主要是财政拨款减少；本年支出减少385.2万元，降低45%，主要是财政拨款减少,压缩开支。</w:t>
      </w:r>
    </w:p>
    <w:p>
      <w:pPr>
        <w:spacing w:after="0" w:line="560" w:lineRule="exact"/>
        <w:ind w:firstLine="640"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本部门2017年度一般公共预算财政拨款本年收入较2017年初预算增加1</w:t>
      </w:r>
      <w:r>
        <w:rPr>
          <w:rFonts w:ascii="仿宋_GB2312" w:eastAsia="仿宋_GB2312" w:cs="DengXian-Regular"/>
          <w:sz w:val="32"/>
          <w:szCs w:val="32"/>
        </w:rPr>
        <w:t>11.15</w:t>
      </w:r>
      <w:r>
        <w:rPr>
          <w:rFonts w:hint="eastAsia" w:ascii="仿宋_GB2312" w:eastAsia="仿宋_GB2312" w:cs="DengXian-Regular"/>
          <w:sz w:val="32"/>
          <w:szCs w:val="32"/>
        </w:rPr>
        <w:t>万元，增长2</w:t>
      </w:r>
      <w:r>
        <w:rPr>
          <w:rFonts w:ascii="仿宋_GB2312" w:eastAsia="仿宋_GB2312" w:cs="DengXian-Regular"/>
          <w:sz w:val="32"/>
          <w:szCs w:val="32"/>
        </w:rPr>
        <w:t>8</w:t>
      </w:r>
      <w:r>
        <w:rPr>
          <w:rFonts w:hint="eastAsia" w:ascii="仿宋_GB2312" w:eastAsia="仿宋_GB2312" w:cs="DengXian-Regular"/>
          <w:sz w:val="32"/>
          <w:szCs w:val="32"/>
        </w:rPr>
        <w:t>%，主要是工资增长及美丽乡村建设等支出增加；本年支出增加8</w:t>
      </w:r>
      <w:r>
        <w:rPr>
          <w:rFonts w:ascii="仿宋_GB2312" w:eastAsia="仿宋_GB2312" w:cs="DengXian-Regular"/>
          <w:sz w:val="32"/>
          <w:szCs w:val="32"/>
        </w:rPr>
        <w:t>0.53</w:t>
      </w:r>
      <w:r>
        <w:rPr>
          <w:rFonts w:hint="eastAsia" w:ascii="仿宋_GB2312" w:eastAsia="仿宋_GB2312" w:cs="DengXian-Regular"/>
          <w:sz w:val="32"/>
          <w:szCs w:val="32"/>
        </w:rPr>
        <w:t>万元，增长2</w:t>
      </w:r>
      <w:r>
        <w:rPr>
          <w:rFonts w:ascii="仿宋_GB2312" w:eastAsia="仿宋_GB2312" w:cs="DengXian-Regular"/>
          <w:sz w:val="32"/>
          <w:szCs w:val="32"/>
        </w:rPr>
        <w:t>0</w:t>
      </w:r>
      <w:r>
        <w:rPr>
          <w:rFonts w:hint="eastAsia" w:ascii="仿宋_GB2312" w:eastAsia="仿宋_GB2312" w:cs="DengXian-Regular"/>
          <w:sz w:val="32"/>
          <w:szCs w:val="32"/>
        </w:rPr>
        <w:t>%，主要是工资增长及美丽乡村建设等支出增加。</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本部门2017年度“三公”经费支出共计0.77万元，较年初预算增加减少2.23万元，降低74%，主要是节约公车使用；较2016年度决算减少2.23万元，降低74%，主要是节约公车使用。具体情况如下：</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,主要是无出国（境）活动；较2016年度决算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,主要是无出国（境）活动。</w:t>
      </w:r>
    </w:p>
    <w:p>
      <w:pPr>
        <w:adjustRightInd w:val="0"/>
        <w:snapToGrid w:val="0"/>
        <w:spacing w:after="0" w:line="560" w:lineRule="exact"/>
        <w:ind w:firstLine="640"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（二）公务用车购置及运行维护费支出0.77万元。</w:t>
      </w:r>
      <w:r>
        <w:rPr>
          <w:rFonts w:hint="eastAsia" w:ascii="仿宋_GB2312" w:eastAsia="仿宋_GB2312" w:cs="DengXian-Regular"/>
          <w:sz w:val="32"/>
          <w:szCs w:val="32"/>
        </w:rPr>
        <w:t>本部门2017年度公务用车购置及运行维护费较年初预算减少2.23万元，降低74%,主要是节约公车使用；较2016年度决算减少2.23万元，降低74%,主要是节约公车使用。</w:t>
      </w:r>
      <w:r>
        <w:rPr>
          <w:rFonts w:hint="eastAsia" w:ascii="仿宋_GB2312" w:eastAsia="仿宋_GB2312" w:cs="DengXian-Bold"/>
          <w:b/>
          <w:bCs/>
          <w:sz w:val="32"/>
          <w:szCs w:val="32"/>
        </w:rPr>
        <w:t>其中：</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本部门2017年度公务用车购置量0辆，发生“公务用车购置”经费支出0万元。公务用车购置费支出较年初预算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,主要是未购置车辆；较2016年度决算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,主要是未购置车辆。</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本部门2017年度单位公务用车保有量1辆。公车运行维护费支出较年初预算减少2.23万元，降低74%,主要是节约公车使用；较2016年度决算减少2.23元，降低74%，主要是节约公车使用。</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本部门2017年度公务接待共0批次、0人次。公务接待费支出较年初预算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,主要是未发生接待活动；较2016年度决算减少0.2万元，降低100%,主要是未发生接待活动。</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cs="黑体"/>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numPr>
          <w:ilvl w:val="0"/>
          <w:numId w:val="1"/>
        </w:num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本单位无民生项目和重点支出项目。</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0"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本部门2017年度机关运行经费支出92.12万元，比2016年度减少246.9万元，降低73%。主要原因是财政拨款减少，压缩开支。</w:t>
      </w:r>
    </w:p>
    <w:p>
      <w:pPr>
        <w:pStyle w:val="4"/>
        <w:spacing w:before="0" w:after="0" w:line="560" w:lineRule="exact"/>
        <w:ind w:firstLine="640"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本部门2017年度政府采购支出总额254.8万元，其中：政府采购货物支出0万元、政府采购工程支出254.8万元、政府采购服务支出0万元。</w:t>
      </w:r>
    </w:p>
    <w:p>
      <w:pPr>
        <w:pStyle w:val="4"/>
        <w:spacing w:before="0" w:after="0" w:line="560" w:lineRule="exact"/>
        <w:ind w:firstLine="640"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截至2017年12月31日，本部门共有车辆1辆，其中，市级领导干部用车0辆、一般公务用车1辆、一般执法执勤用车0辆、特种专业技术用车0辆、其他用车0辆；单位价值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w:t>
      </w:r>
    </w:p>
    <w:p>
      <w:pPr>
        <w:pStyle w:val="4"/>
        <w:spacing w:before="0" w:after="0" w:line="560" w:lineRule="exact"/>
        <w:ind w:firstLine="640"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1、本部门2017年度政府性基金预算财政拨款无收支及结转结余情况，故政府性基金预算财政拨款收入支出决算表以空表列示。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2、本部门2017年度国有资本经营预算财政拨款无收支及结转结余情况，故国有资本经营预算财政拨款收入支出决算表以空表列示。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、由于决算公开表格中金额数值应当保留两位小数，公开数据为四舍五入计算结果，个别数据合计项与分项之和存在小数点后差额，特此说明。</w:t>
      </w:r>
      <w:bookmarkStart w:id="1" w:name="_GoBack"/>
      <w:bookmarkEnd w:id="1"/>
    </w:p>
    <w:p>
      <w:pPr>
        <w:adjustRightInd w:val="0"/>
        <w:snapToGrid w:val="0"/>
        <w:spacing w:after="0" w:line="560" w:lineRule="exact"/>
        <w:ind w:firstLine="640" w:firstLineChars="200"/>
        <w:rPr>
          <w:rFonts w:ascii="仿宋_GB2312" w:eastAsia="仿宋_GB2312" w:cs="DengXian-Regular"/>
          <w:sz w:val="32"/>
          <w:szCs w:val="32"/>
        </w:rPr>
      </w:pPr>
    </w:p>
    <w:p>
      <w:pPr>
        <w:adjustRightInd w:val="0"/>
        <w:snapToGrid w:val="0"/>
        <w:spacing w:after="0" w:line="560" w:lineRule="exact"/>
        <w:ind w:firstLine="640" w:firstLineChars="200"/>
        <w:rPr>
          <w:rFonts w:ascii="仿宋_GB2312" w:eastAsia="仿宋_GB2312" w:cs="DengXian-Regular"/>
          <w:sz w:val="32"/>
          <w:szCs w:val="32"/>
        </w:rPr>
      </w:pPr>
    </w:p>
    <w:p>
      <w:pPr>
        <w:pStyle w:val="2"/>
        <w:jc w:val="center"/>
        <w:rPr>
          <w:rFonts w:ascii="宋体" w:hAnsi="宋体" w:eastAsia="宋体" w:cs="SimSun,Bold"/>
        </w:rPr>
      </w:pPr>
      <w:r>
        <w:rPr>
          <w:rFonts w:hint="eastAsia" w:ascii="宋体" w:hAnsi="宋体" w:eastAsia="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Cambria">
    <w:panose1 w:val="02040503050406030204"/>
    <w:charset w:val="00"/>
    <w:family w:val="auto"/>
    <w:pitch w:val="default"/>
    <w:sig w:usb0="E00006FF" w:usb1="420024FF" w:usb2="02000000" w:usb3="00000000" w:csb0="2000019F" w:csb1="00000000"/>
  </w:font>
  <w:font w:name="Calibri">
    <w:panose1 w:val="020F0502020204030204"/>
    <w:charset w:val="00"/>
    <w:family w:val="auto"/>
    <w:pitch w:val="default"/>
    <w:sig w:usb0="E0002AFF" w:usb1="C000247B" w:usb2="00000009" w:usb3="00000000" w:csb0="200001FF" w:csb1="00000000"/>
  </w:font>
  <w:font w:name="方正小标宋_GBK">
    <w:altName w:val="微软雅黑"/>
    <w:panose1 w:val="00000000000000000000"/>
    <w:charset w:val="86"/>
    <w:family w:val="auto"/>
    <w:pitch w:val="default"/>
    <w:sig w:usb0="00000000" w:usb1="080E0000" w:usb2="00000010" w:usb3="00000000" w:csb0="00040000" w:csb1="00000000"/>
  </w:font>
  <w:font w:name="仿宋_GB2312">
    <w:altName w:val="仿宋"/>
    <w:panose1 w:val="02010609030101010101"/>
    <w:charset w:val="86"/>
    <w:family w:val="auto"/>
    <w:pitch w:val="default"/>
    <w:sig w:usb0="00000000" w:usb1="080E0000" w:usb2="00000010" w:usb3="00000000" w:csb0="00040000" w:csb1="00000000"/>
  </w:font>
  <w:font w:name="ArialUnicodeMS">
    <w:altName w:val="Malgun Gothic"/>
    <w:panose1 w:val="00000000000000000000"/>
    <w:charset w:val="81"/>
    <w:family w:val="auto"/>
    <w:pitch w:val="default"/>
    <w:sig w:usb0="00000003" w:usb1="09060000" w:usb2="00000010" w:usb3="00000000" w:csb0="00080001"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80E0000" w:usb2="00000010" w:usb3="00000000" w:csb0="00040001" w:csb1="00000000"/>
  </w:font>
  <w:font w:name="楷体_GB2312">
    <w:altName w:val="楷体"/>
    <w:panose1 w:val="02010609030101010101"/>
    <w:charset w:val="86"/>
    <w:family w:val="auto"/>
    <w:pitch w:val="default"/>
    <w:sig w:usb0="00000000" w:usb1="080E0000" w:usb2="00000010" w:usb3="00000000" w:csb0="00040000" w:csb1="00000000"/>
  </w:font>
  <w:font w:name="DengXian-Bold">
    <w:altName w:val="宋体"/>
    <w:panose1 w:val="00000000000000000000"/>
    <w:charset w:val="86"/>
    <w:family w:val="auto"/>
    <w:pitch w:val="default"/>
    <w:sig w:usb0="00000000" w:usb1="080E0000" w:usb2="00000010" w:usb3="00000000" w:csb0="00040001" w:csb1="00000000"/>
  </w:font>
  <w:font w:name="TimesNewRomanPSMT">
    <w:altName w:val="Arial"/>
    <w:panose1 w:val="00000000000000000000"/>
    <w:charset w:val="00"/>
    <w:family w:val="auto"/>
    <w:pitch w:val="default"/>
    <w:sig w:usb0="00000003" w:usb1="00000000" w:usb2="00000000" w:usb3="00000000" w:csb0="00000001" w:csb1="00000000"/>
  </w:font>
  <w:font w:name="SimSun,Bold">
    <w:altName w:val="宋体"/>
    <w:panose1 w:val="00000000000000000000"/>
    <w:charset w:val="86"/>
    <w:family w:val="auto"/>
    <w:pitch w:val="default"/>
    <w:sig w:usb0="00000001" w:usb1="080E0000" w:usb2="00000010" w:usb3="00000000" w:csb0="00040000"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otum">
    <w:altName w:val="Verdana"/>
    <w:panose1 w:val="020B0600000101010101"/>
    <w:charset w:val="00"/>
    <w:family w:val="auto"/>
    <w:pitch w:val="default"/>
    <w:sig w:usb0="B00002AF" w:usb1="69D77CFB" w:usb2="00000030" w:usb3="00000000" w:csb0="4008009F" w:csb1="DFD70000"/>
  </w:font>
  <w:font w:name="Gulim">
    <w:altName w:val="Verdana"/>
    <w:panose1 w:val="020B0600000101010101"/>
    <w:charset w:val="00"/>
    <w:family w:val="auto"/>
    <w:pitch w:val="default"/>
    <w:sig w:usb0="B00002AF" w:usb1="69D77CFB" w:usb2="00000030" w:usb3="00000000" w:csb0="4008009F" w:csb1="DFD70000"/>
  </w:font>
  <w:font w:name="Verdana">
    <w:panose1 w:val="020B0604030504040204"/>
    <w:charset w:val="00"/>
    <w:family w:val="auto"/>
    <w:pitch w:val="default"/>
    <w:sig w:usb0="A00006FF" w:usb1="4000205B" w:usb2="0000001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0">
    <w:nsid w:val="0000000A"/>
    <w:multiLevelType w:val="singleLevel"/>
    <w:tmpl w:val="0000000A"/>
    <w:lvl w:ilvl="0" w:tentative="1">
      <w:start w:val="2"/>
      <w:numFmt w:val="chineseCounting"/>
      <w:suff w:val="nothing"/>
      <w:lvlText w:val="（%1）"/>
      <w:lvlJc w:val="left"/>
      <w:rPr>
        <w:rFonts w:hint="eastAsia"/>
      </w:rPr>
    </w:lvl>
  </w:abstractNum>
  <w:num w:numId="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5"/>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26"/>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27"/>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28"/>
    <w:pPr>
      <w:keepNext/>
      <w:keepLines/>
      <w:spacing w:before="280" w:after="290" w:line="376" w:lineRule="auto"/>
      <w:outlineLvl w:val="3"/>
    </w:pPr>
    <w:rPr>
      <w:rFonts w:ascii="Calibri" w:hAnsi="Calibri" w:eastAsia="宋体" w:cs="黑体"/>
      <w:b/>
      <w:bCs/>
      <w:sz w:val="28"/>
      <w:szCs w:val="28"/>
    </w:rPr>
  </w:style>
  <w:style w:type="character" w:default="1" w:styleId="10">
    <w:name w:val="Default Paragraph Font"/>
  </w:style>
  <w:style w:type="paragraph" w:styleId="6">
    <w:name w:val="footer"/>
    <w:basedOn w:val="1"/>
    <w:link w:val="15"/>
    <w:pPr>
      <w:tabs>
        <w:tab w:val="center" w:pos="4153"/>
        <w:tab w:val="right" w:pos="8306"/>
      </w:tabs>
      <w:snapToGrid w:val="0"/>
      <w:jc w:val="left"/>
    </w:pPr>
    <w:rPr>
      <w:sz w:val="18"/>
      <w:szCs w:val="18"/>
    </w:rPr>
  </w:style>
  <w:style w:type="paragraph" w:styleId="7">
    <w:name w:val="header"/>
    <w:basedOn w:val="1"/>
    <w:link w:val="14"/>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9"/>
    <w:pPr>
      <w:widowControl/>
      <w:numPr>
        <w:numId w:val="0"/>
      </w:numPr>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18"/>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styleId="11">
    <w:name w:val="Hyperlink"/>
    <w:basedOn w:val="10"/>
    <w:rPr>
      <w:color w:val="383838"/>
      <w:u w:val="none"/>
    </w:rPr>
  </w:style>
  <w:style w:type="paragraph" w:customStyle="1" w:styleId="12">
    <w:name w:val="批注框文本 Char Char"/>
    <w:basedOn w:val="1"/>
    <w:link w:val="17"/>
    <w:rPr>
      <w:rFonts w:ascii="Times New Roman" w:hAnsi="Times New Roman" w:eastAsia="宋体" w:cs="Times New Roman"/>
      <w:sz w:val="18"/>
      <w:szCs w:val="18"/>
    </w:rPr>
  </w:style>
  <w:style w:type="paragraph" w:customStyle="1" w:styleId="13">
    <w:name w:val="No Spacing"/>
    <w:link w:val="16"/>
    <w:rPr>
      <w:kern w:val="0"/>
      <w:sz w:val="22"/>
    </w:rPr>
  </w:style>
  <w:style w:type="character" w:customStyle="1" w:styleId="14">
    <w:name w:val="页眉 字符"/>
    <w:basedOn w:val="10"/>
    <w:link w:val="7"/>
    <w:semiHidden/>
    <w:rPr>
      <w:sz w:val="18"/>
      <w:szCs w:val="18"/>
    </w:rPr>
  </w:style>
  <w:style w:type="character" w:customStyle="1" w:styleId="15">
    <w:name w:val="页脚 字符"/>
    <w:basedOn w:val="10"/>
    <w:link w:val="6"/>
    <w:semiHidden/>
    <w:rPr>
      <w:sz w:val="18"/>
      <w:szCs w:val="18"/>
    </w:rPr>
  </w:style>
  <w:style w:type="character" w:customStyle="1" w:styleId="16">
    <w:name w:val="无间隔 字符"/>
    <w:basedOn w:val="10"/>
    <w:link w:val="13"/>
    <w:semiHidden/>
    <w:rPr>
      <w:kern w:val="0"/>
      <w:sz w:val="22"/>
    </w:rPr>
  </w:style>
  <w:style w:type="character" w:customStyle="1" w:styleId="17">
    <w:name w:val="批注框文本 字符"/>
    <w:basedOn w:val="10"/>
    <w:link w:val="12"/>
    <w:semiHidden/>
    <w:rPr>
      <w:rFonts w:ascii="Times New Roman" w:hAnsi="Times New Roman" w:eastAsia="宋体" w:cs="Times New Roman"/>
      <w:sz w:val="18"/>
      <w:szCs w:val="18"/>
    </w:rPr>
  </w:style>
  <w:style w:type="character" w:customStyle="1" w:styleId="18">
    <w:name w:val="标题 字符"/>
    <w:basedOn w:val="10"/>
    <w:link w:val="9"/>
    <w:semiHidden/>
    <w:rPr>
      <w:rFonts w:ascii="Calibri" w:hAnsi="Calibri" w:eastAsia="宋体" w:cs="黑体"/>
      <w:color w:val="392B23"/>
      <w:spacing w:val="5"/>
      <w:kern w:val="28"/>
      <w:sz w:val="52"/>
      <w:szCs w:val="52"/>
    </w:rPr>
  </w:style>
  <w:style w:type="character" w:customStyle="1" w:styleId="19">
    <w:name w:val="副标题 字符"/>
    <w:basedOn w:val="10"/>
    <w:link w:val="8"/>
    <w:semiHidden/>
    <w:rPr>
      <w:rFonts w:ascii="Calibri" w:hAnsi="Calibri" w:eastAsia="宋体" w:cs="黑体"/>
      <w:i/>
      <w:iCs/>
      <w:color w:val="F0A22E"/>
      <w:spacing w:val="15"/>
      <w:kern w:val="0"/>
      <w:sz w:val="24"/>
      <w:szCs w:val="24"/>
    </w:rPr>
  </w:style>
  <w:style w:type="character" w:customStyle="1" w:styleId="20">
    <w:name w:val="Style1"/>
    <w:basedOn w:val="10"/>
    <w:rPr>
      <w:rFonts w:ascii="Cambria" w:hAnsi="黑体" w:eastAsia="黑体" w:cs="黑体"/>
      <w:sz w:val="22"/>
      <w:szCs w:val="22"/>
      <w:lang w:eastAsia="zh-CN"/>
    </w:rPr>
  </w:style>
  <w:style w:type="character" w:customStyle="1" w:styleId="21">
    <w:name w:val="Style2"/>
    <w:basedOn w:val="10"/>
    <w:rPr>
      <w:rFonts w:ascii="Cambria" w:hAnsi="黑体" w:eastAsia="黑体" w:cs="黑体"/>
      <w:sz w:val="22"/>
      <w:szCs w:val="22"/>
      <w:lang w:eastAsia="zh-CN"/>
    </w:rPr>
  </w:style>
  <w:style w:type="character" w:customStyle="1" w:styleId="22">
    <w:name w:val="Style3"/>
    <w:basedOn w:val="10"/>
    <w:rPr>
      <w:rFonts w:ascii="Cambria" w:hAnsi="黑体" w:eastAsia="黑体" w:cs="黑体"/>
      <w:szCs w:val="22"/>
      <w:lang w:eastAsia="zh-CN"/>
    </w:rPr>
  </w:style>
  <w:style w:type="character" w:customStyle="1" w:styleId="23">
    <w:name w:val="Style4"/>
    <w:basedOn w:val="10"/>
    <w:rPr>
      <w:rFonts w:ascii="Cambria" w:hAnsi="黑体" w:eastAsia="黑体" w:cs="黑体"/>
      <w:szCs w:val="22"/>
      <w:lang w:eastAsia="zh-CN"/>
    </w:rPr>
  </w:style>
  <w:style w:type="character" w:customStyle="1" w:styleId="24">
    <w:name w:val="Style5"/>
    <w:basedOn w:val="10"/>
    <w:rPr>
      <w:rFonts w:ascii="Cambria" w:hAnsi="黑体" w:eastAsia="黑体" w:cs="黑体"/>
      <w:sz w:val="22"/>
      <w:szCs w:val="22"/>
      <w:lang w:eastAsia="zh-CN"/>
    </w:rPr>
  </w:style>
  <w:style w:type="character" w:customStyle="1" w:styleId="25">
    <w:name w:val="标题 1 字符"/>
    <w:basedOn w:val="10"/>
    <w:link w:val="2"/>
    <w:semiHidden/>
    <w:rPr>
      <w:rFonts w:ascii="Times New Roman" w:hAnsi="Times New Roman" w:eastAsia="宋体" w:cs="Times New Roman"/>
      <w:b/>
      <w:bCs/>
      <w:kern w:val="44"/>
      <w:sz w:val="44"/>
      <w:szCs w:val="44"/>
    </w:rPr>
  </w:style>
  <w:style w:type="character" w:customStyle="1" w:styleId="26">
    <w:name w:val="标题 2 字符"/>
    <w:basedOn w:val="10"/>
    <w:link w:val="3"/>
    <w:semiHidden/>
    <w:rPr>
      <w:rFonts w:ascii="Calibri" w:hAnsi="Calibri" w:eastAsia="宋体" w:cs="黑体"/>
      <w:b/>
      <w:bCs/>
      <w:sz w:val="32"/>
      <w:szCs w:val="32"/>
    </w:rPr>
  </w:style>
  <w:style w:type="character" w:customStyle="1" w:styleId="27">
    <w:name w:val="标题 3 字符"/>
    <w:basedOn w:val="10"/>
    <w:link w:val="4"/>
    <w:semiHidden/>
    <w:rPr>
      <w:rFonts w:ascii="Times New Roman" w:hAnsi="Times New Roman" w:eastAsia="宋体" w:cs="Times New Roman"/>
      <w:b/>
      <w:bCs/>
      <w:sz w:val="32"/>
      <w:szCs w:val="32"/>
    </w:rPr>
  </w:style>
  <w:style w:type="character" w:customStyle="1" w:styleId="28">
    <w:name w:val="标题 4 字符"/>
    <w:basedOn w:val="10"/>
    <w:link w:val="5"/>
    <w:semiHidden/>
    <w:rPr>
      <w:rFonts w:ascii="Calibri" w:hAnsi="Calibri" w:eastAsia="宋体" w:cs="黑体"/>
      <w:b/>
      <w:bCs/>
      <w:sz w:val="28"/>
      <w:szCs w:val="28"/>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customXml" Target="../customXml/item1.xml"/><Relationship Id="rId8"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778</Words>
  <Characters>4438</Characters>
  <Lines>36</Lines>
  <Paragraphs>10</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2018-08-30T08:38:00Z</dcterms:created>
  <dc:creator>User</dc:creator>
  <dcterms:modified xsi:type="dcterms:W3CDTF">2019-02-12T10:00:27Z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