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rPr>
          <w:rFonts w:ascii="黑体" w:hAnsi="宋体" w:eastAsia="黑体"/>
          <w:color w:val="002060"/>
          <w:sz w:val="84"/>
          <w:szCs w:val="84"/>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无极县委党校</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无极县委党校</w:t>
      </w:r>
      <w:r>
        <w:rPr>
          <w:rFonts w:eastAsia="黑体"/>
          <w:sz w:val="32"/>
          <w:szCs w:val="32"/>
        </w:rPr>
        <w:t>概况</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无极县委党校</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无极县委党校</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hint="eastAsia" w:eastAsia="仿宋_GB2312"/>
          <w:sz w:val="32"/>
          <w:szCs w:val="32"/>
        </w:rPr>
        <w:t>1</w:t>
      </w:r>
      <w:r>
        <w:rPr>
          <w:rFonts w:eastAsia="仿宋_GB2312"/>
          <w:sz w:val="32"/>
          <w:szCs w:val="32"/>
        </w:rPr>
        <w:t>.政府采购情况</w:t>
      </w:r>
    </w:p>
    <w:p>
      <w:pPr>
        <w:widowControl/>
        <w:spacing w:line="580" w:lineRule="exact"/>
        <w:ind w:left="640" w:firstLine="1344" w:firstLineChars="420"/>
        <w:rPr>
          <w:rFonts w:eastAsia="仿宋_GB2312"/>
          <w:sz w:val="32"/>
          <w:szCs w:val="32"/>
        </w:rPr>
      </w:pPr>
      <w:r>
        <w:rPr>
          <w:rFonts w:hint="eastAsia" w:eastAsia="仿宋_GB2312"/>
          <w:sz w:val="32"/>
          <w:szCs w:val="32"/>
        </w:rPr>
        <w:t>2</w:t>
      </w:r>
      <w:r>
        <w:rPr>
          <w:rFonts w:eastAsia="仿宋_GB2312"/>
          <w:sz w:val="32"/>
          <w:szCs w:val="32"/>
        </w:rPr>
        <w:t>.国有资产占用情况</w:t>
      </w:r>
    </w:p>
    <w:p>
      <w:pPr>
        <w:widowControl/>
        <w:spacing w:line="580" w:lineRule="exact"/>
        <w:ind w:left="640" w:firstLine="1344" w:firstLineChars="420"/>
        <w:rPr>
          <w:rFonts w:eastAsia="仿宋_GB2312"/>
          <w:sz w:val="32"/>
          <w:szCs w:val="32"/>
        </w:rPr>
      </w:pPr>
      <w:r>
        <w:rPr>
          <w:rFonts w:hint="eastAsia" w:eastAsia="仿宋_GB2312"/>
          <w:sz w:val="32"/>
          <w:szCs w:val="32"/>
        </w:rPr>
        <w:t>3</w:t>
      </w:r>
      <w:r>
        <w:rPr>
          <w:rFonts w:eastAsia="仿宋_GB2312"/>
          <w:sz w:val="32"/>
          <w:szCs w:val="32"/>
        </w:rPr>
        <w:t>.其他需要说明的情况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numPr>
          <w:ilvl w:val="0"/>
          <w:numId w:val="1"/>
        </w:numPr>
        <w:spacing w:before="0" w:after="0" w:line="560" w:lineRule="exact"/>
        <w:ind w:firstLine="643" w:firstLineChars="200"/>
        <w:rPr>
          <w:rFonts w:ascii="黑体" w:hAnsi="Cambria" w:eastAsia="黑体"/>
          <w:kern w:val="0"/>
        </w:rPr>
      </w:pPr>
      <w:r>
        <w:rPr>
          <w:rFonts w:hint="eastAsia" w:ascii="黑体" w:hAnsi="Cambria" w:eastAsia="黑体"/>
          <w:kern w:val="0"/>
        </w:rPr>
        <w:t>部门职责</w:t>
      </w:r>
    </w:p>
    <w:p>
      <w:pPr>
        <w:ind w:firstLine="640" w:firstLineChars="200"/>
      </w:pPr>
      <w:r>
        <w:rPr>
          <w:rFonts w:hint="eastAsia" w:ascii="仿宋_GB2312" w:hAnsi="Cambria" w:eastAsia="仿宋_GB2312" w:cs="ArialUnicodeMS"/>
          <w:kern w:val="0"/>
          <w:sz w:val="32"/>
          <w:szCs w:val="32"/>
        </w:rPr>
        <w:t>县委党校是学习研究马克思主义、毛泽东思想、中国特色社会主义理论和习近平新时代中国特色社会主义思想的重要阵地，是干部增强党性锻炼的熔炉，肩负着培养党的理论骨干、培训轮训党的基层党员干部、加强党的执政能力建设以及发挥思想库作用，为县委县政府提供咨政的重要职责。</w:t>
      </w:r>
    </w:p>
    <w:p>
      <w:pPr>
        <w:pStyle w:val="5"/>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240" w:lineRule="auto"/>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年度，纳入本部门决算汇编范围的独立核算单位（以下简称“单位”）共1 个 ，单位基本性质为全额事业单位，预算管理级次为1级预算单位，执行事业单位会计制度，较上年无增减变化。具体如下表：</w:t>
      </w:r>
    </w:p>
    <w:tbl>
      <w:tblPr>
        <w:tblW w:w="9852" w:type="dxa"/>
        <w:jc w:val="center"/>
        <w:tblInd w:w="320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840"/>
        <w:gridCol w:w="711"/>
        <w:gridCol w:w="1440"/>
        <w:gridCol w:w="420"/>
        <w:gridCol w:w="887"/>
        <w:gridCol w:w="709"/>
        <w:gridCol w:w="709"/>
        <w:gridCol w:w="709"/>
        <w:gridCol w:w="708"/>
        <w:gridCol w:w="709"/>
        <w:gridCol w:w="709"/>
      </w:tblGrid>
      <w:tr>
        <w:trPr>
          <w:trHeight w:val="227" w:hRule="atLeast"/>
          <w:tblHeader/>
          <w:jc w:val="center"/>
        </w:trPr>
        <w:tc>
          <w:tcPr>
            <w:tcW w:w="1301" w:type="dxa"/>
            <w:vMerge w:val="restart"/>
            <w:vAlign w:val="center"/>
          </w:tcPr>
          <w:p>
            <w:pPr>
              <w:spacing w:line="300" w:lineRule="exact"/>
              <w:rPr>
                <w:rFonts w:ascii="仿宋" w:hAnsi="仿宋" w:eastAsia="仿宋"/>
                <w:b/>
                <w:sz w:val="24"/>
              </w:rPr>
            </w:pPr>
            <w:r>
              <w:rPr>
                <w:rFonts w:hint="eastAsia" w:ascii="仿宋" w:hAnsi="仿宋" w:eastAsia="仿宋"/>
                <w:b/>
                <w:sz w:val="24"/>
              </w:rPr>
              <w:t>单位名称</w:t>
            </w:r>
          </w:p>
        </w:tc>
        <w:tc>
          <w:tcPr>
            <w:tcW w:w="840" w:type="dxa"/>
            <w:vMerge w:val="restart"/>
            <w:vAlign w:val="center"/>
          </w:tcPr>
          <w:p>
            <w:pPr>
              <w:spacing w:line="300" w:lineRule="exact"/>
              <w:jc w:val="center"/>
              <w:rPr>
                <w:rFonts w:ascii="仿宋" w:hAnsi="仿宋" w:eastAsia="仿宋"/>
                <w:b/>
                <w:sz w:val="24"/>
              </w:rPr>
            </w:pPr>
            <w:r>
              <w:rPr>
                <w:rFonts w:hint="eastAsia" w:ascii="仿宋" w:hAnsi="仿宋" w:eastAsia="仿宋"/>
                <w:b/>
                <w:sz w:val="24"/>
              </w:rPr>
              <w:t>单位性质</w:t>
            </w:r>
          </w:p>
        </w:tc>
        <w:tc>
          <w:tcPr>
            <w:tcW w:w="711" w:type="dxa"/>
            <w:vMerge w:val="restart"/>
            <w:vAlign w:val="center"/>
          </w:tcPr>
          <w:p>
            <w:pPr>
              <w:spacing w:line="300" w:lineRule="exact"/>
              <w:rPr>
                <w:rFonts w:ascii="仿宋" w:hAnsi="仿宋" w:eastAsia="仿宋"/>
                <w:b/>
                <w:sz w:val="24"/>
              </w:rPr>
            </w:pPr>
            <w:r>
              <w:rPr>
                <w:rFonts w:hint="eastAsia" w:ascii="仿宋" w:hAnsi="仿宋" w:eastAsia="仿宋"/>
                <w:b/>
                <w:sz w:val="24"/>
              </w:rPr>
              <w:t>单位规格</w:t>
            </w:r>
          </w:p>
        </w:tc>
        <w:tc>
          <w:tcPr>
            <w:tcW w:w="1440" w:type="dxa"/>
            <w:vMerge w:val="restart"/>
            <w:vAlign w:val="center"/>
          </w:tcPr>
          <w:p>
            <w:pPr>
              <w:spacing w:line="300" w:lineRule="exact"/>
              <w:rPr>
                <w:rFonts w:ascii="仿宋" w:hAnsi="仿宋" w:eastAsia="仿宋"/>
                <w:b/>
                <w:sz w:val="24"/>
              </w:rPr>
            </w:pPr>
            <w:r>
              <w:rPr>
                <w:rFonts w:hint="eastAsia" w:ascii="仿宋" w:hAnsi="仿宋" w:eastAsia="仿宋"/>
                <w:b/>
                <w:sz w:val="24"/>
              </w:rPr>
              <w:t>经费保障形式</w:t>
            </w:r>
          </w:p>
        </w:tc>
        <w:tc>
          <w:tcPr>
            <w:tcW w:w="420" w:type="dxa"/>
            <w:vMerge w:val="restart"/>
            <w:vAlign w:val="center"/>
          </w:tcPr>
          <w:p>
            <w:pPr>
              <w:spacing w:line="300" w:lineRule="exact"/>
              <w:rPr>
                <w:rFonts w:ascii="仿宋" w:hAnsi="仿宋" w:eastAsia="仿宋"/>
                <w:b/>
                <w:sz w:val="24"/>
              </w:rPr>
            </w:pPr>
            <w:r>
              <w:rPr>
                <w:rFonts w:hint="eastAsia" w:ascii="仿宋" w:hAnsi="仿宋" w:eastAsia="仿宋"/>
                <w:b/>
                <w:sz w:val="24"/>
              </w:rPr>
              <w:t>车辆编制数</w:t>
            </w:r>
          </w:p>
        </w:tc>
        <w:tc>
          <w:tcPr>
            <w:tcW w:w="1596" w:type="dxa"/>
            <w:gridSpan w:val="2"/>
            <w:vAlign w:val="center"/>
          </w:tcPr>
          <w:p>
            <w:pPr>
              <w:spacing w:line="300" w:lineRule="exact"/>
              <w:rPr>
                <w:rFonts w:ascii="仿宋" w:hAnsi="仿宋" w:eastAsia="仿宋"/>
                <w:b/>
                <w:sz w:val="24"/>
              </w:rPr>
            </w:pPr>
            <w:r>
              <w:rPr>
                <w:rFonts w:hint="eastAsia" w:ascii="仿宋" w:hAnsi="仿宋" w:eastAsia="仿宋"/>
                <w:b/>
                <w:sz w:val="24"/>
              </w:rPr>
              <w:t>编制人数</w:t>
            </w:r>
          </w:p>
        </w:tc>
        <w:tc>
          <w:tcPr>
            <w:tcW w:w="1418" w:type="dxa"/>
            <w:gridSpan w:val="2"/>
            <w:vAlign w:val="center"/>
          </w:tcPr>
          <w:p>
            <w:pPr>
              <w:spacing w:line="300" w:lineRule="exact"/>
              <w:rPr>
                <w:rFonts w:ascii="仿宋" w:hAnsi="仿宋" w:eastAsia="仿宋"/>
                <w:b/>
                <w:sz w:val="24"/>
              </w:rPr>
            </w:pPr>
            <w:r>
              <w:rPr>
                <w:rFonts w:hint="eastAsia" w:ascii="仿宋" w:hAnsi="仿宋" w:eastAsia="仿宋"/>
                <w:b/>
                <w:sz w:val="24"/>
              </w:rPr>
              <w:t>在职人数</w:t>
            </w:r>
          </w:p>
        </w:tc>
        <w:tc>
          <w:tcPr>
            <w:tcW w:w="2126" w:type="dxa"/>
            <w:gridSpan w:val="3"/>
            <w:vAlign w:val="center"/>
          </w:tcPr>
          <w:p>
            <w:pPr>
              <w:spacing w:line="300" w:lineRule="exact"/>
              <w:ind w:firstLine="480"/>
              <w:jc w:val="center"/>
              <w:rPr>
                <w:rFonts w:ascii="仿宋" w:hAnsi="仿宋" w:eastAsia="仿宋"/>
                <w:b/>
                <w:sz w:val="24"/>
              </w:rPr>
            </w:pPr>
            <w:r>
              <w:rPr>
                <w:rFonts w:hint="eastAsia" w:ascii="仿宋" w:hAnsi="仿宋" w:eastAsia="仿宋"/>
                <w:b/>
                <w:sz w:val="24"/>
              </w:rPr>
              <w:t>离退人数</w:t>
            </w:r>
          </w:p>
        </w:tc>
      </w:tr>
      <w:tr>
        <w:trPr>
          <w:trHeight w:val="345" w:hRule="atLeast"/>
          <w:tblHeader/>
          <w:jc w:val="center"/>
        </w:trPr>
        <w:tc>
          <w:tcPr>
            <w:tcW w:w="1301" w:type="dxa"/>
            <w:vMerge w:val="continue"/>
            <w:vAlign w:val="center"/>
          </w:tcPr>
          <w:p>
            <w:pPr>
              <w:spacing w:line="300" w:lineRule="exact"/>
              <w:ind w:firstLine="480"/>
              <w:jc w:val="left"/>
              <w:outlineLvl w:val="0"/>
              <w:rPr>
                <w:rFonts w:ascii="仿宋" w:hAnsi="仿宋" w:eastAsia="仿宋"/>
                <w:sz w:val="24"/>
              </w:rPr>
            </w:pPr>
          </w:p>
        </w:tc>
        <w:tc>
          <w:tcPr>
            <w:tcW w:w="840" w:type="dxa"/>
            <w:vMerge w:val="continue"/>
            <w:vAlign w:val="center"/>
          </w:tcPr>
          <w:p>
            <w:pPr>
              <w:spacing w:line="300" w:lineRule="exact"/>
              <w:ind w:firstLine="480"/>
              <w:jc w:val="left"/>
              <w:outlineLvl w:val="0"/>
              <w:rPr>
                <w:rFonts w:ascii="仿宋" w:hAnsi="仿宋" w:eastAsia="仿宋"/>
                <w:sz w:val="24"/>
              </w:rPr>
            </w:pPr>
          </w:p>
        </w:tc>
        <w:tc>
          <w:tcPr>
            <w:tcW w:w="711" w:type="dxa"/>
            <w:vMerge w:val="continue"/>
            <w:vAlign w:val="center"/>
          </w:tcPr>
          <w:p>
            <w:pPr>
              <w:spacing w:line="300" w:lineRule="exact"/>
              <w:ind w:firstLine="480"/>
              <w:jc w:val="left"/>
              <w:outlineLvl w:val="0"/>
              <w:rPr>
                <w:rFonts w:ascii="仿宋" w:hAnsi="仿宋" w:eastAsia="仿宋"/>
                <w:sz w:val="24"/>
              </w:rPr>
            </w:pPr>
          </w:p>
        </w:tc>
        <w:tc>
          <w:tcPr>
            <w:tcW w:w="1440" w:type="dxa"/>
            <w:vMerge w:val="continue"/>
            <w:vAlign w:val="center"/>
          </w:tcPr>
          <w:p>
            <w:pPr>
              <w:spacing w:line="300" w:lineRule="exact"/>
              <w:ind w:firstLine="480"/>
              <w:jc w:val="left"/>
              <w:outlineLvl w:val="0"/>
              <w:rPr>
                <w:rFonts w:ascii="仿宋" w:hAnsi="仿宋" w:eastAsia="仿宋"/>
                <w:sz w:val="24"/>
              </w:rPr>
            </w:pPr>
          </w:p>
        </w:tc>
        <w:tc>
          <w:tcPr>
            <w:tcW w:w="420" w:type="dxa"/>
            <w:vMerge w:val="continue"/>
            <w:vAlign w:val="center"/>
          </w:tcPr>
          <w:p>
            <w:pPr>
              <w:spacing w:line="300" w:lineRule="exact"/>
              <w:ind w:firstLine="480"/>
              <w:jc w:val="left"/>
              <w:outlineLvl w:val="0"/>
              <w:rPr>
                <w:rFonts w:ascii="仿宋" w:hAnsi="仿宋" w:eastAsia="仿宋"/>
                <w:sz w:val="24"/>
              </w:rPr>
            </w:pPr>
          </w:p>
        </w:tc>
        <w:tc>
          <w:tcPr>
            <w:tcW w:w="887" w:type="dxa"/>
            <w:vAlign w:val="center"/>
          </w:tcPr>
          <w:p>
            <w:pPr>
              <w:spacing w:line="300" w:lineRule="exact"/>
              <w:rPr>
                <w:rFonts w:ascii="仿宋" w:hAnsi="仿宋" w:eastAsia="仿宋"/>
                <w:b/>
                <w:sz w:val="24"/>
              </w:rPr>
            </w:pPr>
            <w:r>
              <w:rPr>
                <w:rFonts w:hint="eastAsia" w:ascii="仿宋" w:hAnsi="仿宋" w:eastAsia="仿宋"/>
                <w:b/>
                <w:sz w:val="24"/>
              </w:rPr>
              <w:t>行政</w:t>
            </w:r>
          </w:p>
        </w:tc>
        <w:tc>
          <w:tcPr>
            <w:tcW w:w="709" w:type="dxa"/>
            <w:vAlign w:val="center"/>
          </w:tcPr>
          <w:p>
            <w:pPr>
              <w:spacing w:line="300" w:lineRule="exact"/>
              <w:rPr>
                <w:rFonts w:ascii="仿宋" w:hAnsi="仿宋" w:eastAsia="仿宋"/>
                <w:b/>
                <w:sz w:val="24"/>
              </w:rPr>
            </w:pPr>
            <w:r>
              <w:rPr>
                <w:rFonts w:hint="eastAsia" w:ascii="仿宋" w:hAnsi="仿宋" w:eastAsia="仿宋"/>
                <w:b/>
                <w:sz w:val="24"/>
              </w:rPr>
              <w:t>事业</w:t>
            </w:r>
          </w:p>
        </w:tc>
        <w:tc>
          <w:tcPr>
            <w:tcW w:w="709" w:type="dxa"/>
            <w:vAlign w:val="center"/>
          </w:tcPr>
          <w:p>
            <w:pPr>
              <w:spacing w:line="300" w:lineRule="exact"/>
              <w:rPr>
                <w:rFonts w:ascii="仿宋" w:hAnsi="仿宋" w:eastAsia="仿宋"/>
                <w:b/>
                <w:sz w:val="24"/>
              </w:rPr>
            </w:pPr>
            <w:r>
              <w:rPr>
                <w:rFonts w:hint="eastAsia" w:ascii="仿宋" w:hAnsi="仿宋" w:eastAsia="仿宋"/>
                <w:b/>
                <w:sz w:val="24"/>
              </w:rPr>
              <w:t>行政</w:t>
            </w:r>
          </w:p>
        </w:tc>
        <w:tc>
          <w:tcPr>
            <w:tcW w:w="709" w:type="dxa"/>
            <w:vAlign w:val="center"/>
          </w:tcPr>
          <w:p>
            <w:pPr>
              <w:spacing w:line="300" w:lineRule="exact"/>
              <w:rPr>
                <w:rFonts w:ascii="仿宋" w:hAnsi="仿宋" w:eastAsia="仿宋"/>
                <w:b/>
                <w:sz w:val="24"/>
              </w:rPr>
            </w:pPr>
            <w:r>
              <w:rPr>
                <w:rFonts w:hint="eastAsia" w:ascii="仿宋" w:hAnsi="仿宋" w:eastAsia="仿宋"/>
                <w:b/>
                <w:sz w:val="24"/>
              </w:rPr>
              <w:t>事业</w:t>
            </w:r>
          </w:p>
        </w:tc>
        <w:tc>
          <w:tcPr>
            <w:tcW w:w="708" w:type="dxa"/>
            <w:vAlign w:val="center"/>
          </w:tcPr>
          <w:p>
            <w:pPr>
              <w:spacing w:line="300" w:lineRule="exact"/>
              <w:rPr>
                <w:rFonts w:ascii="仿宋" w:hAnsi="仿宋" w:eastAsia="仿宋"/>
                <w:b/>
                <w:sz w:val="24"/>
              </w:rPr>
            </w:pPr>
            <w:r>
              <w:rPr>
                <w:rFonts w:hint="eastAsia" w:ascii="仿宋" w:hAnsi="仿宋" w:eastAsia="仿宋"/>
                <w:b/>
                <w:sz w:val="24"/>
              </w:rPr>
              <w:t>离休</w:t>
            </w:r>
          </w:p>
        </w:tc>
        <w:tc>
          <w:tcPr>
            <w:tcW w:w="709" w:type="dxa"/>
            <w:vAlign w:val="center"/>
          </w:tcPr>
          <w:p>
            <w:pPr>
              <w:spacing w:line="300" w:lineRule="exact"/>
              <w:rPr>
                <w:rFonts w:ascii="仿宋" w:hAnsi="仿宋" w:eastAsia="仿宋"/>
                <w:b/>
                <w:sz w:val="24"/>
              </w:rPr>
            </w:pPr>
            <w:r>
              <w:rPr>
                <w:rFonts w:hint="eastAsia" w:ascii="仿宋" w:hAnsi="仿宋" w:eastAsia="仿宋"/>
                <w:b/>
                <w:sz w:val="24"/>
              </w:rPr>
              <w:t>退休</w:t>
            </w:r>
          </w:p>
        </w:tc>
        <w:tc>
          <w:tcPr>
            <w:tcW w:w="709" w:type="dxa"/>
            <w:vAlign w:val="center"/>
          </w:tcPr>
          <w:p>
            <w:pPr>
              <w:spacing w:line="300" w:lineRule="exact"/>
              <w:rPr>
                <w:rFonts w:ascii="仿宋" w:hAnsi="仿宋" w:eastAsia="仿宋"/>
                <w:b/>
                <w:sz w:val="24"/>
              </w:rPr>
            </w:pPr>
            <w:r>
              <w:rPr>
                <w:rFonts w:hint="eastAsia" w:ascii="仿宋" w:hAnsi="仿宋" w:eastAsia="仿宋"/>
                <w:b/>
                <w:sz w:val="24"/>
              </w:rPr>
              <w:t>退职</w:t>
            </w:r>
          </w:p>
        </w:tc>
      </w:tr>
      <w:tr>
        <w:trPr>
          <w:trHeight w:val="227" w:hRule="atLeast"/>
          <w:jc w:val="center"/>
        </w:trPr>
        <w:tc>
          <w:tcPr>
            <w:tcW w:w="1301" w:type="dxa"/>
            <w:vAlign w:val="center"/>
          </w:tcPr>
          <w:p>
            <w:pPr>
              <w:spacing w:line="300" w:lineRule="exact"/>
              <w:rPr>
                <w:rFonts w:ascii="仿宋" w:hAnsi="仿宋" w:eastAsia="仿宋"/>
                <w:b/>
                <w:sz w:val="24"/>
              </w:rPr>
            </w:pPr>
            <w:r>
              <w:rPr>
                <w:rFonts w:hint="eastAsia" w:ascii="仿宋" w:hAnsi="仿宋" w:eastAsia="仿宋"/>
                <w:b/>
                <w:sz w:val="24"/>
              </w:rPr>
              <w:t>合计</w:t>
            </w:r>
          </w:p>
        </w:tc>
        <w:tc>
          <w:tcPr>
            <w:tcW w:w="840" w:type="dxa"/>
            <w:vAlign w:val="center"/>
          </w:tcPr>
          <w:p>
            <w:pPr>
              <w:spacing w:line="300" w:lineRule="exact"/>
              <w:ind w:firstLine="480"/>
              <w:jc w:val="center"/>
              <w:rPr>
                <w:rFonts w:ascii="仿宋" w:hAnsi="仿宋" w:eastAsia="仿宋"/>
                <w:b/>
                <w:sz w:val="24"/>
              </w:rPr>
            </w:pPr>
          </w:p>
        </w:tc>
        <w:tc>
          <w:tcPr>
            <w:tcW w:w="711" w:type="dxa"/>
            <w:vAlign w:val="center"/>
          </w:tcPr>
          <w:p>
            <w:pPr>
              <w:spacing w:line="300" w:lineRule="exact"/>
              <w:ind w:firstLine="480"/>
              <w:jc w:val="center"/>
              <w:rPr>
                <w:rFonts w:ascii="仿宋" w:hAnsi="仿宋" w:eastAsia="仿宋"/>
                <w:b/>
                <w:sz w:val="24"/>
              </w:rPr>
            </w:pPr>
          </w:p>
        </w:tc>
        <w:tc>
          <w:tcPr>
            <w:tcW w:w="1440" w:type="dxa"/>
            <w:vAlign w:val="center"/>
          </w:tcPr>
          <w:p>
            <w:pPr>
              <w:spacing w:line="300" w:lineRule="exact"/>
              <w:ind w:firstLine="480"/>
              <w:jc w:val="center"/>
              <w:rPr>
                <w:rFonts w:ascii="仿宋" w:hAnsi="仿宋" w:eastAsia="仿宋"/>
                <w:b/>
                <w:sz w:val="24"/>
              </w:rPr>
            </w:pPr>
          </w:p>
        </w:tc>
        <w:tc>
          <w:tcPr>
            <w:tcW w:w="420" w:type="dxa"/>
            <w:vAlign w:val="center"/>
          </w:tcPr>
          <w:p>
            <w:pPr>
              <w:spacing w:line="300" w:lineRule="exact"/>
              <w:ind w:firstLine="480"/>
              <w:jc w:val="center"/>
              <w:rPr>
                <w:rFonts w:ascii="仿宋" w:hAnsi="仿宋" w:eastAsia="仿宋"/>
                <w:b/>
                <w:sz w:val="24"/>
              </w:rPr>
            </w:pPr>
          </w:p>
        </w:tc>
        <w:tc>
          <w:tcPr>
            <w:tcW w:w="887" w:type="dxa"/>
            <w:vAlign w:val="center"/>
          </w:tcPr>
          <w:p>
            <w:pPr>
              <w:spacing w:line="300" w:lineRule="exact"/>
              <w:ind w:firstLine="480"/>
              <w:jc w:val="center"/>
              <w:rPr>
                <w:rFonts w:ascii="仿宋" w:hAnsi="仿宋" w:eastAsia="仿宋"/>
                <w:b/>
                <w:sz w:val="24"/>
              </w:rPr>
            </w:pPr>
          </w:p>
        </w:tc>
        <w:tc>
          <w:tcPr>
            <w:tcW w:w="709" w:type="dxa"/>
            <w:vAlign w:val="center"/>
          </w:tcPr>
          <w:p>
            <w:pPr>
              <w:spacing w:line="300" w:lineRule="exact"/>
              <w:rPr>
                <w:rFonts w:ascii="仿宋" w:hAnsi="仿宋" w:eastAsia="仿宋"/>
                <w:b/>
                <w:sz w:val="24"/>
              </w:rPr>
            </w:pPr>
            <w:r>
              <w:rPr>
                <w:rFonts w:ascii="仿宋" w:hAnsi="仿宋" w:eastAsia="仿宋"/>
                <w:b/>
                <w:sz w:val="24"/>
              </w:rPr>
              <w:t>15</w:t>
            </w:r>
          </w:p>
        </w:tc>
        <w:tc>
          <w:tcPr>
            <w:tcW w:w="709" w:type="dxa"/>
            <w:vAlign w:val="center"/>
          </w:tcPr>
          <w:p>
            <w:pPr>
              <w:spacing w:line="300" w:lineRule="exact"/>
              <w:ind w:firstLine="480"/>
              <w:jc w:val="center"/>
              <w:rPr>
                <w:rFonts w:ascii="仿宋" w:hAnsi="仿宋" w:eastAsia="仿宋"/>
                <w:b/>
                <w:sz w:val="24"/>
              </w:rPr>
            </w:pPr>
          </w:p>
        </w:tc>
        <w:tc>
          <w:tcPr>
            <w:tcW w:w="709" w:type="dxa"/>
            <w:vAlign w:val="center"/>
          </w:tcPr>
          <w:p>
            <w:pPr>
              <w:spacing w:line="300" w:lineRule="exact"/>
              <w:rPr>
                <w:rFonts w:ascii="仿宋" w:hAnsi="仿宋" w:eastAsia="仿宋"/>
                <w:b/>
                <w:sz w:val="24"/>
              </w:rPr>
            </w:pPr>
            <w:r>
              <w:rPr>
                <w:rFonts w:ascii="仿宋" w:hAnsi="仿宋" w:eastAsia="仿宋"/>
                <w:b/>
                <w:sz w:val="24"/>
              </w:rPr>
              <w:t>14</w:t>
            </w:r>
          </w:p>
        </w:tc>
        <w:tc>
          <w:tcPr>
            <w:tcW w:w="708" w:type="dxa"/>
            <w:vAlign w:val="center"/>
          </w:tcPr>
          <w:p>
            <w:pPr>
              <w:spacing w:line="300" w:lineRule="exact"/>
              <w:ind w:firstLine="200" w:firstLineChars="83"/>
              <w:rPr>
                <w:rFonts w:ascii="仿宋" w:hAnsi="仿宋" w:eastAsia="仿宋"/>
                <w:b/>
                <w:sz w:val="24"/>
              </w:rPr>
            </w:pPr>
            <w:r>
              <w:rPr>
                <w:rFonts w:ascii="仿宋" w:hAnsi="仿宋" w:eastAsia="仿宋"/>
                <w:b/>
                <w:sz w:val="24"/>
              </w:rPr>
              <w:t>1</w:t>
            </w:r>
          </w:p>
        </w:tc>
        <w:tc>
          <w:tcPr>
            <w:tcW w:w="709" w:type="dxa"/>
            <w:vAlign w:val="center"/>
          </w:tcPr>
          <w:p>
            <w:pPr>
              <w:spacing w:line="300" w:lineRule="exact"/>
              <w:rPr>
                <w:rFonts w:ascii="仿宋" w:hAnsi="仿宋" w:eastAsia="仿宋"/>
                <w:b/>
                <w:sz w:val="24"/>
              </w:rPr>
            </w:pPr>
            <w:r>
              <w:rPr>
                <w:rFonts w:ascii="仿宋" w:hAnsi="仿宋" w:eastAsia="仿宋"/>
                <w:b/>
                <w:sz w:val="24"/>
              </w:rPr>
              <w:t>11</w:t>
            </w:r>
          </w:p>
        </w:tc>
        <w:tc>
          <w:tcPr>
            <w:tcW w:w="709" w:type="dxa"/>
            <w:vAlign w:val="center"/>
          </w:tcPr>
          <w:p>
            <w:pPr>
              <w:spacing w:line="300" w:lineRule="exact"/>
              <w:ind w:firstLine="480"/>
              <w:jc w:val="center"/>
              <w:rPr>
                <w:rFonts w:ascii="仿宋" w:hAnsi="仿宋" w:eastAsia="仿宋"/>
                <w:b/>
                <w:sz w:val="24"/>
              </w:rPr>
            </w:pPr>
          </w:p>
        </w:tc>
      </w:tr>
      <w:tr>
        <w:trPr>
          <w:trHeight w:val="227" w:hRule="atLeast"/>
          <w:jc w:val="center"/>
        </w:trPr>
        <w:tc>
          <w:tcPr>
            <w:tcW w:w="1301" w:type="dxa"/>
            <w:vAlign w:val="center"/>
          </w:tcPr>
          <w:p>
            <w:pPr>
              <w:spacing w:line="300" w:lineRule="exact"/>
              <w:jc w:val="left"/>
              <w:rPr>
                <w:rFonts w:ascii="仿宋" w:hAnsi="仿宋" w:eastAsia="仿宋"/>
                <w:sz w:val="24"/>
              </w:rPr>
            </w:pPr>
            <w:r>
              <w:rPr>
                <w:rFonts w:hint="eastAsia" w:ascii="仿宋" w:hAnsi="仿宋" w:eastAsia="仿宋"/>
                <w:sz w:val="24"/>
              </w:rPr>
              <w:t>中共无极县委党校</w:t>
            </w:r>
          </w:p>
        </w:tc>
        <w:tc>
          <w:tcPr>
            <w:tcW w:w="840" w:type="dxa"/>
            <w:vAlign w:val="center"/>
          </w:tcPr>
          <w:p>
            <w:pPr>
              <w:spacing w:line="300" w:lineRule="exact"/>
              <w:rPr>
                <w:rFonts w:ascii="仿宋" w:hAnsi="仿宋" w:eastAsia="仿宋"/>
                <w:sz w:val="24"/>
              </w:rPr>
            </w:pPr>
            <w:r>
              <w:rPr>
                <w:rFonts w:hint="eastAsia" w:ascii="仿宋" w:hAnsi="仿宋" w:eastAsia="仿宋"/>
                <w:sz w:val="24"/>
              </w:rPr>
              <w:t>全额事业</w:t>
            </w:r>
          </w:p>
        </w:tc>
        <w:tc>
          <w:tcPr>
            <w:tcW w:w="711" w:type="dxa"/>
            <w:vAlign w:val="center"/>
          </w:tcPr>
          <w:p>
            <w:pPr>
              <w:spacing w:line="300" w:lineRule="exact"/>
              <w:rPr>
                <w:rFonts w:ascii="仿宋" w:hAnsi="仿宋" w:eastAsia="仿宋"/>
                <w:sz w:val="24"/>
              </w:rPr>
            </w:pPr>
            <w:r>
              <w:rPr>
                <w:rFonts w:hint="eastAsia" w:ascii="仿宋" w:hAnsi="仿宋" w:eastAsia="仿宋"/>
                <w:sz w:val="24"/>
              </w:rPr>
              <w:t>正科级</w:t>
            </w:r>
          </w:p>
        </w:tc>
        <w:tc>
          <w:tcPr>
            <w:tcW w:w="1440" w:type="dxa"/>
            <w:vAlign w:val="center"/>
          </w:tcPr>
          <w:p>
            <w:pPr>
              <w:spacing w:line="300" w:lineRule="exact"/>
              <w:rPr>
                <w:rFonts w:ascii="仿宋" w:hAnsi="仿宋" w:eastAsia="仿宋"/>
                <w:sz w:val="24"/>
              </w:rPr>
            </w:pPr>
            <w:r>
              <w:rPr>
                <w:rFonts w:hint="eastAsia" w:ascii="仿宋" w:hAnsi="仿宋" w:eastAsia="仿宋"/>
                <w:sz w:val="24"/>
              </w:rPr>
              <w:t>财政性资金基本保证</w:t>
            </w:r>
          </w:p>
        </w:tc>
        <w:tc>
          <w:tcPr>
            <w:tcW w:w="420" w:type="dxa"/>
            <w:vAlign w:val="center"/>
          </w:tcPr>
          <w:p>
            <w:pPr>
              <w:spacing w:line="300" w:lineRule="exact"/>
              <w:ind w:firstLine="480"/>
              <w:jc w:val="center"/>
              <w:rPr>
                <w:rFonts w:ascii="仿宋" w:hAnsi="仿宋" w:eastAsia="仿宋"/>
                <w:sz w:val="24"/>
              </w:rPr>
            </w:pPr>
          </w:p>
        </w:tc>
        <w:tc>
          <w:tcPr>
            <w:tcW w:w="887" w:type="dxa"/>
            <w:vAlign w:val="center"/>
          </w:tcPr>
          <w:p>
            <w:pPr>
              <w:spacing w:line="300" w:lineRule="exact"/>
              <w:ind w:firstLine="480"/>
              <w:jc w:val="center"/>
              <w:rPr>
                <w:rFonts w:ascii="仿宋" w:hAnsi="仿宋" w:eastAsia="仿宋"/>
                <w:sz w:val="24"/>
              </w:rPr>
            </w:pPr>
          </w:p>
        </w:tc>
        <w:tc>
          <w:tcPr>
            <w:tcW w:w="709" w:type="dxa"/>
            <w:vAlign w:val="center"/>
          </w:tcPr>
          <w:p>
            <w:pPr>
              <w:spacing w:line="300" w:lineRule="exact"/>
              <w:rPr>
                <w:rFonts w:ascii="仿宋" w:hAnsi="仿宋" w:eastAsia="仿宋"/>
                <w:sz w:val="24"/>
              </w:rPr>
            </w:pPr>
            <w:r>
              <w:rPr>
                <w:rFonts w:ascii="仿宋" w:hAnsi="仿宋" w:eastAsia="仿宋"/>
                <w:sz w:val="24"/>
              </w:rPr>
              <w:t>15</w:t>
            </w:r>
          </w:p>
        </w:tc>
        <w:tc>
          <w:tcPr>
            <w:tcW w:w="709" w:type="dxa"/>
            <w:vAlign w:val="center"/>
          </w:tcPr>
          <w:p>
            <w:pPr>
              <w:spacing w:line="300" w:lineRule="exact"/>
              <w:ind w:firstLine="480"/>
              <w:jc w:val="center"/>
              <w:rPr>
                <w:rFonts w:ascii="仿宋" w:hAnsi="仿宋" w:eastAsia="仿宋"/>
                <w:sz w:val="24"/>
              </w:rPr>
            </w:pPr>
          </w:p>
        </w:tc>
        <w:tc>
          <w:tcPr>
            <w:tcW w:w="709" w:type="dxa"/>
            <w:vAlign w:val="center"/>
          </w:tcPr>
          <w:p>
            <w:pPr>
              <w:spacing w:line="300" w:lineRule="exact"/>
              <w:rPr>
                <w:rFonts w:ascii="仿宋" w:hAnsi="仿宋" w:eastAsia="仿宋"/>
                <w:sz w:val="24"/>
              </w:rPr>
            </w:pPr>
            <w:r>
              <w:rPr>
                <w:rFonts w:ascii="仿宋" w:hAnsi="仿宋" w:eastAsia="仿宋"/>
                <w:sz w:val="24"/>
              </w:rPr>
              <w:t>14</w:t>
            </w:r>
          </w:p>
        </w:tc>
        <w:tc>
          <w:tcPr>
            <w:tcW w:w="708" w:type="dxa"/>
            <w:vAlign w:val="center"/>
          </w:tcPr>
          <w:p>
            <w:pPr>
              <w:spacing w:line="300" w:lineRule="exact"/>
              <w:ind w:firstLine="199" w:firstLineChars="83"/>
              <w:rPr>
                <w:rFonts w:ascii="仿宋" w:hAnsi="仿宋" w:eastAsia="仿宋"/>
                <w:sz w:val="24"/>
              </w:rPr>
            </w:pPr>
            <w:r>
              <w:rPr>
                <w:rFonts w:ascii="仿宋" w:hAnsi="仿宋" w:eastAsia="仿宋"/>
                <w:sz w:val="24"/>
              </w:rPr>
              <w:t>1</w:t>
            </w:r>
          </w:p>
        </w:tc>
        <w:tc>
          <w:tcPr>
            <w:tcW w:w="709" w:type="dxa"/>
            <w:vAlign w:val="center"/>
          </w:tcPr>
          <w:p>
            <w:pPr>
              <w:spacing w:line="300" w:lineRule="exact"/>
              <w:rPr>
                <w:rFonts w:ascii="仿宋" w:hAnsi="仿宋" w:eastAsia="仿宋"/>
                <w:sz w:val="24"/>
              </w:rPr>
            </w:pPr>
            <w:r>
              <w:rPr>
                <w:rFonts w:ascii="仿宋" w:hAnsi="仿宋" w:eastAsia="仿宋"/>
                <w:sz w:val="24"/>
              </w:rPr>
              <w:t>11</w:t>
            </w:r>
          </w:p>
        </w:tc>
        <w:tc>
          <w:tcPr>
            <w:tcW w:w="709" w:type="dxa"/>
            <w:vAlign w:val="center"/>
          </w:tcPr>
          <w:p>
            <w:pPr>
              <w:spacing w:line="300" w:lineRule="exact"/>
              <w:ind w:firstLine="480"/>
              <w:jc w:val="center"/>
              <w:rPr>
                <w:rFonts w:ascii="仿宋" w:hAnsi="仿宋" w:eastAsia="仿宋"/>
                <w:sz w:val="24"/>
              </w:rPr>
            </w:pPr>
          </w:p>
        </w:tc>
      </w:tr>
    </w:tbl>
    <w:p>
      <w:pPr>
        <w:widowControl/>
        <w:spacing w:line="560" w:lineRule="exact"/>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rFonts w:ascii="黑体" w:hAnsi="黑体" w:eastAsia="黑体" w:cs="黑体"/>
          <w:b/>
          <w:sz w:val="32"/>
          <w:szCs w:val="32"/>
        </w:rPr>
      </w:pPr>
      <w:r>
        <w:rPr>
          <w:rFonts w:hint="eastAsia" w:ascii="黑体" w:hAnsi="黑体" w:eastAsia="黑体" w:cs="黑体"/>
          <w:b/>
          <w:sz w:val="32"/>
          <w:szCs w:val="32"/>
        </w:rPr>
        <w:t>（详见附件）</w:t>
      </w:r>
    </w:p>
    <w:p>
      <w:pPr>
        <w:ind w:firstLine="643"/>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一、收入支出决算总表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二、收入决算表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三、支出决算表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四、财政拨款收入支出决算总表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五、一般公共预算财政拨款收入支出决算表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六、一般公共预算财政拨款基本支出决算表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七、政府性基金预算财政拨款收入支出决算表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八、国有资本经营预算财政拨款收入支出决算表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九、“三公”经费及相关信息统计表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十、政府采购情况表</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150.36万元；本年支出150.36万元、年末结转和结余0万元。与2016年度决算相比，本年收入减少9.48万元，降低5.93%，主要是主要是退休人员工资从2017年8月转入社保发放，不再在财政列支；本年支出减少9.48万元，降低5.93%，主要是退休人员工资从2017年8月转入社保发放，不再在财政列支。</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本部门2017年度本年收入合计150.36万元，其中：财政拨款收入150.36万元，占100%。无其他收入。如图所示：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 xml:space="preserve">         图1：收入决算结构饼状图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片框 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adjustRightInd w:val="0"/>
        <w:snapToGrid w:val="0"/>
        <w:spacing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 </w:t>
      </w:r>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本部门2017年度本年支出合计150.36万元，其中：基本支出150.36万元，占100%；无其他支出。如图所示：</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图2：支出决算结构饼状图</w:t>
      </w:r>
    </w:p>
    <w:p>
      <w:pPr>
        <w:ind w:firstLine="640" w:firstLineChars="20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图片框 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ind w:firstLine="640" w:firstLineChars="200"/>
        <w:rPr>
          <w:rFonts w:hint="eastAsia" w:ascii="仿宋" w:hAnsi="仿宋" w:eastAsia="仿宋" w:cs="仿宋"/>
          <w:sz w:val="32"/>
          <w:szCs w:val="32"/>
          <w:lang w:val="en-US" w:eastAsia="zh-CN"/>
        </w:rPr>
      </w:pPr>
    </w:p>
    <w:p>
      <w:pPr>
        <w:adjustRightInd w:val="0"/>
        <w:snapToGrid w:val="0"/>
        <w:spacing w:line="560" w:lineRule="exact"/>
        <w:ind w:firstLine="640" w:firstLineChars="200"/>
        <w:rPr>
          <w:rFonts w:hint="eastAsia" w:ascii="仿宋_GB2312" w:eastAsia="仿宋_GB2312" w:cs="DengXian-Regular"/>
          <w:sz w:val="32"/>
          <w:szCs w:val="32"/>
        </w:rPr>
      </w:pPr>
    </w:p>
    <w:p>
      <w:pPr>
        <w:adjustRightInd w:val="0"/>
        <w:snapToGrid w:val="0"/>
        <w:spacing w:after="0" w:line="560" w:lineRule="exact"/>
        <w:rPr>
          <w:rFonts w:ascii="仿宋_GB2312" w:eastAsia="仿宋_GB2312" w:cs="DengXian-Regular"/>
          <w:sz w:val="32"/>
          <w:szCs w:val="32"/>
        </w:rPr>
      </w:pP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0"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150.36万元；本年支出150.36万元、年末结转和结余0万元。与2016年度决算相比，一般公共预算财政拨款本年收入增减少8.48万元，降低5.3%，主要是退休人员工资从2017年8月转入社保发放，不再在财政列支。；本年支出减少8.84万元，增降低5.3%，主要是退休人员工资从2017年8月转入社保发放，不再在财政列支。</w:t>
      </w:r>
    </w:p>
    <w:p>
      <w:pPr>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12.68万元，降低7.78%，主要是退休人员工资从2017年8月转入社保发放，不再在财政列支；本年支出减少12.68万元，降低7.78%，主要是退休人员工资从2017年8月转入社保发放，不再在财政列支。</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。具体情况如下：</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本部门2017年度参加其他单位组织的因公出国（境）团组0个、共0人；无本单位组织的出国（境）团组。因公出国（境）费支出较年初预算无增减变化；较2016年度决算无增减变化。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；较2016年度决算无增减变化，主要是2016年公车改革后，我单位就不再保有公车，亦不发生相应的费用。</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本部门2017年度公务接待共0批次、0人次。公务接待费支出较年初预算无增减变化，较2016年度决算无增减变化。</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widowControl w:val="0"/>
        <w:wordWrap/>
        <w:adjustRightInd w:val="0"/>
        <w:snapToGrid w:val="0"/>
        <w:spacing w:before="0" w:after="0" w:line="560" w:lineRule="exact"/>
        <w:ind w:left="0" w:leftChars="0" w:right="0" w:firstLine="640" w:firstLineChars="200"/>
        <w:jc w:val="both"/>
        <w:textAlignment w:val="auto"/>
        <w:outlineLvl w:val="9"/>
        <w:rPr>
          <w:rFonts w:hint="eastAsia" w:ascii="仿宋_GB2312" w:eastAsia="仿宋_GB2312" w:cs="DengXian-Regular"/>
          <w:sz w:val="32"/>
          <w:szCs w:val="32"/>
          <w:lang w:eastAsia="zh-CN"/>
        </w:rPr>
      </w:pPr>
      <w:r>
        <w:rPr>
          <w:rFonts w:hint="eastAsia" w:ascii="仿宋_GB2312" w:eastAsia="仿宋_GB2312" w:cs="DengXian-Regular"/>
          <w:sz w:val="32"/>
          <w:szCs w:val="32"/>
          <w:lang w:val="en-US" w:eastAsia="zh-CN"/>
        </w:rPr>
        <w:t>本单位无民生</w:t>
      </w:r>
      <w:bookmarkStart w:id="0" w:name="_GoBack"/>
      <w:bookmarkEnd w:id="0"/>
      <w:r>
        <w:rPr>
          <w:rFonts w:hint="eastAsia" w:ascii="仿宋_GB2312" w:eastAsia="仿宋_GB2312" w:cs="DengXian-Regular"/>
          <w:sz w:val="32"/>
          <w:szCs w:val="32"/>
          <w:lang w:val="en-US" w:eastAsia="zh-CN"/>
        </w:rPr>
        <w:t>项目和重点支出项目。</w:t>
      </w:r>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（一）政府采购情况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（二）国有资产占用情况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截至2017年12月31日，本部门共有车辆0辆，单位价值50万元以上大型设备0台，单位价值100万元以上大型设备0台。</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（四）其他需要说明的情况</w:t>
      </w:r>
    </w:p>
    <w:p>
      <w:pPr>
        <w:ind w:firstLine="643"/>
        <w:rPr>
          <w:rFonts w:ascii="仿宋_GB2312" w:eastAsia="仿宋_GB2312" w:cs="DengXian-Regular"/>
          <w:sz w:val="32"/>
          <w:szCs w:val="32"/>
        </w:rPr>
      </w:pPr>
      <w:r>
        <w:rPr>
          <w:rFonts w:hint="eastAsia" w:ascii="仿宋_GB2312" w:eastAsia="仿宋_GB2312" w:cs="DengXian-Regular"/>
          <w:sz w:val="32"/>
          <w:szCs w:val="32"/>
        </w:rPr>
        <w:t>1、</w:t>
      </w:r>
      <w:r>
        <w:rPr>
          <w:rFonts w:hint="eastAsia" w:ascii="仿宋" w:hAnsi="仿宋" w:eastAsia="仿宋" w:cs="仿宋"/>
          <w:sz w:val="32"/>
          <w:szCs w:val="32"/>
        </w:rPr>
        <w:t>本部门2017年度“</w:t>
      </w:r>
      <w:r>
        <w:rPr>
          <w:rFonts w:hint="eastAsia" w:ascii="仿宋" w:hAnsi="仿宋" w:eastAsia="仿宋" w:cs="仿宋"/>
          <w:bCs/>
          <w:sz w:val="32"/>
          <w:szCs w:val="32"/>
        </w:rPr>
        <w:t>政府性基金预算财政拨款、国有资本经营预算财政拨款、‘三公’经费、政府采购”</w:t>
      </w:r>
      <w:r>
        <w:rPr>
          <w:rFonts w:hint="eastAsia" w:ascii="仿宋" w:hAnsi="仿宋" w:eastAsia="仿宋" w:cs="仿宋"/>
          <w:sz w:val="32"/>
          <w:szCs w:val="32"/>
        </w:rPr>
        <w:t>无收支及结转结余情况，故附件07—10表以空表列示。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SimSun,Bold">
    <w:altName w:val="宋体"/>
    <w:panose1 w:val="00000000000000000000"/>
    <w:charset w:val="86"/>
    <w:family w:val="auto"/>
    <w:pitch w:val="default"/>
    <w:sig w:usb0="00000000" w:usb1="00000000" w:usb2="00000010" w:usb3="00000000" w:csb0="00040000" w:csb1="00000000"/>
  </w:font>
  <w:font w:name="Dotum">
    <w:altName w:val="Verdana"/>
    <w:panose1 w:val="020B0600000101010101"/>
    <w:charset w:val="00"/>
    <w:family w:val="auto"/>
    <w:pitch w:val="default"/>
    <w:sig w:usb0="B00002AF" w:usb1="69D77CFB" w:usb2="00000030" w:usb3="00000000" w:csb0="4008009F" w:csb1="DFD70000"/>
  </w:font>
  <w:font w:name="楷体">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 w:name="Verdana">
    <w:panose1 w:val="020B0604030504040204"/>
    <w:charset w:val="00"/>
    <w:family w:val="auto"/>
    <w:pitch w:val="default"/>
    <w:sig w:usb0="A00006FF" w:usb1="4000205B" w:usb2="00000010" w:usb3="00000000" w:csb0="2000019F" w:csb1="00000000"/>
  </w:font>
  <w:font w:name="Arial Rounded MT Bold">
    <w:altName w:val="Arial"/>
    <w:panose1 w:val="020F0704030504030204"/>
    <w:charset w:val="00"/>
    <w:family w:val="auto"/>
    <w:pitch w:val="default"/>
    <w:sig w:usb0="00000003" w:usb1="00000000" w:usb2="00000000" w:usb3="00000000" w:csb0="20000001" w:csb1="00000000"/>
  </w:font>
  <w:font w:name="Palatino Linotype">
    <w:panose1 w:val="02040502050505030304"/>
    <w:charset w:val="00"/>
    <w:family w:val="auto"/>
    <w:pitch w:val="default"/>
    <w:sig w:usb0="E0000287" w:usb1="40000013" w:usb2="00000000" w:usb3="00000000" w:csb0="2000019F" w:csb1="00000000"/>
  </w:font>
  <w:font w:name="Batang">
    <w:altName w:val="Malgun Gothic"/>
    <w:panose1 w:val="02030600000101010101"/>
    <w:charset w:val="81"/>
    <w:family w:val="auto"/>
    <w:pitch w:val="default"/>
    <w:sig w:usb0="B00002AF" w:usb1="69D77CFB" w:usb2="00000030" w:usb3="00000000" w:csb0="4008009F" w:csb1="DFD70000"/>
  </w:font>
  <w:font w:name="Gulim">
    <w:altName w:val="Malgun Gothic"/>
    <w:panose1 w:val="020B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4">
    <w:nsid w:val="00000004"/>
    <w:multiLevelType w:val="singleLevel"/>
    <w:tmpl w:val="00000004"/>
    <w:lvl w:ilvl="0" w:tentative="1">
      <w:start w:val="1"/>
      <w:numFmt w:val="chineseCounting"/>
      <w:suff w:val="nothing"/>
      <w:lvlText w:val="（%1）"/>
      <w:lvlJc w:val="left"/>
    </w:lvl>
  </w:abstractNum>
  <w:abstractNum w:abstractNumId="7">
    <w:nsid w:val="00000007"/>
    <w:multiLevelType w:val="singleLevel"/>
    <w:tmpl w:val="00000007"/>
    <w:lvl w:ilvl="0" w:tentative="1">
      <w:start w:val="1"/>
      <w:numFmt w:val="chineseCounting"/>
      <w:suff w:val="nothing"/>
      <w:lvlText w:val="%1、"/>
      <w:lvlJc w:val="left"/>
    </w:lvl>
  </w:abstractNum>
  <w:num w:numId="1">
    <w:abstractNumId w:val="7"/>
  </w:num>
  <w:num w:numId="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paragraph" w:styleId="11">
    <w:name w:val="footer"/>
    <w:basedOn w:val="1"/>
    <w:link w:val="12"/>
    <w:pPr>
      <w:tabs>
        <w:tab w:val="center" w:pos="4153"/>
        <w:tab w:val="right" w:pos="8306"/>
      </w:tabs>
      <w:snapToGrid w:val="0"/>
      <w:jc w:val="left"/>
    </w:pPr>
    <w:rPr>
      <w:sz w:val="18"/>
      <w:szCs w:val="18"/>
    </w:rPr>
  </w:style>
  <w:style w:type="character" w:customStyle="1" w:styleId="12">
    <w:name w:val="页脚 Char"/>
    <w:basedOn w:val="4"/>
    <w:link w:val="11"/>
    <w:semiHidden/>
    <w:rPr>
      <w:sz w:val="18"/>
      <w:szCs w:val="18"/>
    </w:rPr>
  </w:style>
  <w:style w:type="paragraph" w:styleId="13">
    <w:name w:val="header"/>
    <w:basedOn w:val="1"/>
    <w:link w:val="14"/>
    <w:pPr>
      <w:pBdr>
        <w:bottom w:val="single" w:color="auto" w:sz="6" w:space="1"/>
      </w:pBdr>
      <w:tabs>
        <w:tab w:val="center" w:pos="4153"/>
        <w:tab w:val="right" w:pos="8306"/>
      </w:tabs>
      <w:snapToGrid w:val="0"/>
      <w:jc w:val="center"/>
    </w:pPr>
    <w:rPr>
      <w:sz w:val="18"/>
      <w:szCs w:val="18"/>
    </w:rPr>
  </w:style>
  <w:style w:type="character" w:customStyle="1" w:styleId="14">
    <w:name w:val="页眉 Char"/>
    <w:basedOn w:val="4"/>
    <w:link w:val="13"/>
    <w:semiHidden/>
    <w:rPr>
      <w:sz w:val="18"/>
      <w:szCs w:val="18"/>
    </w:rPr>
  </w:style>
  <w:style w:type="paragraph" w:styleId="15">
    <w:name w:val="Subtitle"/>
    <w:basedOn w:val="1"/>
    <w:next w:val="1"/>
    <w:link w:val="16"/>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6">
    <w:name w:val="副标题 Char"/>
    <w:basedOn w:val="4"/>
    <w:link w:val="15"/>
    <w:semiHidden/>
    <w:rPr>
      <w:rFonts w:ascii="Calibri" w:hAnsi="Calibri" w:eastAsia="宋体" w:cs="黑体"/>
      <w:i/>
      <w:iCs/>
      <w:color w:val="F0A22E"/>
      <w:spacing w:val="15"/>
      <w:kern w:val="0"/>
      <w:sz w:val="24"/>
      <w:szCs w:val="24"/>
    </w:rPr>
  </w:style>
  <w:style w:type="paragraph" w:styleId="17">
    <w:name w:val="Title"/>
    <w:basedOn w:val="1"/>
    <w:next w:val="1"/>
    <w:link w:val="18"/>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8">
    <w:name w:val="标题 Char"/>
    <w:basedOn w:val="4"/>
    <w:link w:val="17"/>
    <w:semiHidden/>
    <w:rPr>
      <w:rFonts w:ascii="Calibri" w:hAnsi="Calibri" w:eastAsia="宋体" w:cs="黑体"/>
      <w:color w:val="392B23"/>
      <w:spacing w:val="5"/>
      <w:kern w:val="28"/>
      <w:sz w:val="52"/>
      <w:szCs w:val="52"/>
    </w:rPr>
  </w:style>
  <w:style w:type="paragraph" w:customStyle="1" w:styleId="19">
    <w:name w:val="批注框文本 Char Char"/>
    <w:basedOn w:val="1"/>
    <w:link w:val="21"/>
    <w:rPr>
      <w:rFonts w:ascii="Times New Roman" w:hAnsi="Times New Roman" w:eastAsia="宋体" w:cs="Times New Roman"/>
      <w:sz w:val="18"/>
      <w:szCs w:val="18"/>
    </w:rPr>
  </w:style>
  <w:style w:type="paragraph" w:customStyle="1" w:styleId="20">
    <w:name w:val="无间隔1"/>
    <w:link w:val="22"/>
    <w:pPr>
      <w:spacing w:after="160" w:line="480" w:lineRule="auto"/>
    </w:pPr>
    <w:rPr>
      <w:kern w:val="0"/>
      <w:sz w:val="22"/>
    </w:rPr>
  </w:style>
  <w:style w:type="character" w:customStyle="1" w:styleId="21">
    <w:name w:val="批注框文本 Char Char Char"/>
    <w:basedOn w:val="4"/>
    <w:link w:val="19"/>
    <w:semiHidden/>
    <w:rPr>
      <w:rFonts w:ascii="Times New Roman" w:hAnsi="Times New Roman" w:eastAsia="宋体" w:cs="Times New Roman"/>
      <w:sz w:val="18"/>
      <w:szCs w:val="18"/>
    </w:rPr>
  </w:style>
  <w:style w:type="character" w:customStyle="1" w:styleId="22">
    <w:name w:val="无间隔 Char"/>
    <w:basedOn w:val="4"/>
    <w:link w:val="20"/>
    <w:semiHidden/>
    <w:rPr>
      <w:kern w:val="0"/>
      <w:sz w:val="22"/>
    </w:rPr>
  </w:style>
  <w:style w:type="character" w:customStyle="1" w:styleId="23">
    <w:name w:val="Style1"/>
    <w:basedOn w:val="4"/>
    <w:rPr>
      <w:rFonts w:ascii="Cambria" w:hAnsi="黑体" w:eastAsia="黑体" w:cs="黑体"/>
      <w:sz w:val="22"/>
      <w:szCs w:val="22"/>
      <w:lang w:eastAsia="zh-CN"/>
    </w:rPr>
  </w:style>
  <w:style w:type="character" w:customStyle="1" w:styleId="24">
    <w:name w:val="Style2"/>
    <w:basedOn w:val="4"/>
    <w:rPr>
      <w:rFonts w:ascii="Cambria" w:hAnsi="黑体" w:eastAsia="黑体" w:cs="黑体"/>
      <w:sz w:val="22"/>
      <w:szCs w:val="22"/>
      <w:lang w:eastAsia="zh-CN"/>
    </w:rPr>
  </w:style>
  <w:style w:type="character" w:customStyle="1" w:styleId="25">
    <w:name w:val="Style3"/>
    <w:basedOn w:val="4"/>
    <w:rPr>
      <w:rFonts w:ascii="Cambria" w:hAnsi="黑体" w:eastAsia="黑体" w:cs="黑体"/>
      <w:szCs w:val="22"/>
      <w:lang w:eastAsia="zh-CN"/>
    </w:rPr>
  </w:style>
  <w:style w:type="character" w:customStyle="1" w:styleId="26">
    <w:name w:val="Style4"/>
    <w:basedOn w:val="4"/>
    <w:rPr>
      <w:rFonts w:ascii="Cambria" w:hAnsi="黑体" w:eastAsia="黑体" w:cs="黑体"/>
      <w:szCs w:val="22"/>
      <w:lang w:eastAsia="zh-CN"/>
    </w:rPr>
  </w:style>
  <w:style w:type="character" w:customStyle="1" w:styleId="27">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587</Words>
  <Characters>3346</Characters>
  <Lines>27</Lines>
  <Paragraphs>7</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dcterms:modified xsi:type="dcterms:W3CDTF">2019-02-11T15:48:20Z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