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Default ContentType="image/png" Extension="pn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无极县工商联</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工商联</w:t>
      </w:r>
      <w:r>
        <w:rPr>
          <w:rFonts w:eastAsia="黑体"/>
          <w:sz w:val="32"/>
          <w:szCs w:val="32"/>
        </w:rPr>
        <w:t>概况</w:t>
      </w:r>
    </w:p>
    <w:p>
      <w:pPr>
        <w:widowControl/>
        <w:spacing w:line="580" w:lineRule="exact"/>
        <w:ind w:firstLine="1274"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4"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工商联</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工商联</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5"/>
        <w:spacing w:before="0" w:after="0" w:line="560" w:lineRule="exact"/>
        <w:ind w:firstLine="643" w:firstLineChars="200"/>
        <w:rPr>
          <w:rFonts w:ascii="黑体" w:hAnsi="Cambria" w:eastAsia="黑体"/>
          <w:kern w:val="0"/>
        </w:rPr>
      </w:pPr>
      <w:r>
        <w:rPr>
          <w:rFonts w:hint="eastAsia" w:ascii="黑体" w:hAnsi="Cambria" w:eastAsia="黑体"/>
          <w:kern w:val="0"/>
        </w:rPr>
        <w:t>一、部门职责</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做为县委、县政府联系非公有制经济的“桥梁”和“纽带”。帮助政府管理、服务、协调非公有制经济的“助手”。维护非公有制经济人士的合法权益，参政议政，倡导光彩事业活动。</w:t>
      </w:r>
    </w:p>
    <w:p>
      <w:pPr>
        <w:pStyle w:val="5"/>
        <w:spacing w:before="0" w:after="0" w:line="560" w:lineRule="exact"/>
        <w:ind w:firstLine="643" w:firstLineChars="200"/>
        <w:rPr>
          <w:rFonts w:ascii="黑体" w:hAnsi="Cambria" w:eastAsia="黑体"/>
          <w:kern w:val="0"/>
        </w:rPr>
      </w:pPr>
      <w:r>
        <w:rPr>
          <w:rFonts w:hint="eastAsia" w:ascii="黑体" w:hAnsi="Cambria" w:eastAsia="黑体"/>
          <w:kern w:val="0"/>
        </w:rPr>
        <w:t>二、部门决算单位构成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年度，纳入本部门决算汇编范围的独立核算单位共 1个，单位名称是无极县工商业联合会 ，单位基本性质为行政单位，预算管理级次为一级预算单位，执行行政单位会计制度，</w:t>
      </w:r>
    </w:p>
    <w:p>
      <w:pPr>
        <w:spacing w:after="0" w:line="560" w:lineRule="exact"/>
        <w:sectPr>
          <w:pgSz w:w="11906" w:h="16838"/>
          <w:pgMar w:top="2098" w:right="1474" w:bottom="1985" w:left="1588" w:header="851" w:footer="992" w:gutter="0"/>
          <w:pgNumType w:start="0"/>
          <w:cols w:space="720" w:num="1"/>
          <w:titlePg/>
          <w:docGrid w:type="lines" w:linePitch="312"/>
        </w:sectPr>
      </w:pPr>
      <w:r>
        <w:rPr>
          <w:rFonts w:hint="eastAsia" w:ascii="仿宋_GB2312" w:hAnsi="Cambria" w:eastAsia="仿宋_GB2312" w:cs="ArialUnicodeMS"/>
          <w:kern w:val="0"/>
          <w:sz w:val="32"/>
          <w:szCs w:val="32"/>
        </w:rPr>
        <w:t>较上年无增减变化。</w:t>
      </w:r>
    </w:p>
    <w:p>
      <w:pPr>
        <w:pStyle w:val="2"/>
        <w:spacing w:line="560" w:lineRule="exact"/>
        <w:ind w:firstLine="1325" w:firstLineChars="300"/>
        <w:rPr>
          <w:rFonts w:ascii="宋体" w:hAnsi="宋体" w:cs="ArialUnicodeMS"/>
          <w:color w:val="000000"/>
          <w:kern w:val="0"/>
        </w:rPr>
      </w:pPr>
      <w:r>
        <w:rPr>
          <w:rFonts w:hint="eastAsia" w:ascii="宋体" w:hAnsi="宋体" w:cs="ArialUnicodeMS"/>
          <w:color w:val="000000"/>
          <w:kern w:val="0"/>
        </w:rPr>
        <w:t>第二部分 2017年度部门决算报表</w:t>
      </w:r>
    </w:p>
    <w:p>
      <w:pPr>
        <w:jc w:val="center"/>
        <w:rPr>
          <w:rFonts w:ascii="宋体" w:hAnsi="宋体" w:cs="ArialUnicodeMS"/>
          <w:b/>
          <w:bCs/>
          <w:color w:val="000000"/>
          <w:kern w:val="0"/>
          <w:sz w:val="44"/>
          <w:szCs w:val="44"/>
        </w:rPr>
      </w:pPr>
      <w:r>
        <w:rPr>
          <w:rFonts w:hint="eastAsia" w:ascii="宋体" w:hAnsi="宋体" w:cs="ArialUnicodeMS"/>
          <w:b/>
          <w:bCs/>
          <w:color w:val="000000"/>
          <w:kern w:val="0"/>
          <w:sz w:val="44"/>
          <w:szCs w:val="44"/>
        </w:rPr>
        <w:t>(详见附件）</w:t>
      </w:r>
    </w:p>
    <w:p>
      <w:pPr>
        <w:pStyle w:val="2"/>
        <w:spacing w:line="560" w:lineRule="exact"/>
        <w:ind w:firstLine="640" w:firstLineChars="200"/>
        <w:rPr>
          <w:rFonts w:ascii="仿宋_GB2312" w:eastAsia="仿宋_GB2312" w:cs="DengXian-Regular"/>
          <w:b w:val="0"/>
          <w:bCs w:val="0"/>
          <w:kern w:val="2"/>
          <w:sz w:val="32"/>
          <w:szCs w:val="32"/>
        </w:rPr>
      </w:pPr>
      <w:r>
        <w:rPr>
          <w:rFonts w:hint="eastAsia" w:ascii="仿宋_GB2312" w:eastAsia="仿宋_GB2312" w:cs="DengXian-Regular"/>
          <w:kern w:val="2"/>
          <w:sz w:val="32"/>
          <w:szCs w:val="32"/>
        </w:rPr>
        <w:t>一</w:t>
      </w:r>
      <w:r>
        <w:rPr>
          <w:rFonts w:hint="eastAsia" w:ascii="仿宋_GB2312" w:eastAsia="仿宋_GB2312" w:cs="DengXian-Regular"/>
          <w:b w:val="0"/>
          <w:bCs w:val="0"/>
          <w:kern w:val="2"/>
          <w:sz w:val="32"/>
          <w:szCs w:val="32"/>
        </w:rPr>
        <w:t>、收入支出决算总表</w:t>
      </w:r>
    </w:p>
    <w:p>
      <w:pPr>
        <w:pStyle w:val="2"/>
        <w:spacing w:line="560" w:lineRule="exact"/>
        <w:ind w:firstLine="640" w:firstLineChars="200"/>
        <w:rPr>
          <w:rFonts w:ascii="仿宋_GB2312" w:eastAsia="仿宋_GB2312" w:cs="DengXian-Regular"/>
          <w:b w:val="0"/>
          <w:bCs w:val="0"/>
          <w:kern w:val="2"/>
          <w:sz w:val="32"/>
          <w:szCs w:val="32"/>
        </w:rPr>
      </w:pPr>
      <w:r>
        <w:rPr>
          <w:rFonts w:hint="eastAsia" w:ascii="仿宋_GB2312" w:eastAsia="仿宋_GB2312" w:cs="DengXian-Regular"/>
          <w:b w:val="0"/>
          <w:bCs w:val="0"/>
          <w:kern w:val="2"/>
          <w:sz w:val="32"/>
          <w:szCs w:val="32"/>
        </w:rPr>
        <w:t>二、收入决算表</w:t>
      </w:r>
    </w:p>
    <w:p>
      <w:pPr>
        <w:pStyle w:val="2"/>
        <w:spacing w:line="560" w:lineRule="exact"/>
        <w:ind w:firstLine="640" w:firstLineChars="200"/>
        <w:rPr>
          <w:rFonts w:ascii="仿宋_GB2312" w:eastAsia="仿宋_GB2312" w:cs="DengXian-Regular"/>
          <w:b w:val="0"/>
          <w:bCs w:val="0"/>
          <w:kern w:val="2"/>
          <w:sz w:val="32"/>
          <w:szCs w:val="32"/>
        </w:rPr>
      </w:pPr>
      <w:r>
        <w:rPr>
          <w:rFonts w:hint="eastAsia" w:ascii="仿宋_GB2312" w:eastAsia="仿宋_GB2312" w:cs="DengXian-Regular"/>
          <w:b w:val="0"/>
          <w:bCs w:val="0"/>
          <w:kern w:val="2"/>
          <w:sz w:val="32"/>
          <w:szCs w:val="32"/>
        </w:rPr>
        <w:t xml:space="preserve">三、支出决算表 </w:t>
      </w:r>
    </w:p>
    <w:p>
      <w:pPr>
        <w:pStyle w:val="2"/>
        <w:spacing w:line="560" w:lineRule="exact"/>
        <w:ind w:firstLine="640" w:firstLineChars="200"/>
        <w:rPr>
          <w:rFonts w:ascii="仿宋_GB2312" w:eastAsia="仿宋_GB2312" w:cs="DengXian-Regular"/>
          <w:b w:val="0"/>
          <w:bCs w:val="0"/>
          <w:kern w:val="2"/>
          <w:sz w:val="32"/>
          <w:szCs w:val="32"/>
        </w:rPr>
      </w:pPr>
      <w:r>
        <w:rPr>
          <w:rFonts w:hint="eastAsia" w:ascii="仿宋_GB2312" w:eastAsia="仿宋_GB2312" w:cs="DengXian-Regular"/>
          <w:b w:val="0"/>
          <w:bCs w:val="0"/>
          <w:kern w:val="2"/>
          <w:sz w:val="32"/>
          <w:szCs w:val="32"/>
        </w:rPr>
        <w:t>四、财政拨款收入支出决算总表</w:t>
      </w:r>
    </w:p>
    <w:p>
      <w:pPr>
        <w:pStyle w:val="2"/>
        <w:spacing w:line="560" w:lineRule="exact"/>
        <w:ind w:firstLine="640" w:firstLineChars="200"/>
        <w:rPr>
          <w:rFonts w:ascii="仿宋_GB2312" w:eastAsia="仿宋_GB2312" w:cs="DengXian-Regular"/>
          <w:b w:val="0"/>
          <w:bCs w:val="0"/>
          <w:kern w:val="2"/>
          <w:sz w:val="32"/>
          <w:szCs w:val="32"/>
        </w:rPr>
      </w:pPr>
      <w:r>
        <w:rPr>
          <w:rFonts w:hint="eastAsia" w:ascii="仿宋_GB2312" w:eastAsia="仿宋_GB2312" w:cs="DengXian-Regular"/>
          <w:b w:val="0"/>
          <w:bCs w:val="0"/>
          <w:kern w:val="2"/>
          <w:sz w:val="32"/>
          <w:szCs w:val="32"/>
        </w:rPr>
        <w:t>五、一般公共预算财政拨款支出决算表</w:t>
      </w:r>
    </w:p>
    <w:p>
      <w:pPr>
        <w:pStyle w:val="2"/>
        <w:spacing w:line="560" w:lineRule="exact"/>
        <w:ind w:firstLine="640" w:firstLineChars="200"/>
        <w:rPr>
          <w:rFonts w:ascii="仿宋_GB2312" w:eastAsia="仿宋_GB2312" w:cs="DengXian-Regular"/>
          <w:b w:val="0"/>
          <w:bCs w:val="0"/>
          <w:kern w:val="2"/>
          <w:sz w:val="32"/>
          <w:szCs w:val="32"/>
        </w:rPr>
      </w:pPr>
      <w:r>
        <w:rPr>
          <w:rFonts w:hint="eastAsia" w:ascii="仿宋_GB2312" w:eastAsia="仿宋_GB2312" w:cs="DengXian-Regular"/>
          <w:b w:val="0"/>
          <w:bCs w:val="0"/>
          <w:kern w:val="2"/>
          <w:sz w:val="32"/>
          <w:szCs w:val="32"/>
        </w:rPr>
        <w:t>六、一般公共预算财政拨款基本支出决算表</w:t>
      </w:r>
    </w:p>
    <w:p>
      <w:pPr>
        <w:pStyle w:val="2"/>
        <w:spacing w:line="560" w:lineRule="exact"/>
        <w:ind w:firstLine="640" w:firstLineChars="200"/>
        <w:rPr>
          <w:rFonts w:ascii="仿宋_GB2312" w:eastAsia="仿宋_GB2312" w:cs="DengXian-Regular"/>
          <w:b w:val="0"/>
          <w:bCs w:val="0"/>
          <w:kern w:val="2"/>
          <w:sz w:val="32"/>
          <w:szCs w:val="32"/>
        </w:rPr>
      </w:pPr>
      <w:r>
        <w:rPr>
          <w:rFonts w:hint="eastAsia" w:ascii="仿宋_GB2312" w:eastAsia="仿宋_GB2312" w:cs="DengXian-Regular"/>
          <w:b w:val="0"/>
          <w:bCs w:val="0"/>
          <w:kern w:val="2"/>
          <w:sz w:val="32"/>
          <w:szCs w:val="32"/>
        </w:rPr>
        <w:t>七、政府性基金预算财政拨款收入支出决算表</w:t>
      </w:r>
    </w:p>
    <w:p>
      <w:pPr>
        <w:pStyle w:val="2"/>
        <w:spacing w:line="560" w:lineRule="exact"/>
        <w:ind w:firstLine="640" w:firstLineChars="200"/>
        <w:rPr>
          <w:rFonts w:ascii="仿宋_GB2312" w:eastAsia="仿宋_GB2312" w:cs="DengXian-Regular"/>
          <w:b w:val="0"/>
          <w:bCs w:val="0"/>
          <w:kern w:val="2"/>
          <w:sz w:val="32"/>
          <w:szCs w:val="32"/>
        </w:rPr>
      </w:pPr>
      <w:r>
        <w:rPr>
          <w:rFonts w:hint="eastAsia" w:ascii="仿宋_GB2312" w:eastAsia="仿宋_GB2312" w:cs="DengXian-Regular"/>
          <w:b w:val="0"/>
          <w:bCs w:val="0"/>
          <w:kern w:val="2"/>
          <w:sz w:val="32"/>
          <w:szCs w:val="32"/>
        </w:rPr>
        <w:t>八、国有资本经营预算财政拨款收入支出决算表</w:t>
      </w:r>
    </w:p>
    <w:p>
      <w:pPr>
        <w:pStyle w:val="2"/>
        <w:spacing w:line="560" w:lineRule="exact"/>
        <w:ind w:firstLine="640" w:firstLineChars="200"/>
        <w:rPr>
          <w:rFonts w:ascii="仿宋_GB2312" w:eastAsia="仿宋_GB2312" w:cs="DengXian-Regular"/>
          <w:b w:val="0"/>
          <w:bCs w:val="0"/>
          <w:kern w:val="2"/>
          <w:sz w:val="32"/>
          <w:szCs w:val="32"/>
        </w:rPr>
      </w:pPr>
      <w:r>
        <w:rPr>
          <w:rFonts w:hint="eastAsia" w:ascii="仿宋_GB2312" w:eastAsia="仿宋_GB2312" w:cs="DengXian-Regular"/>
          <w:b w:val="0"/>
          <w:bCs w:val="0"/>
          <w:kern w:val="2"/>
          <w:sz w:val="32"/>
          <w:szCs w:val="32"/>
        </w:rPr>
        <w:t>九、“三公”经费及相关信息统计表</w:t>
      </w:r>
    </w:p>
    <w:p>
      <w:pPr>
        <w:pStyle w:val="2"/>
        <w:spacing w:line="560" w:lineRule="exact"/>
        <w:ind w:firstLine="640" w:firstLineChars="200"/>
        <w:rPr>
          <w:rFonts w:ascii="仿宋_GB2312" w:eastAsia="仿宋_GB2312" w:cs="DengXian-Regular"/>
          <w:b w:val="0"/>
          <w:bCs w:val="0"/>
          <w:kern w:val="2"/>
          <w:sz w:val="32"/>
          <w:szCs w:val="32"/>
        </w:rPr>
      </w:pPr>
      <w:r>
        <w:rPr>
          <w:rFonts w:hint="eastAsia" w:ascii="仿宋_GB2312" w:eastAsia="仿宋_GB2312" w:cs="DengXian-Regular"/>
          <w:b w:val="0"/>
          <w:bCs w:val="0"/>
          <w:kern w:val="2"/>
          <w:sz w:val="32"/>
          <w:szCs w:val="32"/>
        </w:rPr>
        <w:t>十、政府采购情况表</w:t>
      </w:r>
    </w:p>
    <w:p>
      <w:pPr>
        <w:ind w:firstLine="622"/>
        <w:rPr>
          <w:rFonts w:ascii="宋体" w:hAnsi="宋体"/>
          <w:sz w:val="24"/>
        </w:rPr>
      </w:pPr>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第三部分部门决算情况说明</w:t>
      </w:r>
    </w:p>
    <w:p>
      <w:pPr>
        <w:pStyle w:val="5"/>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0万元，本年收入39.69万元；本年支出39.67万元、年末结转和结余0.03万元。与2016年度决算相比，本年收入增加3.23万元，增长8.86%，主要是人员工资调整变化；本年支出增加1.21万元，增长3.15%，主要是人员工资调整。</w:t>
      </w:r>
    </w:p>
    <w:p>
      <w:pPr>
        <w:pStyle w:val="5"/>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本部门2017年度本年收入合计39.69万元，其中：财政拨款收入39.69万元，占100%。如图所示：</w:t>
      </w:r>
    </w:p>
    <w:p>
      <w:pPr>
        <w:adjustRightInd w:val="0"/>
        <w:snapToGrid w:val="0"/>
        <w:spacing w:line="560" w:lineRule="exact"/>
        <w:ind w:firstLine="1920" w:firstLineChars="600"/>
        <w:rPr>
          <w:rFonts w:ascii="仿宋_GB2312" w:eastAsia="仿宋_GB2312" w:cs="DengXian-Regular"/>
          <w:sz w:val="32"/>
          <w:szCs w:val="32"/>
        </w:rPr>
      </w:pPr>
      <w:r>
        <w:rPr>
          <w:rFonts w:ascii="仿宋_GB2312" w:eastAsia="仿宋_GB2312" w:cs="DengXian-Regular"/>
          <w:sz w:val="32"/>
          <w:szCs w:val="32"/>
        </w:rPr>
        <w:t>图</w:t>
      </w:r>
      <w:r>
        <w:rPr>
          <w:rFonts w:hint="eastAsia" w:ascii="仿宋_GB2312" w:eastAsia="仿宋_GB2312" w:cs="DengXian-Regular"/>
          <w:sz w:val="32"/>
          <w:szCs w:val="32"/>
        </w:rPr>
        <w:t>1：收入决算结构饼状图</w:t>
      </w:r>
    </w:p>
    <w:p>
      <w:pPr>
        <w:adjustRightInd w:val="0"/>
        <w:snapToGrid w:val="0"/>
        <w:spacing w:after="0" w:line="240" w:lineRule="auto"/>
        <w:rPr>
          <w:rFonts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_x0000_i1025" o:spid="_x0000_s1025" type="#_x0000_t75" style="height:201pt;width:441.75pt;rotation:0f;" o:ole="f" fillcolor="#FFFFFF" filled="f" o:preferrelative="t" stroked="f" coordorigin="0,0" coordsize="21600,21600">
            <v:fill on="f" color2="#FFFFFF" focus="0%"/>
            <v:imagedata gain="65536f" blacklevel="0f" gamma="0" o:title="" r:id="rId5"/>
            <o:lock v:ext="edit" position="f" selection="f" grouping="f" rotation="f" cropping="f" text="f" aspectratio="t"/>
            <w10:wrap type="none"/>
            <w10:anchorlock/>
          </v:shape>
        </w:pict>
      </w:r>
    </w:p>
    <w:p>
      <w:pPr>
        <w:pStyle w:val="5"/>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本部门2017年度本年支出合计39.67万元，其中：基本支出39.67万元，占100%。如图所示：</w:t>
      </w:r>
    </w:p>
    <w:p>
      <w:pPr>
        <w:adjustRightInd w:val="0"/>
        <w:snapToGrid w:val="0"/>
        <w:spacing w:line="560" w:lineRule="exact"/>
        <w:ind w:firstLine="1920" w:firstLineChars="600"/>
        <w:rPr>
          <w:rFonts w:ascii="仿宋_GB2312" w:eastAsia="仿宋_GB2312" w:cs="DengXian-Regular"/>
          <w:sz w:val="32"/>
          <w:szCs w:val="32"/>
        </w:rPr>
      </w:pPr>
      <w:r>
        <w:rPr>
          <w:rFonts w:ascii="仿宋_GB2312" w:eastAsia="仿宋_GB2312" w:cs="DengXian-Regular"/>
          <w:sz w:val="32"/>
          <w:szCs w:val="32"/>
        </w:rPr>
        <w:t>图</w:t>
      </w:r>
      <w:r>
        <w:rPr>
          <w:rFonts w:hint="eastAsia" w:ascii="仿宋_GB2312" w:eastAsia="仿宋_GB2312" w:cs="DengXian-Regular"/>
          <w:sz w:val="32"/>
          <w:szCs w:val="32"/>
        </w:rPr>
        <w:t>2：支出决算结构饼状图</w:t>
      </w:r>
    </w:p>
    <w:p>
      <w:pPr>
        <w:adjustRightInd w:val="0"/>
        <w:snapToGrid w:val="0"/>
        <w:spacing w:after="0" w:line="240" w:lineRule="auto"/>
        <w:rPr>
          <w:rFonts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_x0000_i1026" o:spid="_x0000_s1026" type="#_x0000_t75" style="height:201pt;width:441.75pt;rotation:0f;" o:ole="f" fillcolor="#FFFFFF" filled="f" o:preferrelative="t" stroked="f" coordorigin="0,0" coordsize="21600,21600">
            <v:fill on="f" color2="#FFFFFF" focus="0%"/>
            <v:imagedata gain="65536f" blacklevel="0f" gamma="0" o:title="" r:id="rId6"/>
            <o:lock v:ext="edit" position="f" selection="f" grouping="f" rotation="f" cropping="f" text="f" aspectratio="t"/>
            <w10:wrap type="none"/>
            <w10:anchorlock/>
          </v:shape>
        </w:pict>
      </w:r>
    </w:p>
    <w:p>
      <w:pPr>
        <w:pStyle w:val="5"/>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kern w:val="0"/>
        </w:rPr>
        <w:t>财政</w:t>
      </w:r>
      <w:r>
        <w:rPr>
          <w:rFonts w:hint="eastAsia" w:ascii="黑体" w:eastAsia="黑体"/>
        </w:rPr>
        <w:t>拨款收入支出决算总体情况说明</w:t>
      </w:r>
    </w:p>
    <w:p>
      <w:pPr>
        <w:spacing w:after="0" w:line="560" w:lineRule="exact"/>
        <w:ind w:firstLine="640"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0万元、本年收入39.69万元；本年支出39.67万元、年末结转和结余0.03万元。与2016年度决算相比，一般公共预算财政拨款本年收入增加3.23万元，增长8.86%，主要是人员工资调整变化；本年支出增加1.21万元，增长3.15%，主要是人员工资调整变化。</w:t>
      </w:r>
    </w:p>
    <w:p>
      <w:pPr>
        <w:spacing w:after="0" w:line="560" w:lineRule="exact"/>
        <w:ind w:firstLine="640"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本部门2017年度一般公共预算财政拨款本年收入较2017年初预算减少6.5万元，降低14.07%，主要是人员工资调整变化；本年支出减少6.52万元，降低14.12%，主要是人员工资调整变化。</w:t>
      </w:r>
    </w:p>
    <w:p>
      <w:pPr>
        <w:adjustRightInd w:val="0"/>
        <w:snapToGrid w:val="0"/>
        <w:spacing w:after="0" w:line="560" w:lineRule="exact"/>
        <w:ind w:firstLine="640" w:firstLineChars="200"/>
        <w:rPr>
          <w:rFonts w:ascii="仿宋_GB2312" w:eastAsia="仿宋_GB2312" w:cs="DengXian-Regular"/>
          <w:sz w:val="32"/>
          <w:szCs w:val="32"/>
        </w:rPr>
      </w:pPr>
    </w:p>
    <w:p>
      <w:pPr>
        <w:pStyle w:val="5"/>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本部门2017年度无“三公”经费支出共计0万元，较年初预算无增减变化，较2016年度决算无增减变化。</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本部门2017年度未参加其他单位组织的因公出国（境）团组。较年初预算无增减变化，较2016年度决算无增减变化。</w:t>
      </w:r>
    </w:p>
    <w:p>
      <w:pPr>
        <w:adjustRightInd w:val="0"/>
        <w:snapToGrid w:val="0"/>
        <w:spacing w:after="0" w:line="560" w:lineRule="exact"/>
        <w:ind w:firstLine="640"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本部门2017年度公务用车购置及运行维护费较年初预算无增减变化，较2016年度决算无增减变化。</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本部门2017年度未发生“公务用车购置”经费支出，较2016年度决算无增减变化。</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本部门2017年度单位公务用车保有量0辆。公车运行维护费支出较年初预算无增减变化，较2016年度决算无增减变化。</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本部门2017年度公务接待共0批次、0人次。公务接待费支出较年初预算无增减变化，较2016年度决算无增减变化。</w:t>
      </w:r>
    </w:p>
    <w:p>
      <w:pPr>
        <w:pStyle w:val="5"/>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numPr>
          <w:ilvl w:val="0"/>
          <w:numId w:val="1"/>
        </w:num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pStyle w:val="5"/>
        <w:spacing w:before="0" w:after="0" w:line="560" w:lineRule="exact"/>
        <w:ind w:firstLine="643" w:firstLineChars="200"/>
        <w:rPr>
          <w:rFonts w:hint="eastAsia" w:ascii="仿宋_GB2312" w:eastAsia="仿宋_GB2312" w:cs="DengXian-Regular"/>
          <w:b w:val="0"/>
          <w:bCs w:val="0"/>
          <w:sz w:val="32"/>
          <w:szCs w:val="32"/>
          <w:lang w:val="en-US" w:eastAsia="zh-CN"/>
        </w:rPr>
      </w:pPr>
      <w:bookmarkStart w:id="0" w:name="_GoBack"/>
      <w:r>
        <w:rPr>
          <w:rFonts w:hint="eastAsia" w:ascii="仿宋_GB2312" w:eastAsia="仿宋_GB2312" w:cs="DengXian-Regular"/>
          <w:b w:val="0"/>
          <w:bCs w:val="0"/>
          <w:sz w:val="32"/>
          <w:szCs w:val="32"/>
          <w:lang w:val="en-US" w:eastAsia="zh-CN"/>
        </w:rPr>
        <w:t>本单位无民生项目和重点支出项目。</w:t>
      </w:r>
      <w:bookmarkEnd w:id="0"/>
    </w:p>
    <w:p>
      <w:pPr>
        <w:pStyle w:val="5"/>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7"/>
        <w:spacing w:before="0" w:after="0" w:line="560" w:lineRule="exact"/>
        <w:ind w:firstLine="640"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本部门2017年度机关运行经费支出3.95万元，比2016年度增加0.02万元，增长0.01%。主要原因是办公经费增加。</w:t>
      </w:r>
    </w:p>
    <w:p>
      <w:pPr>
        <w:pStyle w:val="7"/>
        <w:spacing w:before="0" w:after="0" w:line="560" w:lineRule="exact"/>
        <w:ind w:firstLine="640"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w:t>
      </w:r>
      <w:r>
        <w:rPr>
          <w:rFonts w:hint="eastAsia" w:ascii="仿宋_GB2312" w:eastAsia="仿宋_GB2312" w:cs="DengXian-Regular"/>
          <w:sz w:val="32"/>
          <w:szCs w:val="32"/>
          <w:lang w:eastAsia="zh-CN"/>
        </w:rPr>
        <w:t>，</w:t>
      </w:r>
      <w:r>
        <w:rPr>
          <w:rFonts w:hint="eastAsia" w:ascii="仿宋_GB2312" w:eastAsia="仿宋_GB2312" w:cs="DengXian-Regular"/>
          <w:sz w:val="32"/>
          <w:szCs w:val="32"/>
        </w:rPr>
        <w:t>其中：政府采购货物支出0万元、政府采购工程支出0万元、政府采购服务支出0万元。</w:t>
      </w:r>
    </w:p>
    <w:p>
      <w:pPr>
        <w:pStyle w:val="7"/>
        <w:spacing w:before="0" w:after="0" w:line="560" w:lineRule="exact"/>
        <w:ind w:firstLine="640"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截至2017年12月31日，本部门共有车辆0辆；单位价值50万元以上大型设备0台，单位价值100万元以上大型设备0台。</w:t>
      </w:r>
    </w:p>
    <w:p>
      <w:pPr>
        <w:pStyle w:val="7"/>
        <w:spacing w:before="0" w:after="0" w:line="560" w:lineRule="exact"/>
        <w:ind w:firstLine="640" w:firstLineChars="200"/>
        <w:rPr>
          <w:rFonts w:ascii="楷体_GB2312" w:eastAsia="楷体_GB2312" w:cs="DengXian-Bold"/>
        </w:rPr>
      </w:pPr>
      <w:r>
        <w:rPr>
          <w:rFonts w:hint="eastAsia" w:ascii="楷体_GB2312" w:eastAsia="楷体_GB2312" w:cs="DengXian-Bold"/>
        </w:rPr>
        <w:t>（四）其他需要说明的情况</w:t>
      </w:r>
    </w:p>
    <w:p>
      <w:pPr>
        <w:pStyle w:val="2"/>
        <w:spacing w:line="560" w:lineRule="exact"/>
        <w:ind w:firstLine="640" w:firstLineChars="200"/>
        <w:rPr>
          <w:rFonts w:ascii="仿宋_GB2312" w:eastAsia="仿宋_GB2312" w:cs="DengXian-Regular"/>
          <w:b w:val="0"/>
          <w:bCs w:val="0"/>
          <w:kern w:val="2"/>
          <w:sz w:val="32"/>
          <w:szCs w:val="32"/>
        </w:rPr>
      </w:pPr>
      <w:r>
        <w:rPr>
          <w:rFonts w:hint="eastAsia" w:ascii="仿宋_GB2312" w:eastAsia="仿宋_GB2312" w:cs="DengXian-Regular"/>
          <w:b w:val="0"/>
          <w:bCs w:val="0"/>
          <w:sz w:val="32"/>
          <w:szCs w:val="32"/>
        </w:rPr>
        <w:t>1、</w:t>
      </w:r>
      <w:r>
        <w:rPr>
          <w:rFonts w:hint="eastAsia" w:ascii="仿宋_GB2312" w:eastAsia="仿宋_GB2312" w:cs="DengXian-Regular"/>
          <w:b w:val="0"/>
          <w:bCs w:val="0"/>
          <w:kern w:val="2"/>
          <w:sz w:val="32"/>
          <w:szCs w:val="32"/>
        </w:rPr>
        <w:t>本部门2017年度政府性基金、国有资本经营、政府采购无收支及结转结余情况，故政府性基金预算财政拨款收入支出决算表、国有资本经营预算财政拨款收入支出决算表、政府采购情况表以空表列示。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cs="SimSun,Bold"/>
        </w:rPr>
      </w:pPr>
      <w:r>
        <w:rPr>
          <w:rFonts w:hint="eastAsia" w:ascii="宋体" w:hAnsi="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附件：工商联2017年度部门决算报表</w:t>
      </w:r>
    </w:p>
    <w:p>
      <w:pPr>
        <w:widowControl/>
        <w:spacing w:after="0" w:line="560" w:lineRule="exact"/>
        <w:ind w:firstLine="640" w:firstLineChars="200"/>
        <w:rPr>
          <w:rFonts w:ascii="仿宋_GB2312" w:hAnsi="宋体" w:eastAsia="仿宋_GB2312"/>
          <w:color w:val="000000"/>
          <w:kern w:val="0"/>
          <w:sz w:val="32"/>
          <w:szCs w:val="32"/>
        </w:rPr>
      </w:pPr>
    </w:p>
    <w:sectPr>
      <w:pgSz w:w="11906" w:h="16838"/>
      <w:pgMar w:top="2098" w:right="1474" w:bottom="1985" w:left="1588"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Cambria">
    <w:panose1 w:val="02040503050406030204"/>
    <w:charset w:val="00"/>
    <w:family w:val="auto"/>
    <w:pitch w:val="default"/>
    <w:sig w:usb0="E00006FF" w:usb1="420024FF" w:usb2="02000000" w:usb3="00000000" w:csb0="2000019F" w:csb1="00000000"/>
  </w:font>
  <w:font w:name="Calibri">
    <w:panose1 w:val="020F0502020204030204"/>
    <w:charset w:val="00"/>
    <w:family w:val="auto"/>
    <w:pitch w:val="default"/>
    <w:sig w:usb0="E0002AFF" w:usb1="C000247B" w:usb2="00000009" w:usb3="00000000" w:csb0="200001FF" w:csb1="00000000"/>
  </w:font>
  <w:font w:name="方正小标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1"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SimSun,Bold">
    <w:altName w:val="宋体"/>
    <w:panose1 w:val="00000000000000000000"/>
    <w:charset w:val="86"/>
    <w:family w:val="auto"/>
    <w:pitch w:val="default"/>
    <w:sig w:usb0="00000000" w:usb1="00000000" w:usb2="00000010" w:usb3="00000000" w:csb0="00040000" w:csb1="00000000"/>
  </w:font>
  <w:font w:name="Dotum">
    <w:altName w:val="Verdana"/>
    <w:panose1 w:val="020B0600000101010101"/>
    <w:charset w:val="00"/>
    <w:family w:val="auto"/>
    <w:pitch w:val="default"/>
    <w:sig w:usb0="B00002AF" w:usb1="69D77CFB" w:usb2="00000030" w:usb3="00000000" w:csb0="4008009F" w:csb1="DFD70000"/>
  </w:font>
  <w:font w:name="MS-UIGothic,Bold">
    <w:altName w:val="Malgun Gothic"/>
    <w:panose1 w:val="00000000000000000000"/>
    <w:charset w:val="81"/>
    <w:family w:val="auto"/>
    <w:pitch w:val="default"/>
    <w:sig w:usb0="00000000" w:usb1="00000000" w:usb2="00000010" w:usb3="00000000" w:csb0="00080000" w:csb1="00000000"/>
  </w:font>
  <w:font w:name="TimesNewRomanPSMT">
    <w:altName w:val="Arial"/>
    <w:panose1 w:val="00000000000000000000"/>
    <w:charset w:val="00"/>
    <w:family w:val="auto"/>
    <w:pitch w:val="default"/>
    <w:sig w:usb0="00000000" w:usb1="00000000" w:usb2="00000000" w:usb3="00000000" w:csb0="00000001"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 w:name="Corbel">
    <w:panose1 w:val="020B0503020204020204"/>
    <w:charset w:val="00"/>
    <w:family w:val="auto"/>
    <w:pitch w:val="default"/>
    <w:sig w:usb0="A00002EF" w:usb1="4000A44B" w:usb2="00000000" w:usb3="00000000" w:csb0="2000019F" w:csb1="00000000"/>
  </w:font>
  <w:font w:name="Gulim">
    <w:altName w:val="Verdana"/>
    <w:panose1 w:val="020B0600000101010101"/>
    <w:charset w:val="00"/>
    <w:family w:val="auto"/>
    <w:pitch w:val="default"/>
    <w:sig w:usb0="B00002AF" w:usb1="69D77CFB" w:usb2="00000030" w:usb3="00000000" w:csb0="4008009F" w:csb1="DFD70000"/>
  </w:font>
  <w:font w:name="Verdana">
    <w:panose1 w:val="020B0604030504040204"/>
    <w:charset w:val="00"/>
    <w:family w:val="auto"/>
    <w:pitch w:val="default"/>
    <w:sig w:usb0="A00006FF" w:usb1="4000205B" w:usb2="00000010" w:usb3="00000000" w:csb0="2000019F" w:csb1="00000000"/>
  </w:font>
  <w:font w:name="Malgun Gothic">
    <w:panose1 w:val="020B0503020000020004"/>
    <w:charset w:val="00"/>
    <w:family w:val="auto"/>
    <w:pitch w:val="default"/>
    <w:sig w:usb0="9000002F" w:usb1="29D77CFB" w:usb2="00000012" w:usb3="00000000" w:csb0="00080001" w:csb1="00000000"/>
  </w:font>
  <w:font w:name="Verdana">
    <w:panose1 w:val="020B0604030504040204"/>
    <w:charset w:val="00"/>
    <w:family w:val="auto"/>
    <w:pitch w:val="default"/>
    <w:sig w:usb0="A00006FF" w:usb1="4000205B" w:usb2="00000010" w:usb3="00000000" w:csb0="2000019F" w:csb1="00000000"/>
  </w:font>
  <w:font w:name="Malgun Gothic">
    <w:panose1 w:val="020B0503020000020004"/>
    <w:charset w:val="00"/>
    <w:family w:val="auto"/>
    <w:pitch w:val="default"/>
    <w:sig w:usb0="9000002F" w:usb1="29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00000000"/>
    <w:lvl w:ilvl="0" w:tentative="1">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5">
    <w:name w:val="heading 2"/>
    <w:basedOn w:val="1"/>
    <w:next w:val="1"/>
    <w:link w:val="6"/>
    <w:pPr>
      <w:keepNext/>
      <w:keepLines/>
      <w:spacing w:before="260" w:after="260" w:line="416" w:lineRule="auto"/>
      <w:outlineLvl w:val="1"/>
    </w:pPr>
    <w:rPr>
      <w:rFonts w:ascii="Calibri" w:hAnsi="Calibri" w:eastAsia="宋体" w:cs="黑体"/>
      <w:b/>
      <w:bCs/>
      <w:sz w:val="32"/>
      <w:szCs w:val="32"/>
    </w:rPr>
  </w:style>
  <w:style w:type="paragraph" w:styleId="7">
    <w:name w:val="heading 3"/>
    <w:basedOn w:val="1"/>
    <w:next w:val="1"/>
    <w:link w:val="8"/>
    <w:pPr>
      <w:keepNext/>
      <w:keepLines/>
      <w:spacing w:before="260" w:after="260" w:line="416" w:lineRule="auto"/>
      <w:outlineLvl w:val="2"/>
    </w:pPr>
    <w:rPr>
      <w:rFonts w:ascii="Times New Roman" w:hAnsi="Times New Roman" w:eastAsia="宋体" w:cs="Times New Roman"/>
      <w:b/>
      <w:bCs/>
      <w:sz w:val="32"/>
      <w:szCs w:val="32"/>
    </w:rPr>
  </w:style>
  <w:style w:type="paragraph" w:styleId="9">
    <w:name w:val="heading 4"/>
    <w:basedOn w:val="1"/>
    <w:next w:val="1"/>
    <w:link w:val="10"/>
    <w:pPr>
      <w:keepNext/>
      <w:keepLines/>
      <w:spacing w:before="280" w:after="290" w:line="376" w:lineRule="auto"/>
      <w:outlineLvl w:val="3"/>
    </w:pPr>
    <w:rPr>
      <w:rFonts w:ascii="Calibri" w:hAnsi="Calibri" w:eastAsia="宋体" w:cs="黑体"/>
      <w:b/>
      <w:bCs/>
      <w:sz w:val="28"/>
      <w:szCs w:val="28"/>
    </w:rPr>
  </w:style>
  <w:style w:type="character" w:default="1" w:styleId="4">
    <w:name w:val="Default Paragraph Font"/>
  </w:style>
  <w:style w:type="character" w:customStyle="1" w:styleId="3">
    <w:name w:val="标题 1 Char"/>
    <w:basedOn w:val="4"/>
    <w:link w:val="2"/>
    <w:semiHidden/>
    <w:rPr>
      <w:rFonts w:ascii="Times New Roman" w:hAnsi="Times New Roman" w:eastAsia="宋体" w:cs="Times New Roman"/>
      <w:b/>
      <w:bCs/>
      <w:kern w:val="44"/>
      <w:sz w:val="44"/>
      <w:szCs w:val="44"/>
    </w:rPr>
  </w:style>
  <w:style w:type="character" w:customStyle="1" w:styleId="6">
    <w:name w:val="标题 2 Char"/>
    <w:basedOn w:val="4"/>
    <w:link w:val="5"/>
    <w:semiHidden/>
    <w:rPr>
      <w:rFonts w:ascii="Calibri" w:hAnsi="Calibri" w:eastAsia="宋体" w:cs="黑体"/>
      <w:b/>
      <w:bCs/>
      <w:sz w:val="32"/>
      <w:szCs w:val="32"/>
    </w:rPr>
  </w:style>
  <w:style w:type="character" w:customStyle="1" w:styleId="8">
    <w:name w:val="标题 3 Char"/>
    <w:basedOn w:val="4"/>
    <w:link w:val="7"/>
    <w:semiHidden/>
    <w:rPr>
      <w:rFonts w:ascii="Times New Roman" w:hAnsi="Times New Roman" w:eastAsia="宋体" w:cs="Times New Roman"/>
      <w:b/>
      <w:bCs/>
      <w:sz w:val="32"/>
      <w:szCs w:val="32"/>
    </w:rPr>
  </w:style>
  <w:style w:type="character" w:customStyle="1" w:styleId="10">
    <w:name w:val="标题 4 Char"/>
    <w:basedOn w:val="4"/>
    <w:link w:val="9"/>
    <w:semiHidden/>
    <w:rPr>
      <w:rFonts w:ascii="Calibri" w:hAnsi="Calibri" w:eastAsia="宋体" w:cs="黑体"/>
      <w:b/>
      <w:bCs/>
      <w:sz w:val="28"/>
      <w:szCs w:val="28"/>
    </w:rPr>
  </w:style>
  <w:style w:type="paragraph" w:styleId="11">
    <w:name w:val="footer"/>
    <w:basedOn w:val="1"/>
    <w:link w:val="12"/>
    <w:pPr>
      <w:tabs>
        <w:tab w:val="center" w:pos="4153"/>
        <w:tab w:val="right" w:pos="8306"/>
      </w:tabs>
      <w:snapToGrid w:val="0"/>
      <w:jc w:val="left"/>
    </w:pPr>
    <w:rPr>
      <w:sz w:val="18"/>
      <w:szCs w:val="18"/>
    </w:rPr>
  </w:style>
  <w:style w:type="character" w:customStyle="1" w:styleId="12">
    <w:name w:val="页脚 Char"/>
    <w:basedOn w:val="4"/>
    <w:link w:val="11"/>
    <w:semiHidden/>
    <w:rPr>
      <w:sz w:val="18"/>
      <w:szCs w:val="18"/>
    </w:rPr>
  </w:style>
  <w:style w:type="paragraph" w:styleId="13">
    <w:name w:val="header"/>
    <w:basedOn w:val="1"/>
    <w:link w:val="14"/>
    <w:pPr>
      <w:pBdr>
        <w:bottom w:val="single" w:color="auto" w:sz="6" w:space="1"/>
      </w:pBdr>
      <w:tabs>
        <w:tab w:val="center" w:pos="4153"/>
        <w:tab w:val="right" w:pos="8306"/>
      </w:tabs>
      <w:snapToGrid w:val="0"/>
      <w:jc w:val="center"/>
    </w:pPr>
    <w:rPr>
      <w:sz w:val="18"/>
      <w:szCs w:val="18"/>
    </w:rPr>
  </w:style>
  <w:style w:type="character" w:customStyle="1" w:styleId="14">
    <w:name w:val="页眉 Char"/>
    <w:basedOn w:val="4"/>
    <w:link w:val="13"/>
    <w:semiHidden/>
    <w:rPr>
      <w:sz w:val="18"/>
      <w:szCs w:val="18"/>
    </w:rPr>
  </w:style>
  <w:style w:type="paragraph" w:styleId="15">
    <w:name w:val="Subtitle"/>
    <w:basedOn w:val="1"/>
    <w:next w:val="1"/>
    <w:link w:val="16"/>
    <w:pPr>
      <w:widowControl/>
      <w:spacing w:after="200" w:line="276" w:lineRule="auto"/>
      <w:jc w:val="left"/>
    </w:pPr>
    <w:rPr>
      <w:rFonts w:ascii="Calibri" w:hAnsi="Calibri" w:eastAsia="宋体" w:cs="黑体"/>
      <w:i/>
      <w:iCs/>
      <w:color w:val="F0A22E"/>
      <w:spacing w:val="15"/>
      <w:kern w:val="0"/>
      <w:sz w:val="24"/>
      <w:szCs w:val="24"/>
    </w:rPr>
  </w:style>
  <w:style w:type="character" w:customStyle="1" w:styleId="16">
    <w:name w:val="副标题 Char"/>
    <w:basedOn w:val="4"/>
    <w:link w:val="15"/>
    <w:semiHidden/>
    <w:rPr>
      <w:rFonts w:ascii="Calibri" w:hAnsi="Calibri" w:eastAsia="宋体" w:cs="黑体"/>
      <w:i/>
      <w:iCs/>
      <w:color w:val="F0A22E"/>
      <w:spacing w:val="15"/>
      <w:kern w:val="0"/>
      <w:sz w:val="24"/>
      <w:szCs w:val="24"/>
    </w:rPr>
  </w:style>
  <w:style w:type="paragraph" w:styleId="17">
    <w:name w:val="Title"/>
    <w:basedOn w:val="1"/>
    <w:next w:val="1"/>
    <w:link w:val="18"/>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8">
    <w:name w:val="标题 Char"/>
    <w:basedOn w:val="4"/>
    <w:link w:val="17"/>
    <w:semiHidden/>
    <w:rPr>
      <w:rFonts w:ascii="Calibri" w:hAnsi="Calibri" w:eastAsia="宋体" w:cs="黑体"/>
      <w:color w:val="392B23"/>
      <w:spacing w:val="5"/>
      <w:kern w:val="28"/>
      <w:sz w:val="52"/>
      <w:szCs w:val="52"/>
    </w:rPr>
  </w:style>
  <w:style w:type="paragraph" w:customStyle="1" w:styleId="19">
    <w:name w:val="批注框文本 Char Char"/>
    <w:basedOn w:val="1"/>
    <w:link w:val="21"/>
    <w:rPr>
      <w:rFonts w:ascii="Times New Roman" w:hAnsi="Times New Roman" w:eastAsia="宋体" w:cs="Times New Roman"/>
      <w:sz w:val="18"/>
      <w:szCs w:val="18"/>
    </w:rPr>
  </w:style>
  <w:style w:type="paragraph" w:customStyle="1" w:styleId="20">
    <w:name w:val="无间隔1"/>
    <w:link w:val="22"/>
    <w:pPr>
      <w:spacing w:after="160" w:line="480" w:lineRule="auto"/>
    </w:pPr>
    <w:rPr>
      <w:kern w:val="0"/>
      <w:sz w:val="22"/>
    </w:rPr>
  </w:style>
  <w:style w:type="character" w:customStyle="1" w:styleId="21">
    <w:name w:val="批注框文本 Char Char Char Char"/>
    <w:basedOn w:val="4"/>
    <w:link w:val="19"/>
    <w:semiHidden/>
    <w:rPr>
      <w:rFonts w:ascii="Times New Roman" w:hAnsi="Times New Roman" w:eastAsia="宋体" w:cs="Times New Roman"/>
      <w:sz w:val="18"/>
      <w:szCs w:val="18"/>
    </w:rPr>
  </w:style>
  <w:style w:type="character" w:customStyle="1" w:styleId="22">
    <w:name w:val="无间隔 Char"/>
    <w:basedOn w:val="4"/>
    <w:link w:val="20"/>
    <w:semiHidden/>
    <w:rPr>
      <w:kern w:val="0"/>
      <w:sz w:val="22"/>
    </w:rPr>
  </w:style>
  <w:style w:type="character" w:customStyle="1" w:styleId="23">
    <w:name w:val="Style1"/>
    <w:basedOn w:val="4"/>
    <w:rPr>
      <w:rFonts w:ascii="Cambria" w:hAnsi="黑体" w:eastAsia="黑体" w:cs="黑体"/>
      <w:sz w:val="22"/>
      <w:szCs w:val="22"/>
      <w:lang w:eastAsia="zh-CN"/>
    </w:rPr>
  </w:style>
  <w:style w:type="character" w:customStyle="1" w:styleId="24">
    <w:name w:val="Style2"/>
    <w:basedOn w:val="4"/>
    <w:rPr>
      <w:rFonts w:ascii="Cambria" w:hAnsi="黑体" w:eastAsia="黑体" w:cs="黑体"/>
      <w:sz w:val="22"/>
      <w:szCs w:val="22"/>
      <w:lang w:eastAsia="zh-CN"/>
    </w:rPr>
  </w:style>
  <w:style w:type="character" w:customStyle="1" w:styleId="25">
    <w:name w:val="Style3"/>
    <w:basedOn w:val="4"/>
    <w:rPr>
      <w:rFonts w:ascii="Cambria" w:hAnsi="黑体" w:eastAsia="黑体" w:cs="黑体"/>
      <w:szCs w:val="22"/>
      <w:lang w:eastAsia="zh-CN"/>
    </w:rPr>
  </w:style>
  <w:style w:type="character" w:customStyle="1" w:styleId="26">
    <w:name w:val="Style4"/>
    <w:basedOn w:val="4"/>
    <w:rPr>
      <w:rFonts w:ascii="Cambria" w:hAnsi="黑体" w:eastAsia="黑体" w:cs="黑体"/>
      <w:szCs w:val="22"/>
      <w:lang w:eastAsia="zh-CN"/>
    </w:rPr>
  </w:style>
  <w:style w:type="character" w:customStyle="1" w:styleId="27">
    <w:name w:val="Style5"/>
    <w:basedOn w:val="4"/>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customXml" Target="../customXml/item1.xml"/><Relationship Id="rId8"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Pages>
  <Words>542</Words>
  <Characters>3096</Characters>
  <Lines>25</Lines>
  <Paragraphs>7</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2018-08-30T08:38:00Z</dcterms:created>
  <dc:creator>User</dc:creator>
  <dcterms:modified xsi:type="dcterms:W3CDTF">2019-02-11T16:42:21Z</dcterms:modified>
  <dc:subject>石家庄市xxx部门</dc:subject>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