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Default ContentType="image/png" Extension="png"/>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sz w:val="72"/>
          <w:szCs w:val="72"/>
        </w:rPr>
      </w:pPr>
    </w:p>
    <w:p>
      <w:pPr>
        <w:widowControl/>
        <w:jc w:val="center"/>
        <w:rPr>
          <w:rFonts w:ascii="黑体" w:hAnsi="宋体" w:eastAsia="黑体"/>
          <w:color w:val="002060"/>
          <w:sz w:val="84"/>
          <w:szCs w:val="84"/>
        </w:rPr>
      </w:pPr>
      <w:r>
        <w:rPr>
          <w:rFonts w:hint="eastAsia" w:ascii="黑体" w:hAnsi="宋体" w:eastAsia="黑体"/>
          <w:color w:val="002060"/>
          <w:sz w:val="84"/>
          <w:szCs w:val="84"/>
        </w:rPr>
        <w:t>2017年度部门决算公开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宋体" w:hAnsi="宋体"/>
          <w:b/>
          <w:sz w:val="44"/>
          <w:szCs w:val="44"/>
        </w:rPr>
      </w:pPr>
      <w:r>
        <w:rPr>
          <w:rFonts w:hint="eastAsia" w:ascii="宋体" w:hAnsi="宋体"/>
          <w:b/>
          <w:sz w:val="44"/>
          <w:szCs w:val="44"/>
        </w:rPr>
        <w:t>无极县妇女联合会</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w:t>
      </w:r>
      <w:r>
        <w:rPr>
          <w:rFonts w:hint="eastAsia" w:eastAsia="黑体"/>
          <w:sz w:val="32"/>
          <w:szCs w:val="32"/>
        </w:rPr>
        <w:t xml:space="preserve"> 无极县妇女联合会</w:t>
      </w:r>
      <w:r>
        <w:rPr>
          <w:rFonts w:eastAsia="黑体"/>
          <w:sz w:val="32"/>
          <w:szCs w:val="32"/>
        </w:rPr>
        <w:t>概况</w:t>
      </w:r>
      <w:r>
        <w:rPr>
          <w:rFonts w:hint="eastAsia" w:eastAsia="仿宋_GB2312"/>
          <w:sz w:val="24"/>
          <w:szCs w:val="32"/>
        </w:rPr>
        <w:t xml:space="preserve">  </w:t>
      </w:r>
    </w:p>
    <w:p>
      <w:pPr>
        <w:widowControl/>
        <w:spacing w:line="580" w:lineRule="exact"/>
        <w:ind w:firstLine="1274"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4"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第二部分</w:t>
      </w:r>
      <w:r>
        <w:rPr>
          <w:rFonts w:hint="eastAsia" w:eastAsia="黑体"/>
          <w:sz w:val="32"/>
          <w:szCs w:val="32"/>
        </w:rPr>
        <w:t xml:space="preserve"> 无极县妇女联合会</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第三部分</w:t>
      </w:r>
      <w:r>
        <w:rPr>
          <w:rFonts w:hint="eastAsia" w:eastAsia="黑体"/>
          <w:sz w:val="32"/>
          <w:szCs w:val="32"/>
        </w:rPr>
        <w:t xml:space="preserve"> 无极县妇女联合会</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  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5"/>
        <w:spacing w:before="0" w:after="0" w:line="560" w:lineRule="exact"/>
        <w:ind w:firstLine="643" w:firstLineChars="200"/>
        <w:rPr>
          <w:rFonts w:ascii="黑体" w:hAnsi="Cambria" w:eastAsia="黑体" w:cs="黑体"/>
          <w:kern w:val="0"/>
        </w:rPr>
      </w:pPr>
      <w:r>
        <w:rPr>
          <w:rFonts w:hint="eastAsia" w:ascii="黑体" w:hAnsi="Cambria" w:eastAsia="黑体" w:cs="黑体"/>
          <w:kern w:val="0"/>
        </w:rPr>
        <w:t>一、部门职责</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无极县妇女联合会是党领导下的全县各界妇女的群众团体组织，是党和政府联系群众的桥梁和纽带，国家政权的重要社会制度之一。其主要职责是维护妇女和儿童合法权益，带领全县妇女为建设富裕、文明、生态、和谐的新无极再新功。</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1、向妇女群众宣传贯彻党的路线方针和政策，教育妇女要自尊、自立、自信、自强。</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2、向社会宣传有关维护妇女儿童的法律政策，参加社会治安综合治理。</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3、积极推进妇女儿童发展规划的实施。</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4、实施困境妇女儿童帮扶行动。    </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5、鼓励全县妇女积极参加巾帼现代农业科技示范基地建设。</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6、带领全县妇女开展“美丽庭院”及“妇女之家”创建，加强基层妇联组织建设。</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7、向全县妇女宣传“两癌”预防知识。</w:t>
      </w:r>
    </w:p>
    <w:p>
      <w:pPr>
        <w:pStyle w:val="5"/>
        <w:spacing w:before="0" w:after="0" w:line="560" w:lineRule="exact"/>
        <w:ind w:firstLine="643" w:firstLineChars="200"/>
        <w:rPr>
          <w:rFonts w:ascii="黑体" w:hAnsi="Cambria" w:eastAsia="黑体" w:cs="黑体"/>
          <w:kern w:val="0"/>
        </w:rPr>
      </w:pPr>
      <w:r>
        <w:rPr>
          <w:rFonts w:hint="eastAsia" w:ascii="黑体" w:hAnsi="Cambria" w:eastAsia="黑体" w:cs="黑体"/>
          <w:kern w:val="0"/>
        </w:rPr>
        <w:t>二、部门决算单位构成</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2017 年度，纳入本部门决算汇编范围的独立核算单位</w:t>
      </w:r>
    </w:p>
    <w:p>
      <w:pPr>
        <w:autoSpaceDE w:val="0"/>
        <w:autoSpaceDN w:val="0"/>
        <w:adjustRightInd w:val="0"/>
        <w:spacing w:after="0" w:line="560" w:lineRule="exact"/>
        <w:jc w:val="left"/>
        <w:sectPr>
          <w:pgSz w:w="11906" w:h="16838"/>
          <w:pgMar w:top="2098" w:right="1474" w:bottom="1985" w:left="1588" w:header="851" w:footer="992" w:gutter="0"/>
          <w:pgNumType w:start="0"/>
          <w:cols w:space="720" w:num="1"/>
          <w:titlePg/>
          <w:docGrid w:type="lines" w:linePitch="312"/>
        </w:sectPr>
      </w:pPr>
      <w:r>
        <w:rPr>
          <w:rFonts w:hint="eastAsia" w:ascii="仿宋_GB2312" w:hAnsi="Cambria" w:eastAsia="仿宋_GB2312" w:cs="ArialUnicodeMS"/>
          <w:kern w:val="0"/>
          <w:sz w:val="32"/>
          <w:szCs w:val="32"/>
        </w:rPr>
        <w:t>（以下简称“单位”）共一个，分别是无极县妇女联合会 ，单位基本性质为行政单位，预算管理级次为一级预算单位，执行行政单位会计制度，较上年无增减变化。</w:t>
      </w:r>
    </w:p>
    <w:p>
      <w:pPr>
        <w:spacing w:line="560" w:lineRule="exact"/>
        <w:rPr>
          <w:rFonts w:ascii="仿宋_GB2312" w:hAnsi="Cambria" w:eastAsia="仿宋_GB2312" w:cs="ArialUnicodeMS"/>
          <w:kern w:val="0"/>
          <w:sz w:val="32"/>
          <w:szCs w:val="32"/>
        </w:rPr>
      </w:pP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第二部分 2017年度部门决算报表</w:t>
      </w:r>
    </w:p>
    <w:p>
      <w:pPr>
        <w:widowControl/>
        <w:spacing w:after="0" w:line="560" w:lineRule="exact"/>
        <w:ind w:firstLine="643" w:firstLineChars="200"/>
        <w:jc w:val="center"/>
        <w:rPr>
          <w:rFonts w:hint="eastAsia" w:ascii="仿宋_GB2312" w:hAnsi="宋体" w:eastAsia="仿宋_GB2312" w:cs="MS-UIGothic,Bold"/>
          <w:b/>
          <w:bCs/>
          <w:kern w:val="0"/>
          <w:sz w:val="32"/>
          <w:szCs w:val="32"/>
        </w:rPr>
      </w:pPr>
      <w:r>
        <w:rPr>
          <w:rFonts w:hint="eastAsia" w:ascii="仿宋_GB2312" w:hAnsi="宋体" w:eastAsia="仿宋_GB2312" w:cs="MS-UIGothic,Bold"/>
          <w:b/>
          <w:bCs/>
          <w:kern w:val="0"/>
          <w:sz w:val="32"/>
          <w:szCs w:val="32"/>
        </w:rPr>
        <w:t>（详见附表）</w:t>
      </w:r>
    </w:p>
    <w:p>
      <w:pPr>
        <w:pStyle w:val="21"/>
        <w:widowControl/>
        <w:wordWrap/>
        <w:adjustRightInd/>
        <w:snapToGrid/>
        <w:spacing w:before="100" w:beforeAutospacing="1" w:after="100" w:afterAutospacing="1" w:line="480" w:lineRule="auto"/>
        <w:ind w:left="0" w:leftChars="0" w:right="0" w:firstLine="640" w:firstLineChars="200"/>
        <w:jc w:val="left"/>
        <w:textAlignment w:val="auto"/>
        <w:outlineLvl w:val="9"/>
        <w:rPr>
          <w:rFonts w:hint="eastAsia" w:ascii="仿宋_GB2312" w:hAnsi="微软雅黑" w:eastAsia="仿宋_GB2312" w:cs="微软雅黑"/>
          <w:color w:val="000000"/>
          <w:sz w:val="32"/>
          <w:szCs w:val="32"/>
        </w:rPr>
      </w:pPr>
      <w:r>
        <w:rPr>
          <w:rFonts w:hint="eastAsia" w:ascii="仿宋_GB2312" w:hAnsi="微软雅黑" w:eastAsia="仿宋_GB2312" w:cs="微软雅黑"/>
          <w:color w:val="000000"/>
          <w:sz w:val="32"/>
          <w:szCs w:val="32"/>
        </w:rPr>
        <w:t>一、收入支出决算总表</w:t>
      </w:r>
    </w:p>
    <w:p>
      <w:pPr>
        <w:pStyle w:val="21"/>
        <w:widowControl/>
        <w:wordWrap/>
        <w:adjustRightInd/>
        <w:snapToGrid/>
        <w:spacing w:before="100" w:beforeAutospacing="1" w:after="100" w:afterAutospacing="1" w:line="480" w:lineRule="auto"/>
        <w:ind w:left="0" w:leftChars="0" w:right="0" w:firstLine="640" w:firstLineChars="200"/>
        <w:jc w:val="left"/>
        <w:textAlignment w:val="auto"/>
        <w:outlineLvl w:val="9"/>
        <w:rPr>
          <w:rFonts w:hint="eastAsia" w:ascii="仿宋_GB2312" w:hAnsi="微软雅黑" w:eastAsia="仿宋_GB2312" w:cs="微软雅黑"/>
          <w:color w:val="000000"/>
          <w:sz w:val="32"/>
          <w:szCs w:val="32"/>
        </w:rPr>
      </w:pPr>
      <w:r>
        <w:rPr>
          <w:rFonts w:hint="eastAsia" w:ascii="仿宋_GB2312" w:hAnsi="微软雅黑" w:eastAsia="仿宋_GB2312" w:cs="微软雅黑"/>
          <w:color w:val="000000"/>
          <w:sz w:val="32"/>
          <w:szCs w:val="32"/>
        </w:rPr>
        <w:t>二、收入决算表</w:t>
      </w:r>
    </w:p>
    <w:p>
      <w:pPr>
        <w:pStyle w:val="21"/>
        <w:widowControl/>
        <w:wordWrap/>
        <w:adjustRightInd/>
        <w:snapToGrid/>
        <w:spacing w:before="100" w:beforeAutospacing="1" w:after="100" w:afterAutospacing="1" w:line="480" w:lineRule="auto"/>
        <w:ind w:left="0" w:leftChars="0" w:right="0" w:firstLine="640" w:firstLineChars="200"/>
        <w:jc w:val="left"/>
        <w:textAlignment w:val="auto"/>
        <w:outlineLvl w:val="9"/>
        <w:rPr>
          <w:rFonts w:hint="eastAsia" w:ascii="仿宋_GB2312" w:hAnsi="微软雅黑" w:eastAsia="仿宋_GB2312" w:cs="微软雅黑"/>
          <w:color w:val="000000"/>
          <w:sz w:val="32"/>
          <w:szCs w:val="32"/>
        </w:rPr>
      </w:pPr>
      <w:r>
        <w:rPr>
          <w:rFonts w:hint="eastAsia" w:ascii="仿宋_GB2312" w:hAnsi="微软雅黑" w:eastAsia="仿宋_GB2312" w:cs="微软雅黑"/>
          <w:color w:val="000000"/>
          <w:sz w:val="32"/>
          <w:szCs w:val="32"/>
        </w:rPr>
        <w:t>三、支出决算表</w:t>
      </w:r>
    </w:p>
    <w:p>
      <w:pPr>
        <w:pStyle w:val="21"/>
        <w:widowControl/>
        <w:wordWrap/>
        <w:adjustRightInd/>
        <w:snapToGrid/>
        <w:spacing w:before="100" w:beforeAutospacing="1" w:after="100" w:afterAutospacing="1" w:line="480" w:lineRule="auto"/>
        <w:ind w:left="0" w:leftChars="0" w:right="0" w:firstLine="640" w:firstLineChars="200"/>
        <w:jc w:val="left"/>
        <w:textAlignment w:val="auto"/>
        <w:outlineLvl w:val="9"/>
        <w:rPr>
          <w:rFonts w:hint="eastAsia" w:ascii="仿宋_GB2312" w:hAnsi="微软雅黑" w:eastAsia="仿宋_GB2312" w:cs="微软雅黑"/>
          <w:color w:val="000000"/>
          <w:sz w:val="32"/>
          <w:szCs w:val="32"/>
        </w:rPr>
      </w:pPr>
      <w:r>
        <w:rPr>
          <w:rFonts w:hint="eastAsia" w:ascii="仿宋_GB2312" w:hAnsi="微软雅黑" w:eastAsia="仿宋_GB2312" w:cs="微软雅黑"/>
          <w:color w:val="000000"/>
          <w:sz w:val="32"/>
          <w:szCs w:val="32"/>
        </w:rPr>
        <w:t>四、财政拨款收入支出决算总表</w:t>
      </w:r>
    </w:p>
    <w:p>
      <w:pPr>
        <w:pStyle w:val="21"/>
        <w:widowControl/>
        <w:wordWrap/>
        <w:adjustRightInd/>
        <w:snapToGrid/>
        <w:spacing w:before="100" w:beforeAutospacing="1" w:after="100" w:afterAutospacing="1" w:line="480" w:lineRule="auto"/>
        <w:ind w:left="0" w:leftChars="0" w:right="0" w:firstLine="640" w:firstLineChars="200"/>
        <w:jc w:val="left"/>
        <w:textAlignment w:val="auto"/>
        <w:outlineLvl w:val="9"/>
        <w:rPr>
          <w:rFonts w:hint="eastAsia" w:ascii="仿宋_GB2312" w:hAnsi="微软雅黑" w:eastAsia="仿宋_GB2312" w:cs="微软雅黑"/>
          <w:color w:val="000000"/>
          <w:sz w:val="32"/>
          <w:szCs w:val="32"/>
        </w:rPr>
      </w:pPr>
      <w:r>
        <w:rPr>
          <w:rFonts w:hint="eastAsia" w:ascii="仿宋_GB2312" w:hAnsi="微软雅黑" w:eastAsia="仿宋_GB2312" w:cs="微软雅黑"/>
          <w:color w:val="000000"/>
          <w:sz w:val="32"/>
          <w:szCs w:val="32"/>
        </w:rPr>
        <w:t>五、一般公共预算财政拨款收入支出决算表</w:t>
      </w:r>
    </w:p>
    <w:p>
      <w:pPr>
        <w:pStyle w:val="21"/>
        <w:widowControl/>
        <w:wordWrap/>
        <w:adjustRightInd/>
        <w:snapToGrid/>
        <w:spacing w:before="100" w:beforeAutospacing="1" w:after="100" w:afterAutospacing="1" w:line="480" w:lineRule="auto"/>
        <w:ind w:left="0" w:leftChars="0" w:right="0" w:firstLine="640" w:firstLineChars="200"/>
        <w:jc w:val="left"/>
        <w:textAlignment w:val="auto"/>
        <w:outlineLvl w:val="9"/>
        <w:rPr>
          <w:rFonts w:hint="eastAsia" w:ascii="仿宋_GB2312" w:hAnsi="微软雅黑" w:eastAsia="仿宋_GB2312" w:cs="微软雅黑"/>
          <w:color w:val="000000"/>
          <w:sz w:val="32"/>
          <w:szCs w:val="32"/>
        </w:rPr>
      </w:pPr>
      <w:r>
        <w:rPr>
          <w:rFonts w:hint="eastAsia" w:ascii="仿宋_GB2312" w:hAnsi="微软雅黑" w:eastAsia="仿宋_GB2312" w:cs="微软雅黑"/>
          <w:color w:val="000000"/>
          <w:sz w:val="32"/>
          <w:szCs w:val="32"/>
        </w:rPr>
        <w:t>六、一般公共预算财政拨款基本支出决算经济分类表</w:t>
      </w:r>
    </w:p>
    <w:p>
      <w:pPr>
        <w:pStyle w:val="21"/>
        <w:widowControl/>
        <w:wordWrap/>
        <w:adjustRightInd/>
        <w:snapToGrid/>
        <w:spacing w:before="100" w:beforeAutospacing="1" w:after="100" w:afterAutospacing="1" w:line="480" w:lineRule="auto"/>
        <w:ind w:left="0" w:leftChars="0" w:right="0" w:firstLine="640" w:firstLineChars="200"/>
        <w:jc w:val="left"/>
        <w:textAlignment w:val="auto"/>
        <w:outlineLvl w:val="9"/>
        <w:rPr>
          <w:rFonts w:hint="eastAsia" w:ascii="仿宋_GB2312" w:hAnsi="微软雅黑" w:eastAsia="仿宋_GB2312" w:cs="微软雅黑"/>
          <w:color w:val="000000"/>
          <w:sz w:val="32"/>
          <w:szCs w:val="32"/>
        </w:rPr>
      </w:pPr>
      <w:r>
        <w:rPr>
          <w:rFonts w:hint="eastAsia" w:ascii="仿宋_GB2312" w:hAnsi="微软雅黑" w:eastAsia="仿宋_GB2312" w:cs="微软雅黑"/>
          <w:color w:val="000000"/>
          <w:sz w:val="32"/>
          <w:szCs w:val="32"/>
        </w:rPr>
        <w:t>七、政府性基金预算财政拨款收入支出决算表</w:t>
      </w:r>
    </w:p>
    <w:p>
      <w:pPr>
        <w:pStyle w:val="21"/>
        <w:widowControl/>
        <w:wordWrap/>
        <w:adjustRightInd/>
        <w:snapToGrid/>
        <w:spacing w:before="100" w:beforeAutospacing="1" w:after="100" w:afterAutospacing="1" w:line="480" w:lineRule="auto"/>
        <w:ind w:left="0" w:leftChars="0" w:right="0" w:firstLine="640" w:firstLineChars="200"/>
        <w:jc w:val="left"/>
        <w:textAlignment w:val="auto"/>
        <w:outlineLvl w:val="9"/>
        <w:rPr>
          <w:rFonts w:hint="eastAsia" w:ascii="仿宋_GB2312" w:hAnsi="微软雅黑" w:eastAsia="仿宋_GB2312" w:cs="微软雅黑"/>
          <w:color w:val="000000"/>
          <w:sz w:val="32"/>
          <w:szCs w:val="32"/>
        </w:rPr>
      </w:pPr>
      <w:r>
        <w:rPr>
          <w:rFonts w:hint="eastAsia" w:ascii="仿宋_GB2312" w:hAnsi="微软雅黑" w:eastAsia="仿宋_GB2312" w:cs="微软雅黑"/>
          <w:color w:val="000000"/>
          <w:sz w:val="32"/>
          <w:szCs w:val="32"/>
        </w:rPr>
        <w:t>八、国有资本经营预算财政拨款收入支出决算表</w:t>
      </w:r>
    </w:p>
    <w:p>
      <w:pPr>
        <w:pStyle w:val="21"/>
        <w:widowControl/>
        <w:wordWrap/>
        <w:adjustRightInd/>
        <w:snapToGrid/>
        <w:spacing w:before="100" w:beforeAutospacing="1" w:after="100" w:afterAutospacing="1" w:line="480" w:lineRule="auto"/>
        <w:ind w:left="0" w:leftChars="0" w:right="0" w:firstLine="640" w:firstLineChars="200"/>
        <w:jc w:val="left"/>
        <w:textAlignment w:val="auto"/>
        <w:outlineLvl w:val="9"/>
        <w:rPr>
          <w:rFonts w:hint="eastAsia" w:ascii="仿宋_GB2312" w:hAnsi="微软雅黑" w:eastAsia="仿宋_GB2312" w:cs="微软雅黑"/>
          <w:color w:val="000000"/>
          <w:sz w:val="32"/>
          <w:szCs w:val="32"/>
        </w:rPr>
      </w:pPr>
      <w:r>
        <w:rPr>
          <w:rFonts w:hint="eastAsia" w:ascii="仿宋_GB2312" w:hAnsi="微软雅黑" w:eastAsia="仿宋_GB2312" w:cs="微软雅黑"/>
          <w:color w:val="000000"/>
          <w:sz w:val="32"/>
          <w:szCs w:val="32"/>
        </w:rPr>
        <w:t>九、“三公”经费等相关信息统计表</w:t>
      </w:r>
    </w:p>
    <w:p>
      <w:pPr>
        <w:pStyle w:val="21"/>
        <w:widowControl/>
        <w:wordWrap/>
        <w:adjustRightInd/>
        <w:snapToGrid/>
        <w:spacing w:before="100" w:beforeAutospacing="1" w:after="100" w:afterAutospacing="1" w:line="480" w:lineRule="auto"/>
        <w:ind w:left="0" w:leftChars="0" w:right="0" w:firstLine="640" w:firstLineChars="200"/>
        <w:jc w:val="left"/>
        <w:textAlignment w:val="auto"/>
        <w:outlineLvl w:val="9"/>
        <w:rPr>
          <w:rFonts w:hint="eastAsia" w:ascii="仿宋_GB2312" w:hAnsi="微软雅黑" w:eastAsia="仿宋_GB2312" w:cs="微软雅黑"/>
          <w:color w:val="000000"/>
          <w:sz w:val="32"/>
          <w:szCs w:val="32"/>
        </w:rPr>
      </w:pPr>
      <w:r>
        <w:rPr>
          <w:rFonts w:hint="eastAsia" w:ascii="仿宋_GB2312" w:hAnsi="微软雅黑" w:eastAsia="仿宋_GB2312" w:cs="微软雅黑"/>
          <w:color w:val="000000"/>
          <w:sz w:val="32"/>
          <w:szCs w:val="32"/>
        </w:rPr>
        <w:t>十、政府采购情况表</w:t>
      </w:r>
    </w:p>
    <w:p>
      <w:pPr>
        <w:pStyle w:val="2"/>
        <w:spacing w:line="560" w:lineRule="exact"/>
        <w:jc w:val="center"/>
        <w:rPr>
          <w:rFonts w:ascii="宋体" w:hAnsi="宋体" w:eastAsia="宋体" w:cs="ArialUnicodeMS"/>
          <w:color w:val="000000"/>
          <w:kern w:val="0"/>
        </w:rPr>
      </w:pPr>
      <w:r>
        <w:rPr>
          <w:rFonts w:hint="eastAsia" w:ascii="宋体" w:hAnsi="宋体" w:eastAsia="宋体" w:cs="ArialUnicodeMS"/>
          <w:color w:val="000000"/>
          <w:kern w:val="0"/>
        </w:rPr>
        <w:t>第三部分</w:t>
      </w:r>
      <w:r>
        <w:rPr>
          <w:rFonts w:ascii="宋体" w:hAnsi="宋体" w:eastAsia="宋体" w:cs="ArialUnicodeMS"/>
          <w:color w:val="000000"/>
          <w:kern w:val="0"/>
        </w:rPr>
        <w:t xml:space="preserve"> </w:t>
      </w:r>
      <w:r>
        <w:rPr>
          <w:rFonts w:hint="eastAsia" w:ascii="宋体" w:hAnsi="宋体" w:eastAsia="宋体" w:cs="ArialUnicodeMS"/>
          <w:color w:val="000000"/>
          <w:kern w:val="0"/>
        </w:rPr>
        <w:t>部门决算情况说明</w:t>
      </w:r>
    </w:p>
    <w:p>
      <w:pPr>
        <w:pStyle w:val="5"/>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cs="黑体"/>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年初结转和结余0.08万元，本年收入90.19万元；本年支出90.26万元、年末结转和结余0万元。与2016年度决算相比，本年收入减少2.06万元，降低2.23%，主要是上级拨款减少；本年支出减少2.91万元，降低3.12%，主要是上级拨款减少。</w:t>
      </w:r>
    </w:p>
    <w:p>
      <w:pPr>
        <w:pStyle w:val="5"/>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本部门2017年度本年收入合计90.19万元，其中：财政拨款收入90.19万元，占100%；事业收入0万元，占0%；经营收入0万元，占0%；其他收入0万元，占0%。</w:t>
      </w:r>
      <w:r>
        <w:rPr>
          <w:rFonts w:hint="eastAsia" w:ascii="仿宋_GB2312" w:eastAsia="仿宋_GB2312" w:cs="DengXian-Regular"/>
          <w:sz w:val="32"/>
          <w:szCs w:val="32"/>
          <w:lang w:val="en-US" w:eastAsia="zh-CN"/>
        </w:rPr>
        <w:t>如图所示：</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 xml:space="preserve">          图1：收入决算结构饼状图</w:t>
      </w:r>
    </w:p>
    <w:p>
      <w:pPr>
        <w:adjustRightInd w:val="0"/>
        <w:snapToGrid w:val="0"/>
        <w:spacing w:after="0" w:line="240" w:lineRule="auto"/>
        <w:ind w:firstLine="0" w:firstLineChars="0"/>
        <w:rPr>
          <w:rFonts w:hint="eastAsia" w:ascii="仿宋_GB2312" w:eastAsia="仿宋_GB2312" w:cs="DengXian-Regular"/>
          <w:sz w:val="32"/>
          <w:szCs w:val="32"/>
          <w:lang w:val="en-US" w:eastAsia="zh-CN"/>
        </w:rPr>
      </w:pPr>
      <w:r>
        <w:rPr>
          <w:rFonts w:ascii="Times New Roman" w:hAnsi="Times New Roman" w:eastAsia="宋体" w:cs="Times New Roman"/>
          <w:kern w:val="2"/>
          <w:sz w:val="21"/>
          <w:szCs w:val="24"/>
          <w:lang w:val="en-US" w:eastAsia="zh-CN" w:bidi="ar-SA"/>
        </w:rPr>
        <w:pict>
          <v:shape id="_x0000_i1025" o:spid="_x0000_s1025" type="#_x0000_t75" style="height:201.2pt;width:442.1pt;rotation:0f;" o:ole="f" fillcolor="#FFFFFF" filled="f" o:preferrelative="t" stroked="f" coordorigin="0,0" coordsize="21600,21600">
            <v:fill on="f" color2="#FFFFFF" focus="0%"/>
            <v:imagedata gain="65536f" blacklevel="0f" gamma="0" o:title="" r:id="rId5"/>
            <o:lock v:ext="edit" position="f" selection="f" grouping="f" rotation="f" cropping="f" text="f" aspectratio="t"/>
            <w10:wrap type="none"/>
            <w10:anchorlock/>
          </v:shape>
        </w:pict>
      </w:r>
    </w:p>
    <w:p>
      <w:pPr>
        <w:adjustRightInd w:val="0"/>
        <w:snapToGrid w:val="0"/>
        <w:spacing w:line="560" w:lineRule="exact"/>
        <w:ind w:firstLine="643" w:firstLineChars="200"/>
        <w:rPr>
          <w:rFonts w:ascii="黑体" w:hAnsi="Calibri" w:eastAsia="黑体" w:cs="黑体"/>
          <w:b/>
          <w:bCs/>
          <w:sz w:val="32"/>
          <w:szCs w:val="32"/>
        </w:rPr>
      </w:pPr>
      <w:r>
        <w:rPr>
          <w:rFonts w:hint="eastAsia" w:ascii="黑体" w:hAnsi="Calibri" w:eastAsia="黑体" w:cs="黑体"/>
          <w:b/>
          <w:bCs/>
          <w:sz w:val="32"/>
          <w:szCs w:val="32"/>
        </w:rPr>
        <w:t>三、支出决算情况说明</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本部门2017年度本年支出合计90.26万元，其中：基本支出77.19万元，占85.51%；项目支出13.08万元，占14.49%；经营支出0万元，占0%。</w:t>
      </w:r>
      <w:r>
        <w:rPr>
          <w:rFonts w:hint="eastAsia" w:ascii="仿宋_GB2312" w:eastAsia="仿宋_GB2312" w:cs="DengXian-Regular"/>
          <w:sz w:val="32"/>
          <w:szCs w:val="32"/>
          <w:lang w:val="en-US" w:eastAsia="zh-CN"/>
        </w:rPr>
        <w:t>如图所示：</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 xml:space="preserve">             图2：支出决算结构饼状图</w:t>
      </w:r>
    </w:p>
    <w:p>
      <w:pPr>
        <w:adjustRightInd w:val="0"/>
        <w:snapToGrid w:val="0"/>
        <w:spacing w:after="0" w:line="240" w:lineRule="auto"/>
        <w:ind w:firstLine="0" w:firstLineChars="0"/>
        <w:rPr>
          <w:rFonts w:hint="eastAsia" w:ascii="仿宋_GB2312" w:eastAsia="仿宋_GB2312" w:cs="DengXian-Regular"/>
          <w:sz w:val="32"/>
          <w:szCs w:val="32"/>
          <w:lang w:val="en-US" w:eastAsia="zh-CN"/>
        </w:rPr>
      </w:pPr>
      <w:r>
        <w:rPr>
          <w:rFonts w:ascii="Times New Roman" w:hAnsi="Times New Roman" w:eastAsia="宋体" w:cs="Times New Roman"/>
          <w:kern w:val="2"/>
          <w:sz w:val="21"/>
          <w:szCs w:val="24"/>
          <w:lang w:val="en-US" w:eastAsia="zh-CN" w:bidi="ar-SA"/>
        </w:rPr>
        <w:pict>
          <v:shape id="_x0000_i1026" o:spid="_x0000_s1026" type="#_x0000_t75" style="height:201.2pt;width:442.1pt;rotation:0f;" o:ole="f" fillcolor="#FFFFFF" filled="f" o:preferrelative="t" stroked="f" coordorigin="0,0" coordsize="21600,21600">
            <v:fill on="f" color2="#FFFFFF" focus="0%"/>
            <v:imagedata gain="65536f" blacklevel="0f" gamma="0" o:title="" r:id="rId6"/>
            <o:lock v:ext="edit" position="f" selection="f" grouping="f" rotation="f" cropping="f" text="f" aspectratio="t"/>
            <w10:wrap type="none"/>
            <w10:anchorlock/>
          </v:shape>
        </w:pict>
      </w:r>
    </w:p>
    <w:p>
      <w:pPr>
        <w:pStyle w:val="5"/>
        <w:spacing w:before="0" w:after="0" w:line="560" w:lineRule="exact"/>
        <w:ind w:firstLine="643" w:firstLineChars="200"/>
        <w:rPr>
          <w:rFonts w:ascii="黑体" w:eastAsia="黑体"/>
        </w:rPr>
      </w:pPr>
      <w:r>
        <w:rPr>
          <w:rFonts w:hint="eastAsia" w:ascii="黑体" w:eastAsia="黑体"/>
        </w:rPr>
        <w:t>四、</w:t>
      </w:r>
      <w:r>
        <w:rPr>
          <w:rFonts w:hint="eastAsia" w:ascii="黑体" w:hAnsi="Cambria" w:eastAsia="黑体" w:cs="黑体"/>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收支全部为一般公共预算财政拨款收支。一般公共预算财政拨款年初结转和结余0.08万元、本年收入90.19万元；本年支出90.26万元、年末结转和结余0万元。与2016年度决算相比，一般公共预算财政拨款本年收入减少2.06万元，降低2.23%，主要是上级拨款减少；本年支出减少2.91万元，降低3.12%，主要是上级拨款减少。</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本部门2017年度财政拨款年初结转和结余0万元、本年收入0万元；本年支出0万元、年末结转和结余0万元。与2016年度决算相比无增减变化；本年支出与上年持平无增减变化。</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年初结转和结余0.08万元、本年收入90.19万元；本年支出90.26万元、年末结转和结余0万元。与2016年度决算相比，一般公共预算财政拨款本年收入减少2.06万元，降低2.23%，主要是上级拨款减少；本年支出减少2.91万元，降低3.12%，主要是上级拨款减少。</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政府性基金预算财政拨款年初结转和结余0万元、本年收入0万元；本年支出0万元、年末结转和结余0万元。与2016年度决算相比，政府性基金预算财政拨款本年收入与上年持平无增减变化；本年支出与上年持平无增减变化。</w:t>
      </w: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本部门2017年度一般公共预算财政拨款本年收入较2017年初预算增加15.07万元，增长20.06%，主要是人员经费增加；本年支出增加15.14万元，增长20.15%，主要是人员经费增加。</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本部门2017年度财政拨款本年收入较2017年初预算与2017年初预算持平无增减变化；本年支出与2017年初预算持平无增减变化。</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其中，本部门2017年度一般公共预算财政拨款本年收入较2017年初预算增加15.07万元，增长20.06%，主要是人员经费增加；本年支出增加15.14万元，增长20.15%，主要是人员经费增加。</w:t>
      </w:r>
    </w:p>
    <w:p>
      <w:pPr>
        <w:pStyle w:val="5"/>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本部门2017年度“三公”经费支出共计0万元，较年初预算无增减变化；较2016年度决算无增减变化。具体情况如下：</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本部门2017年度参加其他单位组织的因公出国（境）团组0个、共0人/无本单位组织的出国（境）团组。因公出国（境）费支出较年初预算</w:t>
      </w:r>
      <w:r>
        <w:rPr>
          <w:rFonts w:hint="eastAsia" w:ascii="仿宋_GB2312" w:eastAsia="仿宋_GB2312" w:cs="DengXian-Regular"/>
          <w:sz w:val="32"/>
          <w:szCs w:val="32"/>
          <w:lang w:val="en-US" w:eastAsia="zh-CN"/>
        </w:rPr>
        <w:t>无增减</w:t>
      </w:r>
      <w:r>
        <w:rPr>
          <w:rFonts w:hint="eastAsia" w:ascii="仿宋_GB2312" w:eastAsia="仿宋_GB2312" w:cs="DengXian-Regular"/>
          <w:sz w:val="32"/>
          <w:szCs w:val="32"/>
        </w:rPr>
        <w:t>变化；较2016年度决算无增减变化。</w:t>
      </w:r>
    </w:p>
    <w:p>
      <w:pPr>
        <w:adjustRightInd w:val="0"/>
        <w:snapToGrid w:val="0"/>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（二）公务用车购置及运行维护费支出0万元。</w:t>
      </w:r>
      <w:r>
        <w:rPr>
          <w:rFonts w:hint="eastAsia" w:ascii="仿宋_GB2312" w:eastAsia="仿宋_GB2312" w:cs="DengXian-Regular"/>
          <w:sz w:val="32"/>
          <w:szCs w:val="32"/>
        </w:rPr>
        <w:t>本部门2017年度公务用车购置及运行维护费较年初预算无增减变化；较2016年度决算无增减变化。</w:t>
      </w: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本部门2017年度公务用车购置量0辆，发生“公务用车购置”经费支出0万元。公务用车购置费支出较年初预算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,主要是未发生公务用车购置；较2016年度决算无增减变化。</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本部门2017年度单位公务用车保有量0辆。主要是未发生公务用车购置；较2016年度决算无增减变化。</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本部门2017年度公务接待共0批次、0人次。公务接待费支出较年初预算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,主要是2017年度未发生公务接待；较2016年度决算无增减变化。</w:t>
      </w:r>
    </w:p>
    <w:p>
      <w:pPr>
        <w:pStyle w:val="5"/>
        <w:spacing w:before="0" w:after="0" w:line="560" w:lineRule="exact"/>
        <w:ind w:firstLine="643" w:firstLineChars="200"/>
        <w:rPr>
          <w:rFonts w:hint="eastAsia" w:ascii="黑体" w:eastAsia="黑体" w:cs="Times New Roman"/>
        </w:rPr>
      </w:pPr>
      <w:r>
        <w:rPr>
          <w:rFonts w:hint="eastAsia" w:ascii="黑体" w:eastAsia="黑体" w:cs="Times New Roman"/>
        </w:rPr>
        <w:t>六、绩效预算</w:t>
      </w:r>
      <w:r>
        <w:rPr>
          <w:rFonts w:hint="eastAsia" w:ascii="黑体" w:hAnsi="Cambria" w:eastAsia="黑体" w:cs="黑体"/>
          <w:kern w:val="0"/>
        </w:rPr>
        <w:t>管理</w:t>
      </w:r>
      <w:r>
        <w:rPr>
          <w:rFonts w:hint="eastAsia" w:ascii="黑体" w:eastAsia="黑体" w:cs="Times New Roman"/>
        </w:rPr>
        <w:t>工作开展情况说明</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（二）预算项目绩效评价开展情况</w:t>
      </w:r>
    </w:p>
    <w:p>
      <w:pPr>
        <w:adjustRightInd w:val="0"/>
        <w:snapToGrid w:val="0"/>
        <w:spacing w:after="0"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根据预算绩效管理要求，本单位组织对2017年度一般公共预算项目支出全面开展绩效自评</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涉及提前下达2017年妇女工作市级专项资金1万、提前下达省级妇女之家建设项目资金10万，涉及资金11万，考核为良好。</w:t>
      </w:r>
    </w:p>
    <w:p>
      <w:pPr>
        <w:numPr>
          <w:ilvl w:val="0"/>
          <w:numId w:val="1"/>
        </w:numPr>
        <w:adjustRightInd w:val="0"/>
        <w:snapToGrid w:val="0"/>
        <w:spacing w:after="0"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预算项目绩效自评选例</w:t>
      </w:r>
    </w:p>
    <w:p>
      <w:pPr>
        <w:widowControl w:val="0"/>
        <w:numPr>
          <w:numId w:val="0"/>
        </w:numPr>
        <w:wordWrap/>
        <w:adjustRightInd w:val="0"/>
        <w:snapToGrid w:val="0"/>
        <w:spacing w:before="0" w:after="0" w:line="560" w:lineRule="exact"/>
        <w:ind w:left="0" w:leftChars="0" w:right="0" w:firstLine="640" w:firstLineChars="200"/>
        <w:jc w:val="both"/>
        <w:textAlignment w:val="auto"/>
        <w:outlineLvl w:val="9"/>
      </w:pPr>
      <w:r>
        <w:rPr>
          <w:rFonts w:hint="eastAsia" w:ascii="仿宋_GB2312" w:eastAsia="仿宋_GB2312" w:cs="DengXian-Regular"/>
          <w:sz w:val="32"/>
          <w:szCs w:val="32"/>
          <w:lang w:val="en-US" w:eastAsia="zh-CN"/>
        </w:rPr>
        <w:t>本单位定提前下达2017年妇女工作市级专项资金、提前下达省级妇女之家建设项目资金项目绩效自评：根据年初设定的绩效目标，提前下达2017年妇女工作市级专项资金、提前下达省级妇女之家建设项目资金项目自评结果为良好。项目全年预算数为11万元。完成预算100%。</w:t>
      </w:r>
      <w:bookmarkStart w:id="0" w:name="_GoBack"/>
      <w:bookmarkEnd w:id="0"/>
    </w:p>
    <w:p>
      <w:pPr>
        <w:pStyle w:val="5"/>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7"/>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本部门2017年度机关运行经费支出10.7万元，比2016年度减少0.86万元，降低7.44%。主要原因是上级拨款减少。</w:t>
      </w:r>
    </w:p>
    <w:p>
      <w:pPr>
        <w:pStyle w:val="7"/>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本部门2017年度政府采购支出总额0万元，其中：政府采购货物支出0万元、政府采购工程支出0万元、政府采购服务支出0万元。</w:t>
      </w:r>
    </w:p>
    <w:p>
      <w:pPr>
        <w:pStyle w:val="7"/>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截至2017年12月31日，本部门共有车辆0辆，其中，市级领导干部用车0辆、一般公务用车0辆、一般执法执勤用车0辆、特种专业技术用车0辆、其他用车0辆；单位价值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万元以上大型设备0台，单位价值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万元以上大型设备0台。</w:t>
      </w:r>
    </w:p>
    <w:p>
      <w:pPr>
        <w:pStyle w:val="7"/>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spacing w:line="580" w:lineRule="exact"/>
        <w:ind w:firstLine="660"/>
        <w:rPr>
          <w:rFonts w:ascii="仿宋_GB2312" w:eastAsia="仿宋_GB2312" w:cs="DengXian-Regular"/>
          <w:sz w:val="32"/>
          <w:szCs w:val="32"/>
        </w:rPr>
      </w:pPr>
      <w:r>
        <w:rPr>
          <w:rFonts w:hint="eastAsia" w:ascii="仿宋_GB2312" w:eastAsia="仿宋_GB2312" w:cs="DengXian-Regular"/>
          <w:sz w:val="32"/>
          <w:szCs w:val="32"/>
        </w:rPr>
        <w:t>1、本部门2017年度政府性基金、国有资本经营、三公经费、政府采购无收支及结转结余情况，故政府性基金预算财政拨款收入支出决算表、国有资本经营预算财政拨款收入支出决算表、三公经费及相关信息统计表、政府采购情况表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ascii="宋体" w:hAnsi="宋体" w:eastAsia="宋体" w:cs="SimSun,Bold"/>
        </w:rPr>
      </w:pPr>
      <w:r>
        <w:rPr>
          <w:rFonts w:hint="eastAsia" w:ascii="宋体" w:hAnsi="宋体" w:eastAsia="宋体" w:cs="SimSun,Bold"/>
        </w:rPr>
        <w:t>第四部分</w:t>
      </w:r>
      <w:r>
        <w:rPr>
          <w:rFonts w:hint="eastAsia" w:ascii="宋体" w:hAnsi="宋体" w:eastAsia="宋体" w:cs="SimSun,Bold"/>
          <w:bCs w:val="0"/>
        </w:rPr>
        <w:t xml:space="preserve"> </w:t>
      </w:r>
      <w:r>
        <w:rPr>
          <w:rFonts w:hint="eastAsia" w:ascii="宋体" w:hAnsi="宋体" w:eastAsia="宋体" w:cs="SimSun,Bold"/>
        </w:rPr>
        <w:t>名词解释</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720" w:num="1"/>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Cambria">
    <w:panose1 w:val="02040503050406030204"/>
    <w:charset w:val="00"/>
    <w:family w:val="auto"/>
    <w:pitch w:val="default"/>
    <w:sig w:usb0="E00006FF" w:usb1="420024FF" w:usb2="02000000" w:usb3="00000000" w:csb0="2000019F" w:csb1="00000000"/>
  </w:font>
  <w:font w:name="Calibri">
    <w:panose1 w:val="020F0502020204030204"/>
    <w:charset w:val="00"/>
    <w:family w:val="auto"/>
    <w:pitch w:val="default"/>
    <w:sig w:usb0="E0002AFF" w:usb1="C000247B" w:usb2="00000009" w:usb3="00000000" w:csb0="200001FF" w:csb1="00000000"/>
  </w:font>
  <w:font w:name="方正小标宋_GBK">
    <w:altName w:val="宋体"/>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auto"/>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楷体_GB2312">
    <w:altName w:val="楷体"/>
    <w:panose1 w:val="02010609030101010101"/>
    <w:charset w:val="86"/>
    <w:family w:val="auto"/>
    <w:pitch w:val="default"/>
    <w:sig w:usb0="00000001" w:usb1="080E0000" w:usb2="0000000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02F" w:usb1="29D77CFB" w:usb2="00000012" w:usb3="00000000" w:csb0="00080001" w:csb1="00000000"/>
  </w:font>
  <w:font w:name="Dotum">
    <w:altName w:val="Verdana"/>
    <w:panose1 w:val="020B0600000101010101"/>
    <w:charset w:val="00"/>
    <w:family w:val="auto"/>
    <w:pitch w:val="default"/>
    <w:sig w:usb0="B00002AF" w:usb1="69D77CFB" w:usb2="00000030" w:usb3="00000000" w:csb0="4008009F" w:csb1="DFD70000"/>
  </w:font>
  <w:font w:name="Corbel">
    <w:panose1 w:val="020B0503020204020204"/>
    <w:charset w:val="00"/>
    <w:family w:val="auto"/>
    <w:pitch w:val="default"/>
    <w:sig w:usb0="A00002EF" w:usb1="4000A44B" w:usb2="00000000" w:usb3="00000000" w:csb0="2000019F" w:csb1="00000000"/>
  </w:font>
  <w:font w:name="Malgun Gothic">
    <w:panose1 w:val="020B0503020000020004"/>
    <w:charset w:val="00"/>
    <w:family w:val="auto"/>
    <w:pitch w:val="default"/>
    <w:sig w:usb0="9000002F" w:usb1="29D77CFB" w:usb2="00000012" w:usb3="00000000" w:csb0="00080001" w:csb1="00000000"/>
  </w:font>
  <w:font w:name="Malgun Gothic">
    <w:panose1 w:val="020B0503020000020004"/>
    <w:charset w:val="00"/>
    <w:family w:val="auto"/>
    <w:pitch w:val="default"/>
    <w:sig w:usb0="9000002F" w:usb1="29D77CFB" w:usb2="00000012" w:usb3="00000000" w:csb0="00080001" w:csb1="00000000"/>
  </w:font>
  <w:font w:name="Verdana">
    <w:panose1 w:val="020B0604030504040204"/>
    <w:charset w:val="00"/>
    <w:family w:val="auto"/>
    <w:pitch w:val="default"/>
    <w:sig w:usb0="A00006FF" w:usb1="4000205B" w:usb2="00000010" w:usb3="00000000" w:csb0="2000019F" w:csb1="00000000"/>
  </w:font>
  <w:font w:name="Gulim">
    <w:altName w:val="Verdana"/>
    <w:panose1 w:val="020B0600000101010101"/>
    <w:charset w:val="00"/>
    <w:family w:val="auto"/>
    <w:pitch w:val="default"/>
    <w:sig w:usb0="B00002AF" w:usb1="69D77CFB" w:usb2="00000030" w:usb3="00000000" w:csb0="4008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singleLevel"/>
    <w:tmpl w:val="00000000"/>
    <w:lvl w:ilvl="0" w:tentative="1">
      <w:start w:val="3"/>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style w:type="paragraph" w:default="1" w:styleId="1">
    <w:name w:val="Normal"/>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5">
    <w:name w:val="heading 2"/>
    <w:basedOn w:val="1"/>
    <w:next w:val="1"/>
    <w:link w:val="6"/>
    <w:pPr>
      <w:keepNext/>
      <w:keepLines/>
      <w:spacing w:before="260" w:after="260" w:line="416" w:lineRule="auto"/>
      <w:outlineLvl w:val="1"/>
    </w:pPr>
    <w:rPr>
      <w:rFonts w:ascii="Calibri" w:hAnsi="Calibri" w:eastAsia="宋体" w:cs="黑体"/>
      <w:b/>
      <w:bCs/>
      <w:sz w:val="32"/>
      <w:szCs w:val="32"/>
    </w:rPr>
  </w:style>
  <w:style w:type="paragraph" w:styleId="7">
    <w:name w:val="heading 3"/>
    <w:basedOn w:val="1"/>
    <w:next w:val="1"/>
    <w:link w:val="8"/>
    <w:pPr>
      <w:keepNext/>
      <w:keepLines/>
      <w:spacing w:before="260" w:after="260" w:line="416" w:lineRule="auto"/>
      <w:outlineLvl w:val="2"/>
    </w:pPr>
    <w:rPr>
      <w:rFonts w:ascii="Times New Roman" w:hAnsi="Times New Roman" w:eastAsia="宋体" w:cs="Times New Roman"/>
      <w:b/>
      <w:bCs/>
      <w:sz w:val="32"/>
      <w:szCs w:val="32"/>
    </w:rPr>
  </w:style>
  <w:style w:type="paragraph" w:styleId="9">
    <w:name w:val="heading 4"/>
    <w:basedOn w:val="1"/>
    <w:next w:val="1"/>
    <w:link w:val="10"/>
    <w:pPr>
      <w:keepNext/>
      <w:keepLines/>
      <w:spacing w:before="280" w:after="290" w:line="376" w:lineRule="auto"/>
      <w:outlineLvl w:val="3"/>
    </w:pPr>
    <w:rPr>
      <w:rFonts w:ascii="Calibri" w:hAnsi="Calibri" w:eastAsia="宋体" w:cs="黑体"/>
      <w:b/>
      <w:bCs/>
      <w:sz w:val="28"/>
      <w:szCs w:val="28"/>
    </w:rPr>
  </w:style>
  <w:style w:type="character" w:default="1" w:styleId="4">
    <w:name w:val="Default Paragraph Font"/>
  </w:style>
  <w:style w:type="character" w:customStyle="1" w:styleId="3">
    <w:name w:val="标题 1 Char"/>
    <w:basedOn w:val="4"/>
    <w:link w:val="2"/>
    <w:semiHidden/>
    <w:rPr>
      <w:rFonts w:ascii="Times New Roman" w:hAnsi="Times New Roman" w:eastAsia="宋体" w:cs="Times New Roman"/>
      <w:b/>
      <w:bCs/>
      <w:kern w:val="44"/>
      <w:sz w:val="44"/>
      <w:szCs w:val="44"/>
    </w:rPr>
  </w:style>
  <w:style w:type="character" w:customStyle="1" w:styleId="6">
    <w:name w:val="标题 2 Char"/>
    <w:basedOn w:val="4"/>
    <w:link w:val="5"/>
    <w:semiHidden/>
    <w:rPr>
      <w:rFonts w:ascii="Calibri" w:hAnsi="Calibri" w:eastAsia="宋体" w:cs="黑体"/>
      <w:b/>
      <w:bCs/>
      <w:sz w:val="32"/>
      <w:szCs w:val="32"/>
    </w:rPr>
  </w:style>
  <w:style w:type="character" w:customStyle="1" w:styleId="8">
    <w:name w:val="标题 3 Char"/>
    <w:basedOn w:val="4"/>
    <w:link w:val="7"/>
    <w:semiHidden/>
    <w:rPr>
      <w:rFonts w:ascii="Times New Roman" w:hAnsi="Times New Roman" w:eastAsia="宋体" w:cs="Times New Roman"/>
      <w:b/>
      <w:bCs/>
      <w:sz w:val="32"/>
      <w:szCs w:val="32"/>
    </w:rPr>
  </w:style>
  <w:style w:type="character" w:customStyle="1" w:styleId="10">
    <w:name w:val="标题 4 Char"/>
    <w:basedOn w:val="4"/>
    <w:link w:val="9"/>
    <w:semiHidden/>
    <w:rPr>
      <w:rFonts w:ascii="Calibri" w:hAnsi="Calibri" w:eastAsia="宋体" w:cs="黑体"/>
      <w:b/>
      <w:bCs/>
      <w:sz w:val="28"/>
      <w:szCs w:val="28"/>
    </w:rPr>
  </w:style>
  <w:style w:type="character" w:customStyle="1" w:styleId="11">
    <w:name w:val="批注框文本 Char"/>
    <w:basedOn w:val="4"/>
    <w:link w:val="12"/>
    <w:semiHidden/>
    <w:rPr>
      <w:rFonts w:ascii="Times New Roman" w:hAnsi="Times New Roman" w:eastAsia="宋体" w:cs="Times New Roman"/>
      <w:sz w:val="18"/>
      <w:szCs w:val="18"/>
    </w:rPr>
  </w:style>
  <w:style w:type="paragraph" w:customStyle="1" w:styleId="12">
    <w:name w:val="批注框文本1"/>
    <w:basedOn w:val="1"/>
    <w:link w:val="11"/>
    <w:rPr>
      <w:rFonts w:ascii="Times New Roman" w:hAnsi="Times New Roman" w:eastAsia="宋体" w:cs="Times New Roman"/>
      <w:sz w:val="18"/>
      <w:szCs w:val="18"/>
    </w:rPr>
  </w:style>
  <w:style w:type="paragraph" w:styleId="13">
    <w:name w:val="footer"/>
    <w:basedOn w:val="1"/>
    <w:link w:val="14"/>
    <w:pPr>
      <w:tabs>
        <w:tab w:val="center" w:pos="4153"/>
        <w:tab w:val="right" w:pos="8306"/>
      </w:tabs>
      <w:snapToGrid w:val="0"/>
      <w:jc w:val="left"/>
    </w:pPr>
    <w:rPr>
      <w:sz w:val="18"/>
      <w:szCs w:val="18"/>
    </w:rPr>
  </w:style>
  <w:style w:type="character" w:customStyle="1" w:styleId="14">
    <w:name w:val="页脚 Char"/>
    <w:basedOn w:val="4"/>
    <w:link w:val="13"/>
    <w:semiHidden/>
    <w:rPr>
      <w:sz w:val="18"/>
      <w:szCs w:val="18"/>
    </w:rPr>
  </w:style>
  <w:style w:type="paragraph" w:styleId="15">
    <w:name w:val="header"/>
    <w:basedOn w:val="1"/>
    <w:link w:val="16"/>
    <w:pPr>
      <w:pBdr>
        <w:bottom w:val="single" w:color="auto" w:sz="6" w:space="1"/>
      </w:pBdr>
      <w:tabs>
        <w:tab w:val="center" w:pos="4153"/>
        <w:tab w:val="right" w:pos="8306"/>
      </w:tabs>
      <w:snapToGrid w:val="0"/>
      <w:jc w:val="center"/>
    </w:pPr>
    <w:rPr>
      <w:sz w:val="18"/>
      <w:szCs w:val="18"/>
    </w:rPr>
  </w:style>
  <w:style w:type="character" w:customStyle="1" w:styleId="16">
    <w:name w:val="页眉 Char"/>
    <w:basedOn w:val="4"/>
    <w:link w:val="15"/>
    <w:semiHidden/>
    <w:rPr>
      <w:sz w:val="18"/>
      <w:szCs w:val="18"/>
    </w:rPr>
  </w:style>
  <w:style w:type="paragraph" w:styleId="17">
    <w:name w:val="Subtitle"/>
    <w:basedOn w:val="1"/>
    <w:next w:val="1"/>
    <w:link w:val="18"/>
    <w:pPr>
      <w:widowControl/>
      <w:spacing w:after="200" w:line="276" w:lineRule="auto"/>
      <w:jc w:val="left"/>
    </w:pPr>
    <w:rPr>
      <w:rFonts w:ascii="Calibri" w:hAnsi="Calibri" w:eastAsia="宋体" w:cs="黑体"/>
      <w:i/>
      <w:iCs/>
      <w:color w:val="F0A22E"/>
      <w:spacing w:val="15"/>
      <w:kern w:val="0"/>
      <w:sz w:val="24"/>
      <w:szCs w:val="24"/>
    </w:rPr>
  </w:style>
  <w:style w:type="character" w:customStyle="1" w:styleId="18">
    <w:name w:val="副标题 Char"/>
    <w:basedOn w:val="4"/>
    <w:link w:val="17"/>
    <w:semiHidden/>
    <w:rPr>
      <w:rFonts w:ascii="Calibri" w:hAnsi="Calibri" w:eastAsia="宋体" w:cs="黑体"/>
      <w:i/>
      <w:iCs/>
      <w:color w:val="F0A22E"/>
      <w:spacing w:val="15"/>
      <w:kern w:val="0"/>
      <w:sz w:val="24"/>
      <w:szCs w:val="24"/>
    </w:rPr>
  </w:style>
  <w:style w:type="paragraph" w:styleId="19">
    <w:name w:val="Title"/>
    <w:basedOn w:val="1"/>
    <w:next w:val="1"/>
    <w:link w:val="20"/>
    <w:pPr>
      <w:widowControl/>
      <w:pBdr>
        <w:bottom w:val="single" w:color="F0A22E" w:sz="8" w:space="4"/>
      </w:pBdr>
      <w:spacing w:after="300"/>
      <w:contextualSpacing/>
      <w:jc w:val="left"/>
    </w:pPr>
    <w:rPr>
      <w:rFonts w:ascii="Calibri" w:hAnsi="Calibri" w:eastAsia="宋体" w:cs="黑体"/>
      <w:color w:val="392B23"/>
      <w:spacing w:val="5"/>
      <w:kern w:val="28"/>
      <w:sz w:val="52"/>
      <w:szCs w:val="52"/>
    </w:rPr>
  </w:style>
  <w:style w:type="character" w:customStyle="1" w:styleId="20">
    <w:name w:val="标题 Char"/>
    <w:basedOn w:val="4"/>
    <w:link w:val="19"/>
    <w:semiHidden/>
    <w:rPr>
      <w:rFonts w:ascii="Calibri" w:hAnsi="Calibri" w:eastAsia="宋体" w:cs="黑体"/>
      <w:color w:val="392B23"/>
      <w:spacing w:val="5"/>
      <w:kern w:val="28"/>
      <w:sz w:val="52"/>
      <w:szCs w:val="52"/>
    </w:rPr>
  </w:style>
  <w:style w:type="paragraph" w:customStyle="1" w:styleId="21">
    <w:name w:val="Normal (Web)"/>
    <w:basedOn w:val="1"/>
    <w:pPr>
      <w:spacing w:beforeAutospacing="1" w:after="0" w:afterAutospacing="1"/>
      <w:jc w:val="left"/>
    </w:pPr>
    <w:rPr>
      <w:kern w:val="0"/>
      <w:sz w:val="24"/>
    </w:rPr>
  </w:style>
  <w:style w:type="paragraph" w:customStyle="1" w:styleId="22">
    <w:name w:val="No Spacing"/>
    <w:link w:val="23"/>
    <w:pPr>
      <w:spacing w:after="160" w:line="480" w:lineRule="auto"/>
    </w:pPr>
    <w:rPr>
      <w:kern w:val="0"/>
      <w:sz w:val="22"/>
    </w:rPr>
  </w:style>
  <w:style w:type="character" w:customStyle="1" w:styleId="23">
    <w:name w:val="无间隔 Char"/>
    <w:basedOn w:val="4"/>
    <w:link w:val="22"/>
    <w:semiHidden/>
    <w:rPr>
      <w:kern w:val="0"/>
      <w:sz w:val="22"/>
    </w:rPr>
  </w:style>
  <w:style w:type="character" w:customStyle="1" w:styleId="24">
    <w:name w:val="Style1"/>
    <w:basedOn w:val="4"/>
    <w:rPr>
      <w:rFonts w:ascii="Cambria" w:hAnsi="黑体" w:eastAsia="黑体" w:cs="黑体"/>
      <w:sz w:val="22"/>
      <w:szCs w:val="22"/>
      <w:lang w:eastAsia="zh-CN"/>
    </w:rPr>
  </w:style>
  <w:style w:type="character" w:customStyle="1" w:styleId="25">
    <w:name w:val="Style2"/>
    <w:basedOn w:val="4"/>
    <w:rPr>
      <w:rFonts w:ascii="Cambria" w:hAnsi="黑体" w:eastAsia="黑体" w:cs="黑体"/>
      <w:sz w:val="22"/>
      <w:szCs w:val="22"/>
      <w:lang w:eastAsia="zh-CN"/>
    </w:rPr>
  </w:style>
  <w:style w:type="character" w:customStyle="1" w:styleId="26">
    <w:name w:val="Style3"/>
    <w:basedOn w:val="4"/>
    <w:rPr>
      <w:rFonts w:ascii="Cambria" w:hAnsi="黑体" w:eastAsia="黑体" w:cs="黑体"/>
      <w:szCs w:val="22"/>
      <w:lang w:eastAsia="zh-CN"/>
    </w:rPr>
  </w:style>
  <w:style w:type="character" w:customStyle="1" w:styleId="27">
    <w:name w:val="Style4"/>
    <w:basedOn w:val="4"/>
    <w:rPr>
      <w:rFonts w:ascii="Cambria" w:hAnsi="黑体" w:eastAsia="黑体" w:cs="黑体"/>
      <w:szCs w:val="22"/>
      <w:lang w:eastAsia="zh-CN"/>
    </w:rPr>
  </w:style>
  <w:style w:type="character" w:customStyle="1" w:styleId="28">
    <w:name w:val="Style5"/>
    <w:basedOn w:val="4"/>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customXml" Target="../customXml/item1.xml"/><Relationship Id="rId8" Type="http://schemas.openxmlformats.org/officeDocument/2006/relationships/numbering" Target="numbering.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15</Pages>
  <Words>772</Words>
  <Characters>4403</Characters>
  <Lines>36</Lines>
  <Paragraphs>10</Paragraphs>
  <ScaleCrop>false</ScaleCrop>
  <LinksUpToDate>false</LinksUpToDate>
  <CharactersWithSpaces>0</CharactersWithSpaces>
  <Application>WPS Office 专业版_9.1.0.4167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2018-08-30T00:38:00Z</dcterms:created>
  <dc:creator>User</dc:creator>
  <dcterms:modified xsi:type="dcterms:W3CDTF">2019-02-12T10:22:12Z</dcterms:modified>
  <dc:subject>石家庄市xxx部门</dc:subject>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