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w:t>
      </w:r>
    </w:p>
    <w:p>
      <w:pPr>
        <w:widowControl/>
        <w:jc w:val="center"/>
        <w:rPr>
          <w:rFonts w:ascii="黑体" w:hAnsi="宋体" w:eastAsia="黑体"/>
          <w:color w:val="002060"/>
          <w:sz w:val="84"/>
          <w:szCs w:val="84"/>
        </w:rPr>
      </w:pPr>
      <w:r>
        <w:rPr>
          <w:rFonts w:hint="eastAsia" w:ascii="黑体" w:hAnsi="宋体" w:eastAsia="黑体"/>
          <w:color w:val="002060"/>
          <w:sz w:val="84"/>
          <w:szCs w:val="84"/>
        </w:rPr>
        <w:t>无极县环境保护局</w:t>
      </w:r>
    </w:p>
    <w:p>
      <w:pPr>
        <w:widowControl/>
        <w:jc w:val="center"/>
        <w:rPr>
          <w:rFonts w:ascii="黑体" w:hAnsi="宋体" w:eastAsia="黑体"/>
          <w:color w:val="002060"/>
          <w:sz w:val="84"/>
          <w:szCs w:val="84"/>
        </w:rPr>
      </w:pPr>
      <w:r>
        <w:rPr>
          <w:rFonts w:hint="eastAsia" w:ascii="黑体" w:hAnsi="宋体" w:eastAsia="黑体"/>
          <w:color w:val="002060"/>
          <w:sz w:val="84"/>
          <w:szCs w:val="84"/>
        </w:rPr>
        <w:t>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无极县环境保护局</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无极县环境保护局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无极县环境保护局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一、部门职责</w:t>
      </w:r>
    </w:p>
    <w:p>
      <w:pPr>
        <w:ind w:left="720"/>
        <w:jc w:val="left"/>
        <w:rPr>
          <w:rFonts w:ascii="仿宋" w:hAnsi="仿宋" w:eastAsia="仿宋" w:cs="仿宋"/>
          <w:bCs/>
          <w:sz w:val="32"/>
          <w:szCs w:val="32"/>
        </w:rPr>
      </w:pPr>
      <w:r>
        <w:rPr>
          <w:rFonts w:hint="eastAsia" w:ascii="仿宋" w:hAnsi="仿宋" w:eastAsia="仿宋" w:cs="仿宋"/>
          <w:bCs/>
          <w:sz w:val="32"/>
          <w:szCs w:val="32"/>
        </w:rPr>
        <w:t>1、贯彻执行国家和省市环境保护方针、政策、法律、法规；拟定本县环境保护法规并组织实施。</w:t>
      </w:r>
    </w:p>
    <w:p>
      <w:pPr>
        <w:ind w:left="720"/>
        <w:jc w:val="left"/>
        <w:rPr>
          <w:rFonts w:ascii="仿宋" w:hAnsi="仿宋" w:eastAsia="仿宋" w:cs="仿宋"/>
          <w:bCs/>
          <w:sz w:val="32"/>
          <w:szCs w:val="32"/>
        </w:rPr>
      </w:pPr>
      <w:r>
        <w:rPr>
          <w:rFonts w:hint="eastAsia" w:ascii="仿宋" w:hAnsi="仿宋" w:eastAsia="仿宋" w:cs="仿宋"/>
          <w:bCs/>
          <w:sz w:val="32"/>
          <w:szCs w:val="32"/>
        </w:rPr>
        <w:t>2、拟定环境保护规划，参与制定全县经济和社会发展中长期规划，负责水体、大气、土壤环境保护。</w:t>
      </w:r>
    </w:p>
    <w:p>
      <w:pPr>
        <w:ind w:left="720"/>
        <w:jc w:val="left"/>
        <w:rPr>
          <w:rFonts w:ascii="仿宋" w:hAnsi="仿宋" w:eastAsia="仿宋" w:cs="仿宋"/>
          <w:bCs/>
          <w:sz w:val="32"/>
          <w:szCs w:val="32"/>
        </w:rPr>
      </w:pPr>
      <w:r>
        <w:rPr>
          <w:rFonts w:hint="eastAsia" w:ascii="仿宋" w:hAnsi="仿宋" w:eastAsia="仿宋" w:cs="仿宋"/>
          <w:bCs/>
          <w:sz w:val="32"/>
          <w:szCs w:val="32"/>
        </w:rPr>
        <w:t>3、负责组织县长环境保护目标责任书的签订和督促落实。</w:t>
      </w:r>
    </w:p>
    <w:p>
      <w:pPr>
        <w:ind w:left="720"/>
        <w:jc w:val="left"/>
        <w:rPr>
          <w:rFonts w:ascii="仿宋" w:hAnsi="仿宋" w:eastAsia="仿宋" w:cs="仿宋"/>
          <w:bCs/>
          <w:sz w:val="32"/>
          <w:szCs w:val="32"/>
        </w:rPr>
      </w:pPr>
      <w:r>
        <w:rPr>
          <w:rFonts w:hint="eastAsia" w:ascii="仿宋" w:hAnsi="仿宋" w:eastAsia="仿宋" w:cs="仿宋"/>
          <w:bCs/>
          <w:sz w:val="32"/>
          <w:szCs w:val="32"/>
        </w:rPr>
        <w:t>4、组织协调全县环境保护宣传教育工作，提高全民的法制观念和环境意识。</w:t>
      </w:r>
    </w:p>
    <w:p>
      <w:pPr>
        <w:ind w:left="720"/>
        <w:jc w:val="left"/>
        <w:rPr>
          <w:rFonts w:ascii="仿宋" w:hAnsi="仿宋" w:eastAsia="仿宋" w:cs="仿宋"/>
          <w:bCs/>
          <w:sz w:val="32"/>
          <w:szCs w:val="32"/>
        </w:rPr>
      </w:pPr>
      <w:r>
        <w:rPr>
          <w:rFonts w:hint="eastAsia" w:ascii="仿宋" w:hAnsi="仿宋" w:eastAsia="仿宋" w:cs="仿宋"/>
          <w:bCs/>
          <w:sz w:val="32"/>
          <w:szCs w:val="32"/>
        </w:rPr>
        <w:t>5、负责全县环境统计和环境监测工作，定期发布全县环境保护状况。</w:t>
      </w:r>
    </w:p>
    <w:p>
      <w:pPr>
        <w:ind w:left="720"/>
        <w:jc w:val="left"/>
        <w:rPr>
          <w:rFonts w:ascii="仿宋" w:hAnsi="仿宋" w:eastAsia="仿宋" w:cs="仿宋"/>
          <w:bCs/>
          <w:sz w:val="32"/>
          <w:szCs w:val="32"/>
        </w:rPr>
      </w:pPr>
      <w:r>
        <w:rPr>
          <w:rFonts w:hint="eastAsia" w:ascii="仿宋" w:hAnsi="仿宋" w:eastAsia="仿宋" w:cs="仿宋"/>
          <w:bCs/>
          <w:sz w:val="32"/>
          <w:szCs w:val="32"/>
        </w:rPr>
        <w:t>6、办理人大、政协有关环境保护方面的方案、提案、协调处理全县的环境污染纠纷。</w:t>
      </w:r>
    </w:p>
    <w:p>
      <w:pPr>
        <w:ind w:left="720"/>
        <w:jc w:val="left"/>
      </w:pPr>
      <w:r>
        <w:rPr>
          <w:rFonts w:hint="eastAsia" w:ascii="仿宋" w:hAnsi="仿宋" w:eastAsia="仿宋" w:cs="仿宋"/>
          <w:bCs/>
          <w:sz w:val="32"/>
          <w:szCs w:val="32"/>
        </w:rPr>
        <w:t>7、负责全县秸秆焚烧工作。</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tbl>
      <w:tblPr>
        <w:tblStyle w:val="10"/>
        <w:tblW w:w="928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97"/>
        <w:gridCol w:w="1694"/>
        <w:gridCol w:w="1837"/>
        <w:gridCol w:w="22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60" w:hRule="atLeast"/>
          <w:tblHeader/>
        </w:trPr>
        <w:tc>
          <w:tcPr>
            <w:tcW w:w="3497" w:type="dxa"/>
            <w:vMerge w:val="restart"/>
            <w:vAlign w:val="center"/>
          </w:tcPr>
          <w:p>
            <w:pPr>
              <w:spacing w:line="300" w:lineRule="exact"/>
              <w:ind w:firstLine="640"/>
              <w:jc w:val="center"/>
              <w:rPr>
                <w:rFonts w:ascii="仿宋_GB2312"/>
                <w:sz w:val="28"/>
                <w:szCs w:val="28"/>
              </w:rPr>
            </w:pPr>
            <w:r>
              <w:rPr>
                <w:rFonts w:hint="eastAsia" w:ascii="仿宋_GB2312"/>
                <w:sz w:val="28"/>
                <w:szCs w:val="28"/>
              </w:rPr>
              <w:t>单位名称</w:t>
            </w:r>
          </w:p>
        </w:tc>
        <w:tc>
          <w:tcPr>
            <w:tcW w:w="1694" w:type="dxa"/>
            <w:vMerge w:val="restart"/>
            <w:vAlign w:val="center"/>
          </w:tcPr>
          <w:p>
            <w:pPr>
              <w:spacing w:line="300" w:lineRule="exact"/>
              <w:jc w:val="center"/>
              <w:rPr>
                <w:rFonts w:ascii="仿宋_GB2312"/>
                <w:sz w:val="28"/>
                <w:szCs w:val="28"/>
              </w:rPr>
            </w:pPr>
            <w:r>
              <w:rPr>
                <w:rFonts w:hint="eastAsia" w:ascii="仿宋_GB2312"/>
                <w:sz w:val="28"/>
                <w:szCs w:val="28"/>
              </w:rPr>
              <w:t>单位性质</w:t>
            </w:r>
          </w:p>
        </w:tc>
        <w:tc>
          <w:tcPr>
            <w:tcW w:w="1837" w:type="dxa"/>
            <w:vMerge w:val="restart"/>
            <w:vAlign w:val="center"/>
          </w:tcPr>
          <w:p>
            <w:pPr>
              <w:spacing w:line="300" w:lineRule="exact"/>
              <w:jc w:val="center"/>
              <w:rPr>
                <w:rFonts w:ascii="仿宋_GB2312"/>
                <w:sz w:val="28"/>
                <w:szCs w:val="28"/>
              </w:rPr>
            </w:pPr>
            <w:r>
              <w:rPr>
                <w:rFonts w:hint="eastAsia" w:ascii="仿宋_GB2312"/>
                <w:sz w:val="28"/>
                <w:szCs w:val="28"/>
              </w:rPr>
              <w:t>单位规格</w:t>
            </w:r>
          </w:p>
        </w:tc>
        <w:tc>
          <w:tcPr>
            <w:tcW w:w="2258" w:type="dxa"/>
            <w:vMerge w:val="restart"/>
            <w:vAlign w:val="center"/>
          </w:tcPr>
          <w:p>
            <w:pPr>
              <w:spacing w:line="300" w:lineRule="exact"/>
              <w:jc w:val="center"/>
              <w:rPr>
                <w:rFonts w:ascii="仿宋_GB2312"/>
                <w:sz w:val="28"/>
                <w:szCs w:val="28"/>
              </w:rPr>
            </w:pPr>
            <w:r>
              <w:rPr>
                <w:rFonts w:hint="eastAsia" w:ascii="仿宋_GB2312"/>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60" w:hRule="atLeast"/>
          <w:tblHeader/>
        </w:trPr>
        <w:tc>
          <w:tcPr>
            <w:tcW w:w="3497" w:type="dxa"/>
            <w:vMerge w:val="continue"/>
            <w:vAlign w:val="center"/>
          </w:tcPr>
          <w:p>
            <w:pPr>
              <w:spacing w:line="300" w:lineRule="exact"/>
              <w:ind w:firstLine="640"/>
              <w:jc w:val="center"/>
              <w:outlineLvl w:val="0"/>
              <w:rPr>
                <w:rFonts w:ascii="仿宋_GB2312"/>
                <w:sz w:val="28"/>
                <w:szCs w:val="28"/>
              </w:rPr>
            </w:pPr>
          </w:p>
        </w:tc>
        <w:tc>
          <w:tcPr>
            <w:tcW w:w="1694" w:type="dxa"/>
            <w:vMerge w:val="continue"/>
            <w:vAlign w:val="center"/>
          </w:tcPr>
          <w:p>
            <w:pPr>
              <w:spacing w:line="300" w:lineRule="exact"/>
              <w:ind w:firstLine="640"/>
              <w:jc w:val="center"/>
              <w:outlineLvl w:val="0"/>
              <w:rPr>
                <w:rFonts w:ascii="仿宋_GB2312"/>
                <w:sz w:val="28"/>
                <w:szCs w:val="28"/>
              </w:rPr>
            </w:pPr>
          </w:p>
        </w:tc>
        <w:tc>
          <w:tcPr>
            <w:tcW w:w="1837" w:type="dxa"/>
            <w:vMerge w:val="continue"/>
            <w:vAlign w:val="center"/>
          </w:tcPr>
          <w:p>
            <w:pPr>
              <w:spacing w:line="300" w:lineRule="exact"/>
              <w:ind w:firstLine="640"/>
              <w:jc w:val="center"/>
              <w:outlineLvl w:val="0"/>
              <w:rPr>
                <w:rFonts w:ascii="仿宋_GB2312"/>
                <w:sz w:val="28"/>
                <w:szCs w:val="28"/>
              </w:rPr>
            </w:pPr>
          </w:p>
        </w:tc>
        <w:tc>
          <w:tcPr>
            <w:tcW w:w="2258" w:type="dxa"/>
            <w:vMerge w:val="continue"/>
            <w:vAlign w:val="center"/>
          </w:tcPr>
          <w:p>
            <w:pPr>
              <w:spacing w:line="300" w:lineRule="exact"/>
              <w:ind w:firstLine="640"/>
              <w:jc w:val="center"/>
              <w:outlineLvl w:val="0"/>
              <w:rPr>
                <w:rFonts w:ascii="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03" w:hRule="atLeast"/>
        </w:trPr>
        <w:tc>
          <w:tcPr>
            <w:tcW w:w="3497" w:type="dxa"/>
            <w:vAlign w:val="center"/>
          </w:tcPr>
          <w:p>
            <w:pPr>
              <w:spacing w:line="300" w:lineRule="exact"/>
              <w:ind w:firstLine="640"/>
              <w:jc w:val="center"/>
              <w:rPr>
                <w:rFonts w:ascii="仿宋_GB2312"/>
                <w:sz w:val="28"/>
                <w:szCs w:val="28"/>
              </w:rPr>
            </w:pPr>
            <w:r>
              <w:rPr>
                <w:rFonts w:hint="eastAsia" w:ascii="仿宋_GB2312"/>
                <w:sz w:val="28"/>
                <w:szCs w:val="28"/>
              </w:rPr>
              <w:t>无极县环境保护局</w:t>
            </w:r>
          </w:p>
        </w:tc>
        <w:tc>
          <w:tcPr>
            <w:tcW w:w="1694" w:type="dxa"/>
            <w:vAlign w:val="center"/>
          </w:tcPr>
          <w:p>
            <w:pPr>
              <w:spacing w:line="300" w:lineRule="exact"/>
              <w:ind w:firstLine="280" w:firstLineChars="100"/>
              <w:rPr>
                <w:rFonts w:ascii="仿宋_GB2312"/>
                <w:sz w:val="28"/>
                <w:szCs w:val="28"/>
              </w:rPr>
            </w:pPr>
            <w:r>
              <w:rPr>
                <w:rFonts w:hint="eastAsia" w:ascii="仿宋_GB2312"/>
                <w:sz w:val="28"/>
                <w:szCs w:val="28"/>
              </w:rPr>
              <w:t>行政</w:t>
            </w:r>
          </w:p>
        </w:tc>
        <w:tc>
          <w:tcPr>
            <w:tcW w:w="1837" w:type="dxa"/>
            <w:vAlign w:val="center"/>
          </w:tcPr>
          <w:p>
            <w:pPr>
              <w:spacing w:line="300" w:lineRule="exact"/>
              <w:ind w:firstLine="640"/>
              <w:jc w:val="center"/>
              <w:rPr>
                <w:rFonts w:ascii="仿宋_GB2312"/>
                <w:sz w:val="28"/>
                <w:szCs w:val="28"/>
              </w:rPr>
            </w:pPr>
            <w:r>
              <w:rPr>
                <w:rFonts w:hint="eastAsia" w:ascii="仿宋_GB2312"/>
                <w:sz w:val="28"/>
                <w:szCs w:val="28"/>
              </w:rPr>
              <w:t>正科级</w:t>
            </w:r>
          </w:p>
        </w:tc>
        <w:tc>
          <w:tcPr>
            <w:tcW w:w="2258" w:type="dxa"/>
            <w:vAlign w:val="center"/>
          </w:tcPr>
          <w:p>
            <w:pPr>
              <w:spacing w:line="300" w:lineRule="exact"/>
              <w:ind w:firstLine="173" w:firstLineChars="62"/>
              <w:jc w:val="center"/>
              <w:rPr>
                <w:rFonts w:ascii="仿宋_GB2312"/>
                <w:sz w:val="28"/>
                <w:szCs w:val="28"/>
              </w:rPr>
            </w:pPr>
            <w:r>
              <w:rPr>
                <w:rFonts w:hint="eastAsia" w:ascii="仿宋_GB2312"/>
                <w:sz w:val="28"/>
                <w:szCs w:val="28"/>
              </w:rPr>
              <w:t>财政拨款</w:t>
            </w:r>
          </w:p>
        </w:tc>
      </w:tr>
    </w:tbl>
    <w:p/>
    <w:p>
      <w:pPr>
        <w:autoSpaceDE w:val="0"/>
        <w:autoSpaceDN w:val="0"/>
        <w:adjustRightInd w:val="0"/>
        <w:spacing w:after="0" w:line="560" w:lineRule="exact"/>
        <w:ind w:firstLine="960" w:firstLineChars="3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共 1个，无极县环境保护局 ，单位基本性质为行政单位，</w:t>
      </w:r>
    </w:p>
    <w:p>
      <w:pPr>
        <w:autoSpaceDE w:val="0"/>
        <w:autoSpaceDN w:val="0"/>
        <w:adjustRightInd w:val="0"/>
        <w:spacing w:after="0" w:line="560" w:lineRule="exact"/>
        <w:jc w:val="left"/>
        <w:sectPr>
          <w:pgSz w:w="11906" w:h="16838"/>
          <w:pgMar w:top="2098" w:right="1474" w:bottom="1985" w:left="1588" w:header="851" w:footer="992" w:gutter="0"/>
          <w:pgNumType w:start="0"/>
          <w:cols w:space="720" w:num="1"/>
          <w:titlePg/>
          <w:docGrid w:type="lines" w:linePitch="312" w:charSpace="0"/>
        </w:sectPr>
      </w:pPr>
      <w:r>
        <w:rPr>
          <w:rFonts w:hint="eastAsia" w:ascii="仿宋_GB2312" w:hAnsi="Cambria" w:eastAsia="仿宋_GB2312" w:cs="ArialUnicodeMS"/>
          <w:kern w:val="0"/>
          <w:sz w:val="32"/>
          <w:szCs w:val="32"/>
        </w:rPr>
        <w:t>预算管理级次为一级预算单位，执行无极县环境保护局会计制度，较上年无增减变化。</w:t>
      </w: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autoSpaceDE w:val="0"/>
        <w:autoSpaceDN w:val="0"/>
        <w:adjustRightInd w:val="0"/>
        <w:spacing w:line="560" w:lineRule="exact"/>
        <w:jc w:val="center"/>
        <w:rPr>
          <w:rFonts w:ascii="宋体" w:hAnsi="宋体" w:cs="黑体"/>
          <w:b/>
          <w:kern w:val="0"/>
          <w:sz w:val="44"/>
          <w:szCs w:val="44"/>
        </w:rPr>
      </w:pPr>
      <w:r>
        <w:rPr>
          <w:rFonts w:hint="eastAsia" w:ascii="宋体" w:hAnsi="宋体" w:cs="黑体"/>
          <w:b/>
          <w:kern w:val="0"/>
          <w:sz w:val="44"/>
          <w:szCs w:val="44"/>
        </w:rPr>
        <w:t>（详见附件）</w:t>
      </w:r>
    </w:p>
    <w:p>
      <w:pPr>
        <w:numPr>
          <w:ilvl w:val="0"/>
          <w:numId w:val="1"/>
        </w:numPr>
        <w:autoSpaceDE w:val="0"/>
        <w:autoSpaceDN w:val="0"/>
        <w:adjustRightInd w:val="0"/>
        <w:spacing w:line="560" w:lineRule="exact"/>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收入支出决算总表</w:t>
      </w:r>
    </w:p>
    <w:p>
      <w:pPr>
        <w:numPr>
          <w:ilvl w:val="0"/>
          <w:numId w:val="1"/>
        </w:numPr>
        <w:autoSpaceDE w:val="0"/>
        <w:autoSpaceDN w:val="0"/>
        <w:adjustRightInd w:val="0"/>
        <w:spacing w:line="560" w:lineRule="exact"/>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收入决算表</w:t>
      </w:r>
    </w:p>
    <w:p>
      <w:pPr>
        <w:numPr>
          <w:ilvl w:val="0"/>
          <w:numId w:val="1"/>
        </w:numPr>
        <w:autoSpaceDE w:val="0"/>
        <w:autoSpaceDN w:val="0"/>
        <w:adjustRightInd w:val="0"/>
        <w:spacing w:line="560" w:lineRule="exact"/>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支出决算表</w:t>
      </w:r>
    </w:p>
    <w:p>
      <w:pPr>
        <w:numPr>
          <w:ilvl w:val="0"/>
          <w:numId w:val="1"/>
        </w:numPr>
        <w:autoSpaceDE w:val="0"/>
        <w:autoSpaceDN w:val="0"/>
        <w:adjustRightInd w:val="0"/>
        <w:spacing w:line="560" w:lineRule="exact"/>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财政拨款收入支出决算总表</w:t>
      </w:r>
    </w:p>
    <w:p>
      <w:pPr>
        <w:numPr>
          <w:ilvl w:val="0"/>
          <w:numId w:val="1"/>
        </w:numPr>
        <w:autoSpaceDE w:val="0"/>
        <w:autoSpaceDN w:val="0"/>
        <w:adjustRightInd w:val="0"/>
        <w:spacing w:line="560" w:lineRule="exact"/>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一般公共预算财政拨款收入支出决算表</w:t>
      </w:r>
    </w:p>
    <w:p>
      <w:pPr>
        <w:numPr>
          <w:ilvl w:val="0"/>
          <w:numId w:val="1"/>
        </w:numPr>
        <w:autoSpaceDE w:val="0"/>
        <w:autoSpaceDN w:val="0"/>
        <w:adjustRightInd w:val="0"/>
        <w:spacing w:line="560" w:lineRule="exact"/>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一般公共预算财政拨款基本支出决算表</w:t>
      </w:r>
    </w:p>
    <w:p>
      <w:pPr>
        <w:numPr>
          <w:ilvl w:val="0"/>
          <w:numId w:val="1"/>
        </w:numPr>
        <w:autoSpaceDE w:val="0"/>
        <w:autoSpaceDN w:val="0"/>
        <w:adjustRightInd w:val="0"/>
        <w:spacing w:line="560" w:lineRule="exact"/>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政府性基金预算财政拨款收入支出决算表</w:t>
      </w:r>
    </w:p>
    <w:p>
      <w:pPr>
        <w:numPr>
          <w:ilvl w:val="0"/>
          <w:numId w:val="1"/>
        </w:numPr>
        <w:autoSpaceDE w:val="0"/>
        <w:autoSpaceDN w:val="0"/>
        <w:adjustRightInd w:val="0"/>
        <w:spacing w:line="560" w:lineRule="exact"/>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国有资本经营预算财政拨款收入支出决算表</w:t>
      </w:r>
    </w:p>
    <w:p>
      <w:pPr>
        <w:numPr>
          <w:ilvl w:val="0"/>
          <w:numId w:val="1"/>
        </w:numPr>
        <w:autoSpaceDE w:val="0"/>
        <w:autoSpaceDN w:val="0"/>
        <w:adjustRightInd w:val="0"/>
        <w:spacing w:line="560" w:lineRule="exact"/>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“三公”经费及相关信息统计表</w:t>
      </w:r>
    </w:p>
    <w:p>
      <w:pPr>
        <w:numPr>
          <w:ilvl w:val="0"/>
          <w:numId w:val="1"/>
        </w:numPr>
        <w:autoSpaceDE w:val="0"/>
        <w:autoSpaceDN w:val="0"/>
        <w:adjustRightInd w:val="0"/>
        <w:spacing w:line="560" w:lineRule="exact"/>
        <w:jc w:val="left"/>
        <w:rPr>
          <w:rFonts w:hint="eastAsia" w:ascii="仿宋" w:hAnsi="仿宋" w:eastAsia="仿宋" w:cs="仿宋"/>
          <w:b w:val="0"/>
          <w:bCs/>
          <w:kern w:val="0"/>
          <w:sz w:val="32"/>
          <w:szCs w:val="32"/>
        </w:rPr>
      </w:pPr>
      <w:r>
        <w:rPr>
          <w:rFonts w:hint="eastAsia" w:ascii="仿宋" w:hAnsi="仿宋" w:eastAsia="仿宋" w:cs="仿宋"/>
          <w:b w:val="0"/>
          <w:bCs/>
          <w:kern w:val="0"/>
          <w:sz w:val="32"/>
          <w:szCs w:val="32"/>
        </w:rPr>
        <w:t>政府采购情况表</w:t>
      </w: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pStyle w:val="3"/>
        <w:spacing w:before="0" w:after="0" w:line="560" w:lineRule="exact"/>
        <w:ind w:firstLine="640" w:firstLineChars="200"/>
        <w:rPr>
          <w:rFonts w:ascii="黑体" w:eastAsia="黑体"/>
          <w:b w:val="0"/>
        </w:rPr>
      </w:pPr>
      <w:r>
        <w:rPr>
          <w:rFonts w:hint="eastAsia" w:ascii="仿宋_GB2312" w:eastAsia="仿宋_GB2312" w:cs="DengXian-Regular"/>
          <w:b w:val="0"/>
        </w:rPr>
        <w:t>本部门2017年度年初结转和结余1054.49万元，本年收入6762.19万元；本年支出6</w:t>
      </w:r>
      <w:r>
        <w:rPr>
          <w:rFonts w:ascii="仿宋_GB2312" w:eastAsia="仿宋_GB2312" w:cs="DengXian-Regular"/>
          <w:b w:val="0"/>
        </w:rPr>
        <w:t>083.</w:t>
      </w:r>
      <w:r>
        <w:rPr>
          <w:rFonts w:hint="eastAsia" w:ascii="仿宋_GB2312" w:eastAsia="仿宋_GB2312" w:cs="DengXian-Regular"/>
          <w:b w:val="0"/>
        </w:rPr>
        <w:t>0</w:t>
      </w:r>
      <w:r>
        <w:rPr>
          <w:rFonts w:ascii="仿宋_GB2312" w:eastAsia="仿宋_GB2312" w:cs="DengXian-Regular"/>
          <w:b w:val="0"/>
        </w:rPr>
        <w:t>4</w:t>
      </w:r>
      <w:r>
        <w:rPr>
          <w:rFonts w:hint="eastAsia" w:ascii="仿宋_GB2312" w:eastAsia="仿宋_GB2312" w:cs="DengXian-Regular"/>
          <w:b w:val="0"/>
        </w:rPr>
        <w:t>万元、年末结转和结余1733.65万元。与2016年度决算相比，本年收入增加1737.59万元，增长35%，主要是临时预算项目；本年支出增加</w:t>
      </w:r>
      <w:r>
        <w:rPr>
          <w:rFonts w:ascii="仿宋_GB2312" w:eastAsia="仿宋_GB2312" w:cs="DengXian-Regular"/>
          <w:b w:val="0"/>
        </w:rPr>
        <w:t>281</w:t>
      </w:r>
      <w:r>
        <w:rPr>
          <w:rFonts w:hint="eastAsia" w:ascii="仿宋_GB2312" w:eastAsia="仿宋_GB2312" w:cs="DengXian-Regular"/>
          <w:b w:val="0"/>
        </w:rPr>
        <w:t>7</w:t>
      </w:r>
      <w:r>
        <w:rPr>
          <w:rFonts w:ascii="仿宋_GB2312" w:eastAsia="仿宋_GB2312" w:cs="DengXian-Regular"/>
          <w:b w:val="0"/>
        </w:rPr>
        <w:t>.</w:t>
      </w:r>
      <w:r>
        <w:rPr>
          <w:rFonts w:hint="eastAsia" w:ascii="仿宋_GB2312" w:eastAsia="仿宋_GB2312" w:cs="DengXian-Regular"/>
          <w:b w:val="0"/>
        </w:rPr>
        <w:t>5</w:t>
      </w:r>
      <w:r>
        <w:rPr>
          <w:rFonts w:ascii="仿宋_GB2312" w:eastAsia="仿宋_GB2312" w:cs="DengXian-Regular"/>
          <w:b w:val="0"/>
        </w:rPr>
        <w:t>6</w:t>
      </w:r>
      <w:r>
        <w:rPr>
          <w:rFonts w:hint="eastAsia" w:ascii="仿宋_GB2312" w:eastAsia="仿宋_GB2312" w:cs="DengXian-Regular"/>
          <w:b w:val="0"/>
        </w:rPr>
        <w:t>万元，增长8</w:t>
      </w:r>
      <w:r>
        <w:rPr>
          <w:rFonts w:ascii="仿宋_GB2312" w:eastAsia="仿宋_GB2312" w:cs="DengXian-Regular"/>
          <w:b w:val="0"/>
        </w:rPr>
        <w:t>6</w:t>
      </w:r>
      <w:r>
        <w:rPr>
          <w:rFonts w:hint="eastAsia" w:ascii="仿宋_GB2312" w:eastAsia="仿宋_GB2312" w:cs="DengXian-Regular"/>
          <w:b w:val="0"/>
        </w:rPr>
        <w:t>%，主要是临时预算项目增加。</w:t>
      </w:r>
    </w:p>
    <w:p>
      <w:pPr>
        <w:numPr>
          <w:ilvl w:val="0"/>
          <w:numId w:val="2"/>
        </w:numPr>
        <w:adjustRightInd w:val="0"/>
        <w:snapToGrid w:val="0"/>
        <w:spacing w:line="560" w:lineRule="exact"/>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收入决算情况说明</w:t>
      </w:r>
    </w:p>
    <w:p>
      <w:pPr>
        <w:numPr>
          <w:ilvl w:val="0"/>
          <w:numId w:val="0"/>
        </w:num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本部门2017年度本年收入合计6762.19万元，其中：财政拨款收入6762.19万元，占100%；事业收入0万元，占0%；经营收入0万元，占0%；其他收入0万元，占0%。</w:t>
      </w:r>
      <w:r>
        <w:rPr>
          <w:rFonts w:hint="eastAsia" w:ascii="仿宋_GB2312" w:eastAsia="仿宋_GB2312" w:cs="DengXian-Regular"/>
          <w:sz w:val="32"/>
          <w:szCs w:val="32"/>
          <w:lang w:val="en-US" w:eastAsia="zh-CN"/>
        </w:rPr>
        <w:t>如图所示：</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图1;收入决算结构饼状图</w:t>
      </w:r>
    </w:p>
    <w:p>
      <w:pPr>
        <w:ind w:firstLine="640"/>
        <w:rPr>
          <w:rFonts w:hint="eastAsia" w:ascii="仿宋" w:hAnsi="仿宋" w:eastAsia="仿宋" w:cs="仿宋"/>
          <w:sz w:val="32"/>
          <w:szCs w:val="32"/>
          <w:lang w:val="en-US" w:eastAsia="zh-CN"/>
        </w:rPr>
      </w:pPr>
      <w:r>
        <w:rPr>
          <w:rFonts w:ascii="Times New Roman" w:hAnsi="Times New Roman" w:eastAsia="宋体" w:cs="Times New Roman"/>
          <w:kern w:val="2"/>
          <w:sz w:val="21"/>
          <w:szCs w:val="24"/>
          <w:lang w:val="en-US" w:eastAsia="zh-CN" w:bidi="ar-SA"/>
        </w:rPr>
        <w:pict>
          <v:shape id="_x0000_i1025" o:spt="75" type="#_x0000_t75" style="height:201.2pt;width:442.1pt;" fillcolor="#FFFFFF" filled="f" o:preferrelative="t" stroked="f" coordsize="21600,21600">
            <v:path/>
            <v:fill on="f" color2="#FFFFFF" focussize="0,0"/>
            <v:stroke on="f"/>
            <v:imagedata r:id="rId4" gain="65536f" blacklevel="0f" gamma="0" o:title=""/>
            <o:lock v:ext="edit" position="f" selection="f" grouping="f" rotation="f" cropping="f" text="f" aspectratio="t"/>
            <w10:wrap type="none"/>
            <w10:anchorlock/>
          </v:shape>
        </w:pict>
      </w:r>
    </w:p>
    <w:p>
      <w:pPr>
        <w:pStyle w:val="3"/>
        <w:spacing w:before="0" w:after="0" w:line="560" w:lineRule="exact"/>
        <w:rPr>
          <w:rFonts w:ascii="黑体" w:eastAsia="黑体"/>
        </w:rPr>
      </w:pPr>
      <w:r>
        <w:rPr>
          <w:rFonts w:hint="eastAsia" w:ascii="黑体" w:eastAsia="黑体"/>
          <w:lang w:val="en-US" w:eastAsia="zh-CN"/>
        </w:rPr>
        <w:t xml:space="preserve">    </w:t>
      </w:r>
      <w:r>
        <w:rPr>
          <w:rFonts w:hint="eastAsia" w:ascii="黑体" w:eastAsia="黑体"/>
        </w:rPr>
        <w:t>三、支出决算情况说明</w:t>
      </w:r>
    </w:p>
    <w:p>
      <w:pPr>
        <w:ind w:firstLine="64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本部门2017年度本年支出合计6083.04万元，其中：基本支出1550.14万元，占25.5%；项目支出4532.9</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万元，占74.5%；经营支出0万元，占0%。</w:t>
      </w:r>
      <w:r>
        <w:rPr>
          <w:rFonts w:hint="eastAsia" w:ascii="仿宋_GB2312" w:eastAsia="仿宋_GB2312" w:cs="DengXian-Regular"/>
          <w:sz w:val="32"/>
          <w:szCs w:val="32"/>
          <w:lang w:val="en-US" w:eastAsia="zh-CN"/>
        </w:rPr>
        <w:t>如图所示：</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图2：支出决算结构饼状图</w:t>
      </w:r>
    </w:p>
    <w:p>
      <w:pPr>
        <w:ind w:firstLine="640"/>
        <w:rPr>
          <w:rFonts w:hint="eastAsia" w:ascii="仿宋" w:hAnsi="仿宋" w:eastAsia="仿宋" w:cs="仿宋"/>
          <w:sz w:val="32"/>
          <w:szCs w:val="32"/>
          <w:lang w:val="en-US" w:eastAsia="zh-CN"/>
        </w:rPr>
      </w:pPr>
      <w:r>
        <w:rPr>
          <w:rFonts w:ascii="Times New Roman" w:hAnsi="Times New Roman" w:eastAsia="宋体" w:cs="Times New Roman"/>
          <w:kern w:val="2"/>
          <w:sz w:val="21"/>
          <w:szCs w:val="24"/>
          <w:lang w:val="en-US" w:eastAsia="zh-CN" w:bidi="ar-SA"/>
        </w:rPr>
        <w:pict>
          <v:shape id="_x0000_i1026" o:spt="75" type="#_x0000_t75" style="height:201.2pt;width:442.1pt;" fillcolor="#FFFFFF" filled="f" o:preferrelative="t" stroked="f" coordsize="21600,21600">
            <v:path/>
            <v:fill on="f" color2="#FFFFFF" focussize="0,0"/>
            <v:stroke on="f"/>
            <v:imagedata r:id="rId5" gain="65536f" blacklevel="0f" gamma="0" o:title=""/>
            <o:lock v:ext="edit" position="f" selection="f" grouping="f" rotation="f" cropping="f" text="f" aspectratio="t"/>
            <w10:wrap type="none"/>
            <w10:anchorlock/>
          </v:shape>
        </w:pict>
      </w:r>
    </w:p>
    <w:p>
      <w:pPr>
        <w:ind w:firstLine="640"/>
        <w:rPr>
          <w:rFonts w:ascii="黑体" w:eastAsia="黑体"/>
          <w:sz w:val="32"/>
          <w:szCs w:val="32"/>
        </w:rPr>
      </w:pPr>
      <w:r>
        <w:rPr>
          <w:rFonts w:hint="eastAsia" w:ascii="黑体" w:eastAsia="黑体"/>
          <w:sz w:val="32"/>
          <w:szCs w:val="32"/>
        </w:rPr>
        <w:t>四、</w:t>
      </w:r>
      <w:r>
        <w:rPr>
          <w:rFonts w:hint="eastAsia" w:ascii="黑体" w:hAnsi="Cambria" w:eastAsia="黑体" w:cs="黑体"/>
          <w:kern w:val="0"/>
          <w:sz w:val="32"/>
          <w:szCs w:val="32"/>
        </w:rPr>
        <w:t>财政</w:t>
      </w:r>
      <w:r>
        <w:rPr>
          <w:rFonts w:hint="eastAsia" w:ascii="黑体" w:eastAsia="黑体"/>
          <w:sz w:val="32"/>
          <w:szCs w:val="32"/>
        </w:rPr>
        <w:t>拨款收入支出决算总体情况说明</w:t>
      </w:r>
    </w:p>
    <w:p>
      <w:pPr>
        <w:ind w:firstLine="64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ind w:firstLine="640"/>
        <w:rPr>
          <w:rFonts w:ascii="仿宋" w:hAnsi="仿宋" w:eastAsia="仿宋" w:cs="仿宋"/>
          <w:sz w:val="32"/>
          <w:szCs w:val="32"/>
        </w:rPr>
      </w:pPr>
      <w:r>
        <w:rPr>
          <w:rFonts w:hint="eastAsia" w:ascii="仿宋" w:hAnsi="仿宋" w:eastAsia="仿宋" w:cs="仿宋"/>
          <w:sz w:val="32"/>
          <w:szCs w:val="32"/>
        </w:rPr>
        <w:t>2017年部门财政拨款收入6762.19万元，其中一般预算收入5177.3万元；基金收入1584.89万元。</w:t>
      </w:r>
    </w:p>
    <w:p>
      <w:pPr>
        <w:ind w:firstLine="640"/>
        <w:rPr>
          <w:rFonts w:ascii="仿宋" w:hAnsi="仿宋" w:eastAsia="仿宋" w:cs="仿宋"/>
          <w:sz w:val="32"/>
          <w:szCs w:val="32"/>
        </w:rPr>
      </w:pPr>
      <w:r>
        <w:rPr>
          <w:rFonts w:hint="eastAsia" w:ascii="仿宋" w:hAnsi="仿宋" w:eastAsia="仿宋" w:cs="仿宋"/>
          <w:sz w:val="32"/>
          <w:szCs w:val="32"/>
        </w:rPr>
        <w:t>2017年财政拨款支出6083.04万元，其中基本支出1550.15万元，项目支出4532.89万元。</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一般预算年初结转和结余1054.49万元、本年收入5177.3万元；本年支出5571.84万元、年末结转和结余659.95万元。与2016年度决算相比，财政拨款本年收入增加594万元，增长13%，主要是临时预算项目增加；本年支出增加2747.56万元，增长97%，主要是临时预算项目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政府性基金预算财政拨款年初结转和结余0万元、本年收入</w:t>
      </w:r>
    </w:p>
    <w:p>
      <w:pPr>
        <w:adjustRightInd w:val="0"/>
        <w:snapToGrid w:val="0"/>
        <w:spacing w:after="0" w:line="560" w:lineRule="exact"/>
        <w:rPr>
          <w:rFonts w:ascii="仿宋_GB2312" w:eastAsia="仿宋_GB2312" w:cs="DengXian-Regular"/>
          <w:sz w:val="32"/>
          <w:szCs w:val="32"/>
        </w:rPr>
      </w:pPr>
      <w:r>
        <w:rPr>
          <w:rFonts w:hint="eastAsia" w:ascii="仿宋_GB2312" w:eastAsia="仿宋_GB2312" w:cs="DengXian-Regular"/>
          <w:sz w:val="32"/>
          <w:szCs w:val="32"/>
        </w:rPr>
        <w:t>1584.89万元；本年支出511.2万元、年末结转和结余1073.69万元。与2016年度决算相比，政府性基金预算财政拨款本年收入增加1143.69万元，增长259%，主要是项目支出增加；支出增加70万元，增长16%，主要是人员经费和日常公用经费增加。</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本部门2017年度财政拨款本年收入较2017年初预算增加5071万元，增长300%，主要是临时预算项目增加；本年支出增加4392.64万元，增长260%，主要是临时预算项目增加。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其中，本部门2017年度一般公共预算财政拨款本年收入较2017年初预算增加3486.9万元，增长206%，主要是临时预算项目增加；本年支出增加3881.44万元，增长230%，主要是临时预算项目增加。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本部门2017年度政府性基金预算财政拨款本年收入较2017年初预算增加0万元，增加0%。</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本部门2017年度“三公”经费支出共计2.95万元，较年初预算减0.05万元，降低2%，主要是车辆减少；较2016年度决算减少4.78万元，降低62%，主要是车辆减少。具体情况如下：</w:t>
      </w:r>
    </w:p>
    <w:p>
      <w:pPr>
        <w:numPr>
          <w:ilvl w:val="0"/>
          <w:numId w:val="3"/>
        </w:num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因公出国（境）费支出万元。</w:t>
      </w:r>
      <w:r>
        <w:rPr>
          <w:rFonts w:hint="eastAsia" w:ascii="仿宋_GB2312" w:eastAsia="仿宋_GB2312" w:cs="DengXian-Regular"/>
          <w:sz w:val="32"/>
          <w:szCs w:val="32"/>
        </w:rPr>
        <w:t>本部门2017年度参加其他单位组织的因公出国（境）团组0个、共0人/无本单位组织的出国（境）团组。</w:t>
      </w:r>
      <w:r>
        <w:rPr>
          <w:rFonts w:hint="eastAsia" w:ascii="仿宋_GB2312" w:eastAsia="仿宋_GB2312" w:cs="DengXian-Regular"/>
          <w:sz w:val="32"/>
          <w:szCs w:val="32"/>
          <w:lang w:val="en-US" w:eastAsia="zh-CN"/>
        </w:rPr>
        <w:t>未发生“</w:t>
      </w:r>
      <w:r>
        <w:rPr>
          <w:rFonts w:hint="eastAsia" w:ascii="仿宋_GB2312" w:eastAsia="仿宋_GB2312" w:cs="DengXian-Regular"/>
          <w:sz w:val="32"/>
          <w:szCs w:val="32"/>
        </w:rPr>
        <w:t>因公出国（境）费</w:t>
      </w:r>
      <w:r>
        <w:rPr>
          <w:rFonts w:hint="eastAsia" w:ascii="仿宋_GB2312" w:eastAsia="仿宋_GB2312" w:cs="DengXian-Regular"/>
          <w:sz w:val="32"/>
          <w:szCs w:val="32"/>
          <w:lang w:eastAsia="zh-CN"/>
        </w:rPr>
        <w:t>”</w:t>
      </w:r>
      <w:r>
        <w:rPr>
          <w:rFonts w:hint="eastAsia" w:ascii="仿宋_GB2312" w:eastAsia="仿宋_GB2312" w:cs="DengXian-Regular"/>
          <w:sz w:val="32"/>
          <w:szCs w:val="32"/>
        </w:rPr>
        <w:t>支出</w:t>
      </w:r>
      <w:r>
        <w:rPr>
          <w:rFonts w:hint="eastAsia" w:ascii="仿宋_GB2312" w:eastAsia="仿宋_GB2312" w:cs="DengXian-Regular"/>
          <w:sz w:val="32"/>
          <w:szCs w:val="32"/>
          <w:lang w:eastAsia="zh-CN"/>
        </w:rPr>
        <w:t>，</w:t>
      </w:r>
      <w:r>
        <w:rPr>
          <w:rFonts w:hint="eastAsia" w:ascii="仿宋_GB2312" w:eastAsia="仿宋_GB2312" w:cs="DengXian-Regular"/>
          <w:sz w:val="32"/>
          <w:szCs w:val="32"/>
        </w:rPr>
        <w:t>较年初预算无变化；较2016年度决算无变化。</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（二）公务用车购置及运行维护费支出2.95万元。</w:t>
      </w:r>
      <w:r>
        <w:rPr>
          <w:rFonts w:hint="eastAsia" w:ascii="仿宋_GB2312" w:eastAsia="仿宋_GB2312" w:cs="DengXian-Regular"/>
          <w:sz w:val="32"/>
          <w:szCs w:val="32"/>
        </w:rPr>
        <w:t>本部门2017年度公务用车购置及运行维护费较年初预算减少0.05万元，降低2%,主要是车辆减少；较2016年度决算减少4.78万元，降低62%,主要是公车改革后车辆减少。</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w:t>
      </w:r>
      <w:r>
        <w:rPr>
          <w:rFonts w:hint="eastAsia" w:ascii="仿宋_GB2312" w:eastAsia="仿宋_GB2312" w:cs="DengXian-Regular"/>
          <w:sz w:val="32"/>
          <w:szCs w:val="32"/>
          <w:lang w:val="en-US" w:eastAsia="zh-CN"/>
        </w:rPr>
        <w:t>未</w:t>
      </w:r>
      <w:r>
        <w:rPr>
          <w:rFonts w:hint="eastAsia" w:ascii="仿宋_GB2312" w:eastAsia="仿宋_GB2312" w:cs="DengXian-Regular"/>
          <w:sz w:val="32"/>
          <w:szCs w:val="32"/>
        </w:rPr>
        <w:t>发生“公务用车购置”经费支出。公务用车购置费无变化；较2016年度决算无变化。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本部门2017年度单位公务用车保有量1辆。公车运行维护费支出较年初预算减少0.05万元，降低2%,主要是公车改革后车辆减少；较2016年度决算减少4.78万元，降低62%，主要是公车改革后车辆减少。</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w:t>
      </w:r>
      <w:r>
        <w:rPr>
          <w:rFonts w:hint="eastAsia" w:ascii="仿宋_GB2312" w:eastAsia="仿宋_GB2312" w:cs="DengXian-Regular"/>
          <w:sz w:val="32"/>
          <w:szCs w:val="32"/>
          <w:lang w:val="en-US" w:eastAsia="zh-CN"/>
        </w:rPr>
        <w:t>未发生公务接待费支出，较年初预算无增减变化，</w:t>
      </w:r>
      <w:r>
        <w:rPr>
          <w:rFonts w:hint="eastAsia" w:ascii="仿宋_GB2312" w:eastAsia="仿宋_GB2312" w:cs="DengXian-Regular"/>
          <w:sz w:val="32"/>
          <w:szCs w:val="32"/>
        </w:rPr>
        <w:t>较2016年度决算无</w:t>
      </w:r>
      <w:r>
        <w:rPr>
          <w:rFonts w:hint="eastAsia" w:ascii="仿宋_GB2312" w:eastAsia="仿宋_GB2312" w:cs="DengXian-Regular"/>
          <w:sz w:val="32"/>
          <w:szCs w:val="32"/>
          <w:lang w:val="en-US" w:eastAsia="zh-CN"/>
        </w:rPr>
        <w:t>增减</w:t>
      </w:r>
      <w:r>
        <w:rPr>
          <w:rFonts w:hint="eastAsia" w:ascii="仿宋_GB2312" w:eastAsia="仿宋_GB2312" w:cs="DengXian-Regular"/>
          <w:sz w:val="32"/>
          <w:szCs w:val="32"/>
        </w:rPr>
        <w:t>变化。</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ind w:firstLine="720" w:firstLineChars="225"/>
        <w:rPr>
          <w:rFonts w:ascii="仿宋_GB2312" w:eastAsia="仿宋_GB2312" w:cs="DengXian-Regular"/>
          <w:sz w:val="32"/>
          <w:szCs w:val="32"/>
        </w:rPr>
      </w:pPr>
      <w:r>
        <w:rPr>
          <w:rFonts w:hint="eastAsia" w:ascii="仿宋_GB2312" w:eastAsia="仿宋_GB2312" w:cs="DengXian-Regular"/>
          <w:sz w:val="32"/>
          <w:szCs w:val="32"/>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keepNext w:val="0"/>
        <w:keepLines w:val="0"/>
        <w:pageBreakBefore w:val="0"/>
        <w:widowControl w:val="0"/>
        <w:kinsoku/>
        <w:wordWrap/>
        <w:overflowPunct/>
        <w:topLinePunct w:val="0"/>
        <w:autoSpaceDE/>
        <w:autoSpaceDN/>
        <w:bidi w:val="0"/>
        <w:adjustRightInd/>
        <w:snapToGrid/>
        <w:spacing w:after="0" w:line="240" w:lineRule="auto"/>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keepNext w:val="0"/>
        <w:keepLines w:val="0"/>
        <w:pageBreakBefore w:val="0"/>
        <w:widowControl w:val="0"/>
        <w:kinsoku/>
        <w:wordWrap/>
        <w:overflowPunct/>
        <w:topLinePunct w:val="0"/>
        <w:autoSpaceDE/>
        <w:autoSpaceDN/>
        <w:bidi w:val="0"/>
        <w:adjustRightInd/>
        <w:snapToGrid/>
        <w:spacing w:after="0" w:line="240" w:lineRule="auto"/>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2017年度一般公共预算项目支出开展绩效自评，涉及大气及水污染防治、农村环境综合整治、占地补偿、环境保护监测及管理等四大类项目，涉及资金4538万元，自评结果为优秀的三个，自评结果为良好的一个。</w:t>
      </w:r>
    </w:p>
    <w:p>
      <w:pPr>
        <w:keepNext w:val="0"/>
        <w:keepLines w:val="0"/>
        <w:pageBreakBefore w:val="0"/>
        <w:widowControl w:val="0"/>
        <w:kinsoku/>
        <w:wordWrap/>
        <w:overflowPunct/>
        <w:topLinePunct w:val="0"/>
        <w:autoSpaceDE/>
        <w:autoSpaceDN/>
        <w:bidi w:val="0"/>
        <w:adjustRightInd/>
        <w:snapToGrid/>
        <w:spacing w:after="0" w:line="240" w:lineRule="auto"/>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keepNext w:val="0"/>
        <w:keepLines w:val="0"/>
        <w:pageBreakBefore w:val="0"/>
        <w:widowControl w:val="0"/>
        <w:kinsoku/>
        <w:wordWrap/>
        <w:overflowPunct/>
        <w:topLinePunct w:val="0"/>
        <w:autoSpaceDE/>
        <w:autoSpaceDN/>
        <w:bidi w:val="0"/>
        <w:adjustRightInd/>
        <w:snapToGrid/>
        <w:spacing w:after="0" w:line="240" w:lineRule="auto"/>
        <w:ind w:firstLine="640" w:firstLineChars="200"/>
        <w:textAlignment w:val="auto"/>
        <w:rPr>
          <w:rFonts w:ascii="仿宋_GB2312" w:eastAsia="仿宋_GB2312" w:cs="DengXian-Regular"/>
          <w:sz w:val="32"/>
          <w:szCs w:val="32"/>
        </w:rPr>
      </w:pPr>
      <w:r>
        <w:rPr>
          <w:rFonts w:hint="eastAsia" w:ascii="仿宋_GB2312" w:eastAsia="仿宋_GB2312" w:cs="DengXian-Regular"/>
          <w:sz w:val="32"/>
          <w:szCs w:val="32"/>
        </w:rPr>
        <w:t>  本单位东丰庄农村生活污水处理站项目绩效自评：根据</w:t>
      </w:r>
      <w:bookmarkStart w:id="0" w:name="_GoBack"/>
      <w:bookmarkEnd w:id="0"/>
      <w:r>
        <w:rPr>
          <w:rFonts w:hint="eastAsia" w:ascii="仿宋_GB2312" w:eastAsia="仿宋_GB2312" w:cs="DengXian-Regular"/>
          <w:sz w:val="32"/>
          <w:szCs w:val="32"/>
        </w:rPr>
        <w:t>年初设定的绩效目标，该项目自评结果为优秀。项目全年预算数为153万元，完成预算的100%；本单位柴城桥和安城桥水质监测点项目绩效自评：根据年初设定的绩效目标，该项目自评结果为优秀，项目全年预算数为69万元，完成预算的100%；本单位张段固农村生活污水处理站项目绩效自评：根据年初设定的绩效目标，该项目自评结果为良好。项目全年预算数为229万元。执行数189万元，完成预算的82.5%。</w:t>
      </w:r>
    </w:p>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ind w:firstLine="640"/>
        <w:rPr>
          <w:rFonts w:ascii="仿宋" w:hAnsi="仿宋" w:eastAsia="仿宋" w:cs="仿宋"/>
          <w:sz w:val="32"/>
          <w:szCs w:val="32"/>
        </w:rPr>
      </w:pPr>
      <w:r>
        <w:rPr>
          <w:rFonts w:hint="eastAsia" w:ascii="仿宋" w:hAnsi="仿宋" w:eastAsia="仿宋" w:cs="仿宋"/>
          <w:sz w:val="32"/>
          <w:szCs w:val="32"/>
        </w:rPr>
        <w:t>2017年机关运行经费支出491.53万元，比2016年减少314.08万元，降低了39%。主要原因：经费节约。</w:t>
      </w:r>
    </w:p>
    <w:p>
      <w:pPr>
        <w:ind w:firstLine="627" w:firstLineChars="196"/>
        <w:rPr>
          <w:rFonts w:ascii="仿宋" w:hAnsi="仿宋" w:eastAsia="仿宋" w:cs="仿宋"/>
          <w:szCs w:val="32"/>
        </w:rPr>
      </w:pPr>
      <w:r>
        <w:rPr>
          <w:rFonts w:hint="eastAsia" w:ascii="仿宋" w:hAnsi="仿宋" w:eastAsia="仿宋" w:cs="仿宋"/>
          <w:sz w:val="32"/>
          <w:szCs w:val="32"/>
        </w:rPr>
        <w:t>除三公经费外，主要有办公及印刷费56.32万元，邮电费5.62万元，差旅费6.14万元，会议费2.20万元，日常维修费84.68万元，专用材料及一般设备购置费6.62万元，水电费23.33万元，取暖费8.75万元，租赁费44.2万元，专用燃料费14.4万元，劳务费169.9万元，委托业务费13.5万元，工会经费14.21万元。</w:t>
      </w:r>
    </w:p>
    <w:p>
      <w:pPr>
        <w:ind w:firstLine="630" w:firstLineChars="196"/>
        <w:rPr>
          <w:rFonts w:ascii="楷体_GB2312" w:eastAsia="楷体_GB2312" w:cs="DengXian-Bold"/>
          <w:b/>
          <w:bCs/>
          <w:sz w:val="32"/>
          <w:szCs w:val="32"/>
        </w:rPr>
      </w:pPr>
      <w:r>
        <w:rPr>
          <w:rFonts w:hint="eastAsia" w:ascii="楷体_GB2312" w:eastAsia="楷体_GB2312" w:cs="DengXian-Bold"/>
          <w:b/>
          <w:bCs/>
          <w:sz w:val="32"/>
          <w:szCs w:val="32"/>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本部门2017年度政府采购支出总额3251.2万元，其中：政府采购货物支出60万元、政府采购工程支出2991.2万元、政府采购服务支出200万元。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截至2017年12月31日，本部门共有车辆16辆，其中一般公务用车1辆、一般执法执勤用车13辆、特种专业技术用车2辆；单位价值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1、本部门2017年度政府性基金预算财政拨款无收支出决算表为空，以空表列示。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第四部分名词解释</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（一）财政拨款收入：</w:t>
      </w:r>
      <w:r>
        <w:rPr>
          <w:rFonts w:hint="eastAsia" w:ascii="仿宋" w:hAnsi="仿宋" w:eastAsia="仿宋"/>
          <w:color w:val="000000"/>
          <w:kern w:val="0"/>
          <w:sz w:val="32"/>
          <w:szCs w:val="32"/>
        </w:rPr>
        <w:t>本年度从本级财政部门取得的财政拨款，包括一般公共预算财政拨款和政府性基金预算财政拨款。</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（二）事业收入：</w:t>
      </w:r>
      <w:r>
        <w:rPr>
          <w:rFonts w:hint="eastAsia" w:ascii="仿宋" w:hAnsi="仿宋" w:eastAsia="仿宋"/>
          <w:color w:val="000000"/>
          <w:kern w:val="0"/>
          <w:sz w:val="32"/>
          <w:szCs w:val="32"/>
        </w:rPr>
        <w:t>指事业单位开展专业业务活动及辅助活动所取得的收入。</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（三）其他收入：</w:t>
      </w:r>
      <w:r>
        <w:rPr>
          <w:rFonts w:hint="eastAsia" w:ascii="仿宋" w:hAnsi="仿宋" w:eastAsia="仿宋"/>
          <w:color w:val="000000"/>
          <w:kern w:val="0"/>
          <w:sz w:val="32"/>
          <w:szCs w:val="32"/>
        </w:rPr>
        <w:t>指除上述“财政拨款收入”、“事业收入”、“经营收入”等以外的收入。</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（四）用事业基金弥补收支差额：</w:t>
      </w:r>
      <w:r>
        <w:rPr>
          <w:rFonts w:hint="eastAsia" w:ascii="仿宋" w:hAnsi="仿宋" w:eastAsia="仿宋"/>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（五）年初结转和结余：</w:t>
      </w:r>
      <w:r>
        <w:rPr>
          <w:rFonts w:hint="eastAsia" w:ascii="仿宋" w:hAnsi="仿宋" w:eastAsia="仿宋"/>
          <w:color w:val="000000"/>
          <w:kern w:val="0"/>
          <w:sz w:val="32"/>
          <w:szCs w:val="32"/>
        </w:rPr>
        <w:t>指以前年度尚未完成、结转到本年仍按原规定用途继续使用的资金，或项目已完成等产生的结余资金。</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（六）结余分配：</w:t>
      </w:r>
      <w:r>
        <w:rPr>
          <w:rFonts w:hint="eastAsia" w:ascii="仿宋" w:hAnsi="仿宋" w:eastAsia="仿宋"/>
          <w:color w:val="000000"/>
          <w:kern w:val="0"/>
          <w:sz w:val="32"/>
          <w:szCs w:val="32"/>
        </w:rPr>
        <w:t>指事业单位按照事业单位会计制度的规定从非财政补助结余中分配的事业基金和职工福利基金等。</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（七）年末结转和结余：</w:t>
      </w:r>
      <w:r>
        <w:rPr>
          <w:rFonts w:hint="eastAsia" w:ascii="仿宋" w:hAnsi="仿宋" w:eastAsia="仿宋"/>
          <w:color w:val="000000"/>
          <w:kern w:val="0"/>
          <w:sz w:val="32"/>
          <w:szCs w:val="32"/>
        </w:rPr>
        <w:t>指单位按有关规定结转到下年或以后年度继续使用的资金，或项目已完成等产生的结余资金。</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（八）基本支出：</w:t>
      </w:r>
      <w:r>
        <w:rPr>
          <w:rFonts w:hint="eastAsia" w:ascii="仿宋" w:hAnsi="仿宋" w:eastAsia="仿宋"/>
          <w:color w:val="000000"/>
          <w:kern w:val="0"/>
          <w:sz w:val="32"/>
          <w:szCs w:val="32"/>
        </w:rPr>
        <w:t>填列单位为保障机构正常运转、完成日常工作任务而发生的各项支出。</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（九）项目支出：</w:t>
      </w:r>
      <w:r>
        <w:rPr>
          <w:rFonts w:hint="eastAsia" w:ascii="仿宋" w:hAnsi="仿宋" w:eastAsia="仿宋"/>
          <w:color w:val="000000"/>
          <w:kern w:val="0"/>
          <w:sz w:val="32"/>
          <w:szCs w:val="32"/>
        </w:rPr>
        <w:t>填列单位为完成特定的行政工作任务或事业发展目标，在基本支出之外发生的各项支出</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（十）基本建设支出：</w:t>
      </w:r>
      <w:r>
        <w:rPr>
          <w:rFonts w:hint="eastAsia" w:ascii="仿宋" w:hAnsi="仿宋" w:eastAsia="仿宋"/>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（十一）其他资本性支出：</w:t>
      </w:r>
      <w:r>
        <w:rPr>
          <w:rFonts w:hint="eastAsia" w:ascii="仿宋" w:hAnsi="仿宋" w:eastAsia="仿宋"/>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（十二）“三公”经费：</w:t>
      </w:r>
      <w:r>
        <w:rPr>
          <w:rFonts w:hint="eastAsia" w:ascii="仿宋" w:hAnsi="仿宋" w:eastAsia="仿宋"/>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（十三）其他交通费用：</w:t>
      </w:r>
      <w:r>
        <w:rPr>
          <w:rFonts w:hint="eastAsia" w:ascii="仿宋" w:hAnsi="仿宋" w:eastAsia="仿宋"/>
          <w:color w:val="000000"/>
          <w:kern w:val="0"/>
          <w:sz w:val="32"/>
          <w:szCs w:val="32"/>
        </w:rPr>
        <w:t>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（十四）公务用车购置：</w:t>
      </w:r>
      <w:r>
        <w:rPr>
          <w:rFonts w:hint="eastAsia" w:ascii="仿宋" w:hAnsi="仿宋" w:eastAsia="仿宋"/>
          <w:color w:val="000000"/>
          <w:kern w:val="0"/>
          <w:sz w:val="32"/>
          <w:szCs w:val="32"/>
        </w:rPr>
        <w:t>填列单位公务用车车辆购置支出（含车辆购置税）。</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（十五）其他交通工具购置：</w:t>
      </w:r>
      <w:r>
        <w:rPr>
          <w:rFonts w:hint="eastAsia" w:ascii="仿宋" w:hAnsi="仿宋" w:eastAsia="仿宋"/>
          <w:color w:val="000000"/>
          <w:kern w:val="0"/>
          <w:sz w:val="32"/>
          <w:szCs w:val="32"/>
        </w:rPr>
        <w:t>填列单位除公务用车外的其他各类交通工具（如船舶、飞机）购置支出（含车辆购置税）。</w:t>
      </w:r>
    </w:p>
    <w:p>
      <w:pPr>
        <w:widowControl/>
        <w:spacing w:after="0" w:line="560" w:lineRule="exact"/>
        <w:ind w:firstLine="640" w:firstLineChars="200"/>
        <w:rPr>
          <w:rFonts w:ascii="仿宋" w:hAnsi="仿宋" w:eastAsia="仿宋"/>
          <w:color w:val="000000"/>
          <w:kern w:val="0"/>
          <w:sz w:val="32"/>
          <w:szCs w:val="32"/>
        </w:rPr>
      </w:pPr>
      <w:r>
        <w:rPr>
          <w:rFonts w:hint="eastAsia" w:ascii="仿宋_GB2312" w:hAnsi="宋体" w:eastAsia="仿宋_GB2312"/>
          <w:color w:val="000000"/>
          <w:kern w:val="0"/>
          <w:sz w:val="32"/>
          <w:szCs w:val="32"/>
        </w:rPr>
        <w:t>（十六） 机关运行经费：</w:t>
      </w:r>
      <w:r>
        <w:rPr>
          <w:rFonts w:hint="eastAsia" w:ascii="仿宋" w:hAnsi="仿宋" w:eastAsia="仿宋"/>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ind w:firstLine="643"/>
        <w:rPr>
          <w:rFonts w:ascii="仿宋" w:hAnsi="仿宋" w:eastAsia="仿宋" w:cs="仿宋"/>
          <w:sz w:val="32"/>
          <w:szCs w:val="32"/>
        </w:rPr>
      </w:pP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7"/>
    <w:multiLevelType w:val="singleLevel"/>
    <w:tmpl w:val="00000007"/>
    <w:lvl w:ilvl="0" w:tentative="0">
      <w:start w:val="1"/>
      <w:numFmt w:val="chineseCounting"/>
      <w:suff w:val="nothing"/>
      <w:lvlText w:val="%1、"/>
      <w:lvlJc w:val="left"/>
      <w:pPr>
        <w:ind w:left="883" w:firstLine="0"/>
      </w:pPr>
      <w:rPr>
        <w:rFonts w:hint="eastAsia"/>
      </w:rPr>
    </w:lvl>
  </w:abstractNum>
  <w:abstractNum w:abstractNumId="1">
    <w:nsid w:val="00000009"/>
    <w:multiLevelType w:val="singleLevel"/>
    <w:tmpl w:val="00000009"/>
    <w:lvl w:ilvl="0" w:tentative="0">
      <w:start w:val="2"/>
      <w:numFmt w:val="chineseCounting"/>
      <w:suff w:val="nothing"/>
      <w:lvlText w:val="%1、"/>
      <w:lvlJc w:val="left"/>
    </w:lvl>
  </w:abstractNum>
  <w:abstractNum w:abstractNumId="2">
    <w:nsid w:val="0000000A"/>
    <w:multiLevelType w:val="singleLevel"/>
    <w:tmpl w:val="0000000A"/>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18DE02A0"/>
    <w:rsid w:val="773F579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uiPriority w:val="0"/>
  </w:style>
  <w:style w:type="table" w:default="1" w:styleId="10">
    <w:name w:val="Normal Table"/>
    <w:semiHidden/>
    <w:uiPriority w:val="0"/>
    <w:tblPr>
      <w:tblLayout w:type="fixed"/>
      <w:tblCellMar>
        <w:top w:w="0" w:type="dxa"/>
        <w:left w:w="108" w:type="dxa"/>
        <w:bottom w:w="0" w:type="dxa"/>
        <w:right w:w="108" w:type="dxa"/>
      </w:tblCellMar>
    </w:tblPr>
  </w:style>
  <w:style w:type="paragraph" w:styleId="6">
    <w:name w:val="footer"/>
    <w:basedOn w:val="1"/>
    <w:link w:val="16"/>
    <w:uiPriority w:val="0"/>
    <w:pPr>
      <w:tabs>
        <w:tab w:val="center" w:pos="4153"/>
        <w:tab w:val="right" w:pos="8306"/>
      </w:tabs>
      <w:snapToGrid w:val="0"/>
      <w:jc w:val="left"/>
    </w:pPr>
    <w:rPr>
      <w:sz w:val="18"/>
      <w:szCs w:val="18"/>
    </w:rPr>
  </w:style>
  <w:style w:type="paragraph" w:styleId="7">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8"/>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19"/>
    <w:qFormat/>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1"/>
    <w:link w:val="2"/>
    <w:semiHidden/>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uiPriority w:val="0"/>
    <w:rPr>
      <w:rFonts w:ascii="Calibri" w:hAnsi="Calibri" w:eastAsia="宋体" w:cs="黑体"/>
      <w:b/>
      <w:bCs/>
      <w:sz w:val="32"/>
      <w:szCs w:val="32"/>
    </w:rPr>
  </w:style>
  <w:style w:type="character" w:customStyle="1" w:styleId="14">
    <w:name w:val="标题 3 Char"/>
    <w:basedOn w:val="11"/>
    <w:link w:val="4"/>
    <w:semiHidden/>
    <w:uiPriority w:val="0"/>
    <w:rPr>
      <w:rFonts w:ascii="Times New Roman" w:hAnsi="Times New Roman" w:eastAsia="宋体" w:cs="Times New Roman"/>
      <w:b/>
      <w:bCs/>
      <w:sz w:val="32"/>
      <w:szCs w:val="32"/>
    </w:rPr>
  </w:style>
  <w:style w:type="character" w:customStyle="1" w:styleId="15">
    <w:name w:val="标题 4 Char"/>
    <w:basedOn w:val="11"/>
    <w:link w:val="5"/>
    <w:semiHidden/>
    <w:uiPriority w:val="0"/>
    <w:rPr>
      <w:rFonts w:ascii="Calibri" w:hAnsi="Calibri" w:eastAsia="宋体" w:cs="黑体"/>
      <w:b/>
      <w:bCs/>
      <w:sz w:val="28"/>
      <w:szCs w:val="28"/>
    </w:rPr>
  </w:style>
  <w:style w:type="character" w:customStyle="1" w:styleId="16">
    <w:name w:val="页脚 Char"/>
    <w:basedOn w:val="11"/>
    <w:link w:val="6"/>
    <w:semiHidden/>
    <w:uiPriority w:val="0"/>
    <w:rPr>
      <w:sz w:val="18"/>
      <w:szCs w:val="18"/>
    </w:rPr>
  </w:style>
  <w:style w:type="character" w:customStyle="1" w:styleId="17">
    <w:name w:val="页眉 Char"/>
    <w:basedOn w:val="11"/>
    <w:link w:val="7"/>
    <w:semiHidden/>
    <w:qFormat/>
    <w:uiPriority w:val="0"/>
    <w:rPr>
      <w:sz w:val="18"/>
      <w:szCs w:val="18"/>
    </w:rPr>
  </w:style>
  <w:style w:type="character" w:customStyle="1" w:styleId="18">
    <w:name w:val="副标题 Char"/>
    <w:basedOn w:val="11"/>
    <w:link w:val="8"/>
    <w:semiHidden/>
    <w:qFormat/>
    <w:uiPriority w:val="0"/>
    <w:rPr>
      <w:rFonts w:ascii="Calibri" w:hAnsi="Calibri" w:eastAsia="宋体" w:cs="黑体"/>
      <w:i/>
      <w:iCs/>
      <w:color w:val="F0A22E"/>
      <w:spacing w:val="15"/>
      <w:kern w:val="0"/>
      <w:sz w:val="24"/>
      <w:szCs w:val="24"/>
    </w:rPr>
  </w:style>
  <w:style w:type="character" w:customStyle="1" w:styleId="19">
    <w:name w:val="标题 Char"/>
    <w:basedOn w:val="11"/>
    <w:link w:val="9"/>
    <w:semiHidden/>
    <w:qFormat/>
    <w:uiPriority w:val="0"/>
    <w:rPr>
      <w:rFonts w:ascii="Calibri" w:hAnsi="Calibri" w:eastAsia="宋体" w:cs="黑体"/>
      <w:color w:val="392B23"/>
      <w:spacing w:val="5"/>
      <w:kern w:val="28"/>
      <w:sz w:val="52"/>
      <w:szCs w:val="52"/>
    </w:rPr>
  </w:style>
  <w:style w:type="paragraph" w:customStyle="1" w:styleId="20">
    <w:name w:val="批注框文本 Char Char"/>
    <w:basedOn w:val="1"/>
    <w:link w:val="23"/>
    <w:uiPriority w:val="0"/>
    <w:rPr>
      <w:rFonts w:ascii="Times New Roman" w:hAnsi="Times New Roman" w:eastAsia="宋体" w:cs="Times New Roman"/>
      <w:sz w:val="18"/>
      <w:szCs w:val="18"/>
    </w:rPr>
  </w:style>
  <w:style w:type="paragraph" w:customStyle="1" w:styleId="21">
    <w:name w:val="无间隔1"/>
    <w:link w:val="22"/>
    <w:qFormat/>
    <w:uiPriority w:val="0"/>
    <w:pPr>
      <w:spacing w:after="160" w:line="480" w:lineRule="auto"/>
    </w:pPr>
    <w:rPr>
      <w:rFonts w:ascii="Times New Roman" w:hAnsi="Times New Roman" w:eastAsia="宋体" w:cs="Times New Roman"/>
      <w:sz w:val="22"/>
      <w:lang w:val="en-US" w:eastAsia="zh-CN" w:bidi="ar-SA"/>
    </w:rPr>
  </w:style>
  <w:style w:type="character" w:customStyle="1" w:styleId="22">
    <w:name w:val="无间隔 字符"/>
    <w:basedOn w:val="11"/>
    <w:link w:val="21"/>
    <w:semiHidden/>
    <w:qFormat/>
    <w:uiPriority w:val="0"/>
    <w:rPr>
      <w:sz w:val="22"/>
      <w:lang w:val="en-US" w:eastAsia="zh-CN" w:bidi="ar-SA"/>
    </w:rPr>
  </w:style>
  <w:style w:type="character" w:customStyle="1" w:styleId="23">
    <w:name w:val="批注框文本 字符"/>
    <w:basedOn w:val="11"/>
    <w:link w:val="20"/>
    <w:semiHidden/>
    <w:uiPriority w:val="0"/>
    <w:rPr>
      <w:rFonts w:ascii="Times New Roman" w:hAnsi="Times New Roman" w:eastAsia="宋体" w:cs="Times New Roman"/>
      <w:sz w:val="18"/>
      <w:szCs w:val="18"/>
    </w:rPr>
  </w:style>
  <w:style w:type="character" w:customStyle="1" w:styleId="24">
    <w:name w:val="Style1"/>
    <w:basedOn w:val="11"/>
    <w:qFormat/>
    <w:uiPriority w:val="0"/>
    <w:rPr>
      <w:rFonts w:ascii="Cambria" w:hAnsi="黑体" w:eastAsia="黑体" w:cs="黑体"/>
      <w:sz w:val="22"/>
      <w:szCs w:val="22"/>
      <w:lang w:eastAsia="zh-CN"/>
    </w:rPr>
  </w:style>
  <w:style w:type="character" w:customStyle="1" w:styleId="25">
    <w:name w:val="Style2"/>
    <w:basedOn w:val="11"/>
    <w:qFormat/>
    <w:uiPriority w:val="0"/>
    <w:rPr>
      <w:rFonts w:ascii="Cambria" w:hAnsi="黑体" w:eastAsia="黑体" w:cs="黑体"/>
      <w:sz w:val="22"/>
      <w:szCs w:val="22"/>
      <w:lang w:eastAsia="zh-CN"/>
    </w:rPr>
  </w:style>
  <w:style w:type="character" w:customStyle="1" w:styleId="26">
    <w:name w:val="Style3"/>
    <w:basedOn w:val="11"/>
    <w:uiPriority w:val="0"/>
    <w:rPr>
      <w:rFonts w:ascii="Cambria" w:hAnsi="黑体" w:eastAsia="黑体" w:cs="黑体"/>
      <w:szCs w:val="22"/>
      <w:lang w:eastAsia="zh-CN"/>
    </w:rPr>
  </w:style>
  <w:style w:type="character" w:customStyle="1" w:styleId="27">
    <w:name w:val="Style4"/>
    <w:basedOn w:val="11"/>
    <w:qFormat/>
    <w:uiPriority w:val="0"/>
    <w:rPr>
      <w:rFonts w:ascii="Cambria" w:hAnsi="黑体" w:eastAsia="黑体" w:cs="黑体"/>
      <w:szCs w:val="22"/>
      <w:lang w:eastAsia="zh-CN"/>
    </w:rPr>
  </w:style>
  <w:style w:type="character" w:customStyle="1" w:styleId="28">
    <w:name w:val="Style5"/>
    <w:basedOn w:val="11"/>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777</Words>
  <Characters>4431</Characters>
  <Lines>36</Lines>
  <Paragraphs>10</Paragraphs>
  <TotalTime>0</TotalTime>
  <ScaleCrop>false</ScaleCrop>
  <LinksUpToDate>false</LinksUpToDate>
  <CharactersWithSpaces>0</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2018-08-31T08:38:00Z</dcterms:created>
  <dc:creator>User</dc:creator>
  <cp:lastModifiedBy>123</cp:lastModifiedBy>
  <dcterms:modified xsi:type="dcterms:W3CDTF">2019-02-14T07:36:16Z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