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无极县城乡规划局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无极县城乡规划局</w:t>
      </w:r>
      <w:r>
        <w:rPr>
          <w:rFonts w:eastAsia="黑体"/>
          <w:sz w:val="32"/>
          <w:szCs w:val="32"/>
        </w:rPr>
        <w:t>部门概况</w:t>
      </w:r>
    </w:p>
    <w:p>
      <w:pPr>
        <w:widowControl/>
        <w:numPr>
          <w:ilvl w:val="0"/>
          <w:numId w:val="1"/>
        </w:numPr>
        <w:spacing w:line="580" w:lineRule="exact"/>
        <w:ind w:firstLine="1273" w:firstLineChars="398"/>
        <w:rPr>
          <w:rFonts w:eastAsia="仿宋_GB2312"/>
          <w:sz w:val="32"/>
          <w:szCs w:val="32"/>
        </w:rPr>
      </w:pPr>
      <w:r>
        <w:rPr>
          <w:rFonts w:eastAsia="仿宋_GB2312"/>
          <w:sz w:val="32"/>
          <w:szCs w:val="32"/>
        </w:rPr>
        <w:t>部门</w:t>
      </w:r>
      <w:r>
        <w:rPr>
          <w:rFonts w:hint="eastAsia" w:eastAsia="仿宋_GB2312"/>
          <w:sz w:val="32"/>
          <w:szCs w:val="32"/>
        </w:rPr>
        <w:t>职责</w:t>
      </w:r>
    </w:p>
    <w:p>
      <w:pPr>
        <w:widowControl/>
        <w:spacing w:line="580" w:lineRule="exact"/>
        <w:ind w:firstLine="1280" w:firstLineChars="400"/>
        <w:rPr>
          <w:rFonts w:eastAsia="仿宋_GB2312"/>
          <w:sz w:val="32"/>
          <w:szCs w:val="32"/>
        </w:rPr>
      </w:pPr>
      <w:r>
        <w:rPr>
          <w:rFonts w:hint="eastAsia" w:eastAsia="仿宋_GB2312"/>
          <w:sz w:val="32"/>
          <w:szCs w:val="32"/>
        </w:rPr>
        <w:t>二、</w:t>
      </w:r>
      <w:r>
        <w:rPr>
          <w:rFonts w:eastAsia="仿宋_GB2312"/>
          <w:sz w:val="32"/>
          <w:szCs w:val="32"/>
        </w:rPr>
        <w:t>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无极县城乡规划局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无极县城乡规划局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numPr>
          <w:ilvl w:val="0"/>
          <w:numId w:val="2"/>
        </w:numPr>
        <w:spacing w:before="0" w:after="0" w:line="560" w:lineRule="exact"/>
        <w:ind w:firstLine="643" w:firstLineChars="200"/>
      </w:pPr>
      <w:r>
        <w:rPr>
          <w:rFonts w:hint="eastAsia" w:ascii="黑体" w:hAnsi="Cambria" w:eastAsia="黑体"/>
          <w:kern w:val="0"/>
        </w:rPr>
        <w:t>部门职责</w:t>
      </w:r>
    </w:p>
    <w:p>
      <w:pPr>
        <w:widowControl/>
        <w:spacing w:line="580" w:lineRule="exact"/>
        <w:ind w:firstLine="640" w:firstLineChars="200"/>
        <w:rPr>
          <w:rFonts w:eastAsia="仿宋_GB2312"/>
          <w:sz w:val="32"/>
          <w:szCs w:val="32"/>
        </w:rPr>
      </w:pPr>
      <w:r>
        <w:rPr>
          <w:rFonts w:hint="eastAsia" w:ascii="仿宋_GB2312" w:hAnsi="仿宋" w:eastAsia="仿宋_GB2312" w:cs="仿宋"/>
          <w:color w:val="000000"/>
          <w:sz w:val="32"/>
          <w:szCs w:val="32"/>
        </w:rPr>
        <w:t>贯彻落实城乡规划规划方面的法律、法规和方针、政策；组织编制城乡规划，依法实施监督管理。</w:t>
      </w:r>
    </w:p>
    <w:p>
      <w:pPr>
        <w:pStyle w:val="3"/>
        <w:numPr>
          <w:ilvl w:val="0"/>
          <w:numId w:val="3"/>
        </w:numPr>
        <w:spacing w:before="0" w:after="0" w:line="560" w:lineRule="exact"/>
        <w:ind w:firstLine="643" w:firstLineChars="200"/>
        <w:rPr>
          <w:rFonts w:ascii="黑体" w:hAnsi="Cambria" w:eastAsia="黑体"/>
          <w:kern w:val="0"/>
        </w:rPr>
      </w:pPr>
      <w:r>
        <w:rPr>
          <w:rFonts w:hint="eastAsia" w:ascii="黑体" w:hAnsi="Cambria" w:eastAsia="黑体"/>
          <w:kern w:val="0"/>
        </w:rPr>
        <w:t>部门决算单位构成</w:t>
      </w:r>
    </w:p>
    <w:p>
      <w:pPr>
        <w:ind w:firstLine="640" w:firstLineChars="200"/>
        <w:jc w:val="center"/>
        <w:rPr>
          <w:rFonts w:ascii="仿宋_GB2312" w:hAnsi="仿宋" w:eastAsia="仿宋_GB2312"/>
          <w:sz w:val="32"/>
          <w:szCs w:val="32"/>
        </w:rPr>
      </w:pPr>
      <w:r>
        <w:rPr>
          <w:rFonts w:hint="eastAsia" w:ascii="仿宋_GB2312" w:hAnsi="仿宋" w:eastAsia="仿宋_GB2312"/>
          <w:sz w:val="32"/>
          <w:szCs w:val="32"/>
        </w:rPr>
        <w:t>部门机构设置情况</w:t>
      </w:r>
    </w:p>
    <w:tbl>
      <w:tblPr>
        <w:tblStyle w:val="10"/>
        <w:tblpPr w:leftFromText="180" w:rightFromText="180" w:vertAnchor="text" w:horzAnchor="page" w:tblpX="834" w:tblpY="590"/>
        <w:tblOverlap w:val="never"/>
        <w:tblW w:w="986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25"/>
        <w:gridCol w:w="1486"/>
        <w:gridCol w:w="2083"/>
        <w:gridCol w:w="3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60" w:hRule="atLeast"/>
          <w:tblHeader/>
        </w:trPr>
        <w:tc>
          <w:tcPr>
            <w:tcW w:w="2525"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单位名称</w:t>
            </w:r>
          </w:p>
        </w:tc>
        <w:tc>
          <w:tcPr>
            <w:tcW w:w="1486"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单位性质</w:t>
            </w:r>
          </w:p>
        </w:tc>
        <w:tc>
          <w:tcPr>
            <w:tcW w:w="2083" w:type="dxa"/>
            <w:vMerge w:val="restart"/>
            <w:vAlign w:val="center"/>
          </w:tcPr>
          <w:p>
            <w:pPr>
              <w:spacing w:line="300" w:lineRule="exact"/>
              <w:jc w:val="center"/>
              <w:rPr>
                <w:rFonts w:ascii="仿宋_GB2312" w:eastAsia="仿宋_GB2312"/>
                <w:sz w:val="24"/>
              </w:rPr>
            </w:pPr>
            <w:r>
              <w:rPr>
                <w:rFonts w:hint="eastAsia" w:ascii="仿宋_GB2312" w:eastAsia="仿宋_GB2312"/>
                <w:sz w:val="24"/>
              </w:rPr>
              <w:t>单位规格</w:t>
            </w:r>
          </w:p>
        </w:tc>
        <w:tc>
          <w:tcPr>
            <w:tcW w:w="3766" w:type="dxa"/>
            <w:vMerge w:val="restart"/>
            <w:vAlign w:val="center"/>
          </w:tcPr>
          <w:p>
            <w:pPr>
              <w:spacing w:line="300" w:lineRule="exact"/>
              <w:jc w:val="center"/>
              <w:rPr>
                <w:rFonts w:ascii="仿宋_GB2312" w:eastAsia="仿宋_GB2312"/>
                <w:sz w:val="24"/>
              </w:rPr>
            </w:pPr>
            <w:r>
              <w:rPr>
                <w:rFonts w:hint="eastAsia" w:ascii="仿宋_GB2312" w:eastAsia="仿宋_GB2312"/>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60" w:hRule="atLeast"/>
          <w:tblHeader/>
        </w:trPr>
        <w:tc>
          <w:tcPr>
            <w:tcW w:w="2525" w:type="dxa"/>
            <w:vMerge w:val="continue"/>
            <w:vAlign w:val="center"/>
          </w:tcPr>
          <w:p>
            <w:pPr>
              <w:spacing w:line="300" w:lineRule="exact"/>
              <w:jc w:val="left"/>
              <w:outlineLvl w:val="0"/>
              <w:rPr>
                <w:rFonts w:ascii="仿宋_GB2312" w:eastAsia="仿宋_GB2312"/>
                <w:sz w:val="24"/>
              </w:rPr>
            </w:pPr>
          </w:p>
        </w:tc>
        <w:tc>
          <w:tcPr>
            <w:tcW w:w="1486" w:type="dxa"/>
            <w:vMerge w:val="continue"/>
            <w:vAlign w:val="center"/>
          </w:tcPr>
          <w:p>
            <w:pPr>
              <w:spacing w:line="300" w:lineRule="exact"/>
              <w:jc w:val="left"/>
              <w:outlineLvl w:val="0"/>
              <w:rPr>
                <w:rFonts w:ascii="仿宋_GB2312" w:eastAsia="仿宋_GB2312"/>
                <w:sz w:val="24"/>
              </w:rPr>
            </w:pPr>
          </w:p>
        </w:tc>
        <w:tc>
          <w:tcPr>
            <w:tcW w:w="2083" w:type="dxa"/>
            <w:vMerge w:val="continue"/>
            <w:vAlign w:val="center"/>
          </w:tcPr>
          <w:p>
            <w:pPr>
              <w:spacing w:line="300" w:lineRule="exact"/>
              <w:jc w:val="left"/>
              <w:outlineLvl w:val="0"/>
              <w:rPr>
                <w:rFonts w:ascii="仿宋_GB2312" w:eastAsia="仿宋_GB2312"/>
                <w:sz w:val="24"/>
              </w:rPr>
            </w:pPr>
          </w:p>
        </w:tc>
        <w:tc>
          <w:tcPr>
            <w:tcW w:w="3766" w:type="dxa"/>
            <w:vMerge w:val="continue"/>
            <w:vAlign w:val="center"/>
          </w:tcPr>
          <w:p>
            <w:pPr>
              <w:spacing w:line="300" w:lineRule="exact"/>
              <w:jc w:val="left"/>
              <w:outlineLvl w:val="0"/>
              <w:rPr>
                <w:rFonts w:ascii="仿宋_GB2312" w:eastAsia="仿宋_GB2312"/>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790" w:hRule="atLeast"/>
        </w:trPr>
        <w:tc>
          <w:tcPr>
            <w:tcW w:w="2525" w:type="dxa"/>
            <w:vAlign w:val="center"/>
          </w:tcPr>
          <w:p>
            <w:pPr>
              <w:spacing w:line="300" w:lineRule="exact"/>
              <w:ind w:firstLine="360" w:firstLineChars="150"/>
              <w:jc w:val="left"/>
              <w:rPr>
                <w:rFonts w:ascii="仿宋_GB2312" w:eastAsia="仿宋_GB2312"/>
                <w:sz w:val="24"/>
              </w:rPr>
            </w:pPr>
            <w:r>
              <w:rPr>
                <w:rFonts w:hint="eastAsia" w:ascii="仿宋_GB2312" w:eastAsia="仿宋_GB2312"/>
                <w:sz w:val="24"/>
              </w:rPr>
              <w:t>无极县城乡规划局</w:t>
            </w:r>
          </w:p>
        </w:tc>
        <w:tc>
          <w:tcPr>
            <w:tcW w:w="1486" w:type="dxa"/>
            <w:vAlign w:val="center"/>
          </w:tcPr>
          <w:p>
            <w:pPr>
              <w:spacing w:line="300" w:lineRule="exact"/>
              <w:jc w:val="center"/>
              <w:rPr>
                <w:rFonts w:ascii="仿宋_GB2312" w:eastAsia="仿宋_GB2312"/>
                <w:sz w:val="24"/>
              </w:rPr>
            </w:pPr>
            <w:r>
              <w:rPr>
                <w:rFonts w:hint="eastAsia" w:ascii="仿宋_GB2312" w:eastAsia="仿宋_GB2312"/>
                <w:sz w:val="24"/>
              </w:rPr>
              <w:t>行政</w:t>
            </w:r>
          </w:p>
        </w:tc>
        <w:tc>
          <w:tcPr>
            <w:tcW w:w="2083" w:type="dxa"/>
            <w:vAlign w:val="center"/>
          </w:tcPr>
          <w:p>
            <w:pPr>
              <w:spacing w:line="300" w:lineRule="exact"/>
              <w:jc w:val="center"/>
              <w:rPr>
                <w:rFonts w:ascii="仿宋_GB2312" w:eastAsia="仿宋_GB2312"/>
                <w:sz w:val="24"/>
              </w:rPr>
            </w:pPr>
            <w:r>
              <w:rPr>
                <w:rFonts w:hint="eastAsia" w:ascii="仿宋_GB2312" w:eastAsia="仿宋_GB2312"/>
                <w:sz w:val="24"/>
              </w:rPr>
              <w:t>正科级</w:t>
            </w:r>
          </w:p>
        </w:tc>
        <w:tc>
          <w:tcPr>
            <w:tcW w:w="3766" w:type="dxa"/>
            <w:vAlign w:val="center"/>
          </w:tcPr>
          <w:p>
            <w:pPr>
              <w:spacing w:line="300" w:lineRule="exact"/>
              <w:jc w:val="center"/>
              <w:rPr>
                <w:rFonts w:ascii="仿宋_GB2312" w:eastAsia="仿宋_GB2312"/>
                <w:sz w:val="24"/>
              </w:rPr>
            </w:pPr>
            <w:r>
              <w:rPr>
                <w:rFonts w:hint="eastAsia" w:ascii="仿宋_GB2312" w:eastAsia="仿宋_GB2312"/>
                <w:sz w:val="24"/>
              </w:rPr>
              <w:t>财政拨款</w:t>
            </w:r>
          </w:p>
        </w:tc>
      </w:tr>
    </w:tbl>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p>
    <w:p>
      <w:pPr>
        <w:autoSpaceDE w:val="0"/>
        <w:autoSpaceDN w:val="0"/>
        <w:adjustRightInd w:val="0"/>
        <w:spacing w:after="0" w:line="560" w:lineRule="exact"/>
        <w:jc w:val="left"/>
        <w:sectPr>
          <w:pgSz w:w="11906" w:h="16838"/>
          <w:pgMar w:top="2098" w:right="1474" w:bottom="1985" w:left="1588" w:header="851" w:footer="992" w:gutter="0"/>
          <w:pgNumType w:start="0"/>
          <w:cols w:space="720" w:num="1"/>
          <w:titlePg/>
          <w:docGrid w:type="lines" w:linePitch="312" w:charSpace="0"/>
        </w:sectPr>
      </w:pPr>
      <w:r>
        <w:rPr>
          <w:rFonts w:hint="eastAsia" w:ascii="仿宋_GB2312" w:hAnsi="Cambria" w:eastAsia="仿宋_GB2312" w:cs="ArialUnicodeMS"/>
          <w:kern w:val="0"/>
          <w:sz w:val="32"/>
          <w:szCs w:val="32"/>
        </w:rPr>
        <w:t>2016 年度，成立无极县城乡规划局。纳入本部门决算汇编范围的独立核算单位。（以下简称“单位”）共1个，单位基本性质为行政单位，预算管理级次为1级预算单位，执行行政事业单位会计制度，较上年无增减变化。</w:t>
      </w:r>
    </w:p>
    <w:p/>
    <w:p>
      <w:pPr>
        <w:autoSpaceDE w:val="0"/>
        <w:autoSpaceDN w:val="0"/>
        <w:adjustRightInd w:val="0"/>
        <w:spacing w:line="560" w:lineRule="exact"/>
        <w:jc w:val="center"/>
        <w:rPr>
          <w:rFonts w:ascii="黑体" w:hAnsi="黑体" w:eastAsia="黑体" w:cs="黑体"/>
          <w:b/>
          <w:bCs/>
          <w:color w:val="000000"/>
          <w:kern w:val="0"/>
          <w:sz w:val="44"/>
          <w:szCs w:val="44"/>
        </w:rPr>
      </w:pPr>
      <w:r>
        <w:rPr>
          <w:rFonts w:hint="eastAsia" w:ascii="黑体" w:hAnsi="黑体" w:eastAsia="黑体" w:cs="黑体"/>
          <w:b/>
          <w:bCs/>
          <w:color w:val="000000"/>
          <w:kern w:val="0"/>
          <w:sz w:val="44"/>
          <w:szCs w:val="44"/>
        </w:rPr>
        <w:t>第二部分 2017年度部门决算报表</w:t>
      </w:r>
    </w:p>
    <w:p>
      <w:pPr>
        <w:autoSpaceDE w:val="0"/>
        <w:autoSpaceDN w:val="0"/>
        <w:adjustRightInd w:val="0"/>
        <w:spacing w:line="560" w:lineRule="exact"/>
        <w:jc w:val="center"/>
        <w:rPr>
          <w:rFonts w:ascii="宋体" w:hAnsi="宋体" w:cs="黑体"/>
          <w:b/>
          <w:kern w:val="0"/>
          <w:sz w:val="44"/>
          <w:szCs w:val="44"/>
        </w:rPr>
      </w:pPr>
      <w:r>
        <w:rPr>
          <w:rFonts w:hint="eastAsia" w:ascii="宋体" w:hAnsi="宋体" w:cs="黑体"/>
          <w:b/>
          <w:kern w:val="0"/>
          <w:sz w:val="44"/>
          <w:szCs w:val="44"/>
        </w:rPr>
        <w:t>（详见附件）</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仿宋" w:hAnsi="仿宋" w:eastAsia="仿宋" w:cs="仿宋"/>
          <w:b w:val="0"/>
          <w:bCs/>
          <w:kern w:val="0"/>
          <w:sz w:val="32"/>
          <w:szCs w:val="32"/>
        </w:rPr>
      </w:pPr>
      <w:r>
        <w:rPr>
          <w:rFonts w:hint="eastAsia" w:ascii="仿宋" w:hAnsi="仿宋" w:eastAsia="仿宋" w:cs="仿宋"/>
          <w:b w:val="0"/>
          <w:bCs/>
          <w:kern w:val="0"/>
          <w:sz w:val="32"/>
          <w:szCs w:val="32"/>
        </w:rPr>
        <w:t>收入支出决算总表</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仿宋" w:hAnsi="仿宋" w:eastAsia="仿宋" w:cs="仿宋"/>
          <w:b w:val="0"/>
          <w:bCs/>
          <w:kern w:val="0"/>
          <w:sz w:val="32"/>
          <w:szCs w:val="32"/>
        </w:rPr>
      </w:pPr>
      <w:r>
        <w:rPr>
          <w:rFonts w:hint="eastAsia" w:ascii="仿宋" w:hAnsi="仿宋" w:eastAsia="仿宋" w:cs="仿宋"/>
          <w:b w:val="0"/>
          <w:bCs/>
          <w:kern w:val="0"/>
          <w:sz w:val="32"/>
          <w:szCs w:val="32"/>
        </w:rPr>
        <w:t>收入决算表</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仿宋" w:hAnsi="仿宋" w:eastAsia="仿宋" w:cs="仿宋"/>
          <w:b w:val="0"/>
          <w:bCs/>
          <w:kern w:val="0"/>
          <w:sz w:val="32"/>
          <w:szCs w:val="32"/>
        </w:rPr>
      </w:pPr>
      <w:r>
        <w:rPr>
          <w:rFonts w:hint="eastAsia" w:ascii="仿宋" w:hAnsi="仿宋" w:eastAsia="仿宋" w:cs="仿宋"/>
          <w:b w:val="0"/>
          <w:bCs/>
          <w:kern w:val="0"/>
          <w:sz w:val="32"/>
          <w:szCs w:val="32"/>
        </w:rPr>
        <w:t>支出决算表</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仿宋" w:hAnsi="仿宋" w:eastAsia="仿宋" w:cs="仿宋"/>
          <w:b w:val="0"/>
          <w:bCs/>
          <w:kern w:val="0"/>
          <w:sz w:val="32"/>
          <w:szCs w:val="32"/>
        </w:rPr>
      </w:pPr>
      <w:r>
        <w:rPr>
          <w:rFonts w:hint="eastAsia" w:ascii="仿宋" w:hAnsi="仿宋" w:eastAsia="仿宋" w:cs="仿宋"/>
          <w:b w:val="0"/>
          <w:bCs/>
          <w:kern w:val="0"/>
          <w:sz w:val="32"/>
          <w:szCs w:val="32"/>
        </w:rPr>
        <w:t>财政拨款收入支出决算总表</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仿宋" w:hAnsi="仿宋" w:eastAsia="仿宋" w:cs="仿宋"/>
          <w:b w:val="0"/>
          <w:bCs/>
          <w:kern w:val="0"/>
          <w:sz w:val="32"/>
          <w:szCs w:val="32"/>
        </w:rPr>
      </w:pPr>
      <w:r>
        <w:rPr>
          <w:rFonts w:hint="eastAsia" w:ascii="仿宋" w:hAnsi="仿宋" w:eastAsia="仿宋" w:cs="仿宋"/>
          <w:b w:val="0"/>
          <w:bCs/>
          <w:kern w:val="0"/>
          <w:sz w:val="32"/>
          <w:szCs w:val="32"/>
        </w:rPr>
        <w:t>一般公共预算财政拨款收入支出决算表</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仿宋" w:hAnsi="仿宋" w:eastAsia="仿宋" w:cs="仿宋"/>
          <w:b w:val="0"/>
          <w:bCs/>
          <w:kern w:val="0"/>
          <w:sz w:val="32"/>
          <w:szCs w:val="32"/>
        </w:rPr>
      </w:pPr>
      <w:r>
        <w:rPr>
          <w:rFonts w:hint="eastAsia" w:ascii="仿宋" w:hAnsi="仿宋" w:eastAsia="仿宋" w:cs="仿宋"/>
          <w:b w:val="0"/>
          <w:bCs/>
          <w:kern w:val="0"/>
          <w:sz w:val="32"/>
          <w:szCs w:val="32"/>
        </w:rPr>
        <w:t>一般公共预算财政拨款基本支出决算表</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仿宋" w:hAnsi="仿宋" w:eastAsia="仿宋" w:cs="仿宋"/>
          <w:b w:val="0"/>
          <w:bCs/>
          <w:kern w:val="0"/>
          <w:sz w:val="32"/>
          <w:szCs w:val="32"/>
        </w:rPr>
      </w:pPr>
      <w:r>
        <w:rPr>
          <w:rFonts w:hint="eastAsia" w:ascii="仿宋" w:hAnsi="仿宋" w:eastAsia="仿宋" w:cs="仿宋"/>
          <w:b w:val="0"/>
          <w:bCs/>
          <w:kern w:val="0"/>
          <w:sz w:val="32"/>
          <w:szCs w:val="32"/>
        </w:rPr>
        <w:t>政府性基金预算财政拨款收入支出决算表</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仿宋" w:hAnsi="仿宋" w:eastAsia="仿宋" w:cs="仿宋"/>
          <w:b w:val="0"/>
          <w:bCs/>
          <w:kern w:val="0"/>
          <w:sz w:val="32"/>
          <w:szCs w:val="32"/>
        </w:rPr>
      </w:pPr>
      <w:r>
        <w:rPr>
          <w:rFonts w:hint="eastAsia" w:ascii="仿宋" w:hAnsi="仿宋" w:eastAsia="仿宋" w:cs="仿宋"/>
          <w:b w:val="0"/>
          <w:bCs/>
          <w:kern w:val="0"/>
          <w:sz w:val="32"/>
          <w:szCs w:val="32"/>
        </w:rPr>
        <w:t>国有资本经营预算财政拨款收入支出决算表</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仿宋" w:hAnsi="仿宋" w:eastAsia="仿宋" w:cs="仿宋"/>
          <w:b w:val="0"/>
          <w:bCs/>
          <w:kern w:val="0"/>
          <w:sz w:val="32"/>
          <w:szCs w:val="32"/>
        </w:rPr>
      </w:pPr>
      <w:r>
        <w:rPr>
          <w:rFonts w:hint="eastAsia" w:ascii="仿宋" w:hAnsi="仿宋" w:eastAsia="仿宋" w:cs="仿宋"/>
          <w:b w:val="0"/>
          <w:bCs/>
          <w:kern w:val="0"/>
          <w:sz w:val="32"/>
          <w:szCs w:val="32"/>
        </w:rPr>
        <w:t>“三公”经费及相关信息统计表</w:t>
      </w:r>
    </w:p>
    <w:p>
      <w:pPr>
        <w:widowControl w:val="0"/>
        <w:numPr>
          <w:ilvl w:val="0"/>
          <w:numId w:val="4"/>
        </w:numPr>
        <w:wordWrap/>
        <w:autoSpaceDE w:val="0"/>
        <w:autoSpaceDN w:val="0"/>
        <w:adjustRightInd w:val="0"/>
        <w:snapToGrid/>
        <w:spacing w:before="0" w:after="0" w:line="600" w:lineRule="auto"/>
        <w:ind w:left="1680" w:leftChars="800" w:right="0" w:firstLine="0" w:firstLineChars="0"/>
        <w:jc w:val="left"/>
        <w:textAlignment w:val="auto"/>
        <w:outlineLvl w:val="9"/>
        <w:rPr>
          <w:rFonts w:hint="eastAsia" w:ascii="宋体" w:hAnsi="宋体" w:cs="ArialUnicodeMS"/>
          <w:color w:val="000000"/>
          <w:kern w:val="0"/>
        </w:rPr>
      </w:pPr>
      <w:r>
        <w:rPr>
          <w:rFonts w:hint="eastAsia" w:ascii="仿宋" w:hAnsi="仿宋" w:eastAsia="仿宋" w:cs="仿宋"/>
          <w:b w:val="0"/>
          <w:bCs/>
          <w:kern w:val="0"/>
          <w:sz w:val="32"/>
          <w:szCs w:val="32"/>
        </w:rPr>
        <w:t>政府采购情况表</w:t>
      </w:r>
    </w:p>
    <w:p>
      <w:pPr>
        <w:pStyle w:val="2"/>
        <w:spacing w:before="0" w:after="0" w:line="240" w:lineRule="auto"/>
        <w:jc w:val="both"/>
        <w:rPr>
          <w:rFonts w:hint="eastAsia" w:ascii="宋体" w:hAnsi="宋体" w:cs="ArialUnicodeMS"/>
          <w:color w:val="000000"/>
          <w:kern w:val="0"/>
        </w:rPr>
      </w:pPr>
    </w:p>
    <w:p>
      <w:pPr>
        <w:pStyle w:val="2"/>
        <w:spacing w:before="0" w:after="0" w:line="240" w:lineRule="auto"/>
        <w:jc w:val="both"/>
        <w:rPr>
          <w:rFonts w:hint="eastAsia" w:ascii="宋体" w:hAnsi="宋体" w:cs="ArialUnicodeMS"/>
          <w:color w:val="000000"/>
          <w:kern w:val="0"/>
          <w:lang w:val="en-US" w:eastAsia="zh-CN"/>
        </w:rPr>
      </w:pPr>
      <w:r>
        <w:rPr>
          <w:rFonts w:hint="eastAsia" w:ascii="宋体" w:hAnsi="宋体" w:cs="ArialUnicodeMS"/>
          <w:color w:val="000000"/>
          <w:kern w:val="0"/>
          <w:lang w:val="en-US" w:eastAsia="zh-CN"/>
        </w:rPr>
        <w:t xml:space="preserve">       </w:t>
      </w:r>
    </w:p>
    <w:p>
      <w:pPr>
        <w:rPr>
          <w:rFonts w:hint="eastAsia" w:ascii="宋体" w:hAnsi="宋体" w:cs="ArialUnicodeMS"/>
          <w:color w:val="000000"/>
          <w:kern w:val="0"/>
          <w:lang w:val="en-US" w:eastAsia="zh-CN"/>
        </w:rPr>
      </w:pPr>
    </w:p>
    <w:p>
      <w:pPr>
        <w:rPr>
          <w:rFonts w:hint="eastAsia" w:ascii="宋体" w:hAnsi="宋体" w:cs="ArialUnicodeMS"/>
          <w:color w:val="000000"/>
          <w:kern w:val="0"/>
          <w:lang w:val="en-US" w:eastAsia="zh-CN"/>
        </w:rPr>
      </w:pPr>
    </w:p>
    <w:p>
      <w:pPr>
        <w:pStyle w:val="2"/>
        <w:spacing w:before="0" w:after="0" w:line="240" w:lineRule="auto"/>
        <w:jc w:val="center"/>
        <w:rPr>
          <w:rFonts w:hint="eastAsia" w:ascii="黑体" w:hAnsi="黑体" w:eastAsia="黑体" w:cs="黑体"/>
          <w:color w:val="000000"/>
          <w:kern w:val="0"/>
        </w:rPr>
      </w:pPr>
      <w:r>
        <w:rPr>
          <w:rFonts w:hint="eastAsia" w:ascii="宋体" w:hAnsi="宋体" w:cs="ArialUnicodeMS"/>
          <w:color w:val="000000"/>
          <w:kern w:val="0"/>
          <w:lang w:val="en-US" w:eastAsia="zh-CN"/>
        </w:rPr>
        <w:t xml:space="preserve"> </w:t>
      </w:r>
      <w:r>
        <w:rPr>
          <w:rFonts w:hint="eastAsia" w:ascii="黑体" w:hAnsi="黑体" w:eastAsia="黑体" w:cs="黑体"/>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万元，本年收入3990.38万元；本年支出635.61万元、年末结转和结余3354.77万元。与2016年度决算相比，本年收入增加3675.84万元，增长1168%，主要是增加临时预算项目；本年支出增加321.07万元，增长102%，主要是增加临时预算项目。</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本部门2017年度本年收入合计3990.38万元，其中：财政拨款收入3990.38万元，占100%；事业收入0万元，占0%；经营收入0万元，占0%；其他收入0万元，占0%。</w:t>
      </w:r>
      <w:r>
        <w:rPr>
          <w:rFonts w:hint="eastAsia" w:ascii="仿宋_GB2312" w:eastAsia="仿宋_GB2312" w:cs="DengXian-Regular"/>
          <w:sz w:val="32"/>
          <w:szCs w:val="32"/>
          <w:lang w:val="en-US" w:eastAsia="zh-CN"/>
        </w:rPr>
        <w:t>如图所示：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图1;收入决算结构饼状图</w:t>
      </w:r>
    </w:p>
    <w:p>
      <w:pPr>
        <w:ind w:firstLine="64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5" o:spt="75" type="#_x0000_t75" style="height:224.3pt;width:492.8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800" w:firstLineChars="25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本部门2017年度本年支出合计635.61万元，其中：基本支出227.49万元，占36%；项目支出408.12万元，占64%；经营支出0万元，占0%。</w:t>
      </w:r>
      <w:r>
        <w:rPr>
          <w:rFonts w:hint="eastAsia" w:ascii="仿宋_GB2312" w:eastAsia="仿宋_GB2312" w:cs="DengXian-Regular"/>
          <w:sz w:val="32"/>
          <w:szCs w:val="32"/>
          <w:lang w:val="en-US" w:eastAsia="zh-CN"/>
        </w:rPr>
        <w:t>如图所示：</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图2：支出决算结构饼状图</w:t>
      </w:r>
    </w:p>
    <w:p>
      <w:pPr>
        <w:ind w:firstLine="420" w:firstLineChars="20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6" o:spt="75" type="#_x0000_t75" style="height:224.3pt;width:492.8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adjustRightInd w:val="0"/>
        <w:snapToGrid w:val="0"/>
        <w:spacing w:line="560" w:lineRule="exact"/>
        <w:ind w:firstLine="800" w:firstLineChars="250"/>
        <w:rPr>
          <w:rFonts w:hint="eastAsia" w:ascii="仿宋_GB2312" w:eastAsia="仿宋_GB2312" w:cs="DengXian-Regular"/>
          <w:sz w:val="32"/>
          <w:szCs w:val="32"/>
          <w:lang w:val="en-US" w:eastAsia="zh-CN"/>
        </w:rPr>
      </w:pP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年初结转和结余0万元、本年收入3990.38万元；本年支出635.61万元、年末结转和结余3354.77万元。与2016年度决算相比，财政拨款本年收入增加3675.84万元，增长1168%，主要是增加临时预算项目；本年支出增加321.07万元，增长102%，主要是增加项目支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0万元、本年收入990.38万元；本年支出635.61万元、年末结转和结余354.77万元。与2016年度决算相比，一般公共预算财政拨款本年收入增加675.84万元，增长214%，主要是增加临时预算项目；本年支出增加321.07万元，增长102%，主要是增加项目支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0万元、本年收入3000万元；本年支出0万元、年末结转和结余3000万元。与2016年度决算相比，政府性基金预算财政拨款本年收入增3000万元，主要是增加临时预算项目；本年支出增0万元，。</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本部门2017年度财政拨款本年收入较2017年初预算增加3366.66万元，增长539%，主要是增加临时预算项目；本年支出增加11.89万元，增长2%，主要是增加项目支出。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其中，本部门2017年度一般公共预算财政拨款本年收入较2017年初预算增加366.66万元，增长58%，主要是增加临时预算项目；本年支出增加11.89万元，增长2%，主要是增加项目支出。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本部门2017年度政府性基金预算财政拨款本年收入较2017年初预算增加3000万元，主要是增加临时预算项目；本年支出增加0万元。</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本部门2017年度“三公”经费支出共计2.44万元，较年初预算减少0.56万元，降低22%，主要是公出业务减少；较2016年度决算减少0.63万元，降低20%，主要是公出业务减少。具体情况如下：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未</w:t>
      </w:r>
      <w:r>
        <w:rPr>
          <w:rFonts w:hint="eastAsia" w:ascii="仿宋_GB2312" w:eastAsia="仿宋_GB2312" w:cs="DengXian-Regular"/>
          <w:sz w:val="32"/>
          <w:szCs w:val="32"/>
        </w:rPr>
        <w:t>发生因公出国（境）费支出；较2016年度决算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未</w:t>
      </w:r>
      <w:r>
        <w:rPr>
          <w:rFonts w:hint="eastAsia" w:ascii="仿宋_GB2312" w:eastAsia="仿宋_GB2312" w:cs="DengXian-Regular"/>
          <w:sz w:val="32"/>
          <w:szCs w:val="32"/>
        </w:rPr>
        <w:t>发生因公出国（境）费支出。</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（二）公务用车购置及运行维护费支出2.44万元。</w:t>
      </w:r>
      <w:r>
        <w:rPr>
          <w:rFonts w:hint="eastAsia" w:ascii="仿宋_GB2312" w:eastAsia="仿宋_GB2312" w:cs="DengXian-Regular"/>
          <w:sz w:val="32"/>
          <w:szCs w:val="32"/>
        </w:rPr>
        <w:t>本部门2017年度公务用车购置及运行维护费较年初预算减少0.56万元，降低22%,主要是公出业务减少；较2016年度决算减少0.63万元，降低20%,主要是公出业务减少。</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本部门2017年度单位公务用车保有量1辆。公车运行维护费支出较年初预算减少0.56万元，降低22%,主要是公出业务减少；较2016年度决算减少0.63万元，降低20%，主要是公出业务减少。</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未</w:t>
      </w:r>
      <w:r>
        <w:rPr>
          <w:rFonts w:hint="eastAsia" w:ascii="仿宋_GB2312" w:eastAsia="仿宋_GB2312" w:cs="DengXian-Regular"/>
          <w:sz w:val="32"/>
          <w:szCs w:val="32"/>
        </w:rPr>
        <w:t>发生公务接待费支出；较2016年度决算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未</w:t>
      </w:r>
      <w:r>
        <w:rPr>
          <w:rFonts w:hint="eastAsia" w:ascii="仿宋_GB2312" w:eastAsia="仿宋_GB2312" w:cs="DengXian-Regular"/>
          <w:sz w:val="32"/>
          <w:szCs w:val="32"/>
        </w:rPr>
        <w:t>发生公务接待费支出。</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spacing w:line="500" w:lineRule="exact"/>
        <w:ind w:firstLine="56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根据绩效预算管理改革督察要求，本单位认真开展了预算绩效管理改革开展情况自查，对部门全面规范绩效预算编制、严格预算执行管理、推进绩效评价工作、推进预决算信息公开等方面进行了自评，</w:t>
      </w:r>
      <w:r>
        <w:rPr>
          <w:rFonts w:hint="eastAsia" w:ascii="仿宋_GB2312" w:hAnsi="仿宋_GB2312" w:eastAsia="仿宋_GB2312" w:cs="仿宋_GB2312"/>
          <w:sz w:val="32"/>
          <w:szCs w:val="32"/>
          <w:lang w:val="en-US" w:eastAsia="zh-CN"/>
        </w:rPr>
        <w:t>考核结果为良好。</w:t>
      </w:r>
    </w:p>
    <w:p>
      <w:pPr>
        <w:keepNext w:val="0"/>
        <w:keepLines w:val="0"/>
        <w:pageBreakBefore w:val="0"/>
        <w:widowControl w:val="0"/>
        <w:numPr>
          <w:ilvl w:val="0"/>
          <w:numId w:val="5"/>
        </w:numPr>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预算项目绩效评价开展情况</w:t>
      </w:r>
    </w:p>
    <w:p>
      <w:pPr>
        <w:numPr>
          <w:ilvl w:val="0"/>
          <w:numId w:val="0"/>
        </w:numPr>
        <w:adjustRightInd w:val="0"/>
        <w:snapToGrid w:val="0"/>
        <w:spacing w:after="0"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根据预算绩效管理要求，本单位组织对</w:t>
      </w:r>
      <w:r>
        <w:rPr>
          <w:rFonts w:hint="eastAsia" w:ascii="仿宋_GB2312" w:hAnsi="仿宋_GB2312" w:eastAsia="仿宋_GB2312" w:cs="仿宋_GB2312"/>
          <w:sz w:val="32"/>
          <w:szCs w:val="32"/>
          <w:lang w:val="en-US" w:eastAsia="zh-CN"/>
        </w:rPr>
        <w:t>2017年度一般公共预算项目支出全面开展绩效自评，涉及编制各乡镇及无极县公共设施、地下管廊等规划设计费、县城规划区范围内违法建设项目拆除、无极县规划展馆设计费、房地产开发建设违法行为专项整治等4个项目，涉及资金 408.12万元。从评价情况看，评价结果为优秀的项目有2 个，良好的项目有 1 个，一般的项目有1 个。</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（三）预算项目绩效自评选例</w:t>
      </w:r>
    </w:p>
    <w:p>
      <w:pPr>
        <w:tabs>
          <w:tab w:val="left" w:pos="1124"/>
        </w:tabs>
        <w:ind w:firstLine="640" w:firstLineChars="200"/>
        <w:jc w:val="left"/>
        <w:outlineLvl w:val="0"/>
        <w:rPr>
          <w:rFonts w:ascii="仿宋_GB2312" w:eastAsia="仿宋_GB2312" w:cs="DengXian-Regular"/>
          <w:sz w:val="32"/>
          <w:szCs w:val="32"/>
        </w:rPr>
      </w:pPr>
      <w:r>
        <w:rPr>
          <w:rFonts w:hint="eastAsia" w:ascii="仿宋_GB2312" w:hAnsi="仿宋_GB2312" w:eastAsia="仿宋_GB2312" w:cs="仿宋_GB2312"/>
          <w:sz w:val="32"/>
          <w:szCs w:val="32"/>
          <w:lang w:val="en-US" w:eastAsia="zh-CN"/>
        </w:rPr>
        <w:t>本单位县城规划区范围内违法建设拆除项目绩效自评：根据年初设定的绩效目标，县城规划区范围内违法建设拆除项目自评结果为优秀。项目全年预算数为 29.65万元。执行数为 29.65万元，完成预算的100 %。本单位无极县规划展馆设计费项目绩效自评：根据年初设定的绩效目标，无极县规划展馆设计费项目自评结果为优秀。项目全年预算数为20 万元。执行数为20 万元，完成预算的100%。本单位编制各乡镇及无极县公共设施、地下管廊等规划设计费项目绩效自评：根据年初设定的绩效目标，编制各乡镇及无极县公共设施、地下管廊等规划设计费项目自评结果为一般。项目全年预算数为710.81 万元。执行数为330.39 万元，完成预算的46%。本单位房地产开发建设违法行为专项整治项目绩效自评：根据年初设定的绩效目标，房地产开发建设违法行为专项整治项目自评结果为良好。项目全年预算数为39.54 万。执行数为28.08 万元，完成预算的71%。</w:t>
      </w:r>
      <w:bookmarkStart w:id="0" w:name="_GoBack"/>
      <w:bookmarkEnd w:id="0"/>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本部门2017年度机关运行经费支出40.61万元，比2016年度减少79.03万元，降低66%。主要原因是节约机关运行经费开支。</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本部门2017年度政府采购支出总额318万元，其中：政府采购货物支出0万元、政府采购工程支出0万元、政府采购服务支出318万元。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截至2017年12月31日，本部门共有车辆3辆，其中，市级领导干部用车0辆、一般公务用车1辆、一般执法执勤用车2辆、特种专业技术用车0辆、其他用车0辆；单位价值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1、本部门2017年度国有资本经营预算财政拨款无收支及结转结余情况，故国有资本经营预算财政拨款收入支出决算表以空表列示。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方正黑体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tentative="0">
      <w:start w:val="1"/>
      <w:numFmt w:val="chineseCounting"/>
      <w:suff w:val="nothing"/>
      <w:lvlText w:val="%1、"/>
      <w:lvlJc w:val="left"/>
    </w:lvl>
  </w:abstractNum>
  <w:abstractNum w:abstractNumId="1">
    <w:nsid w:val="00000007"/>
    <w:multiLevelType w:val="singleLevel"/>
    <w:tmpl w:val="00000007"/>
    <w:lvl w:ilvl="0" w:tentative="0">
      <w:start w:val="2"/>
      <w:numFmt w:val="chineseCounting"/>
      <w:suff w:val="nothing"/>
      <w:lvlText w:val="%1、"/>
      <w:lvlJc w:val="left"/>
    </w:lvl>
  </w:abstractNum>
  <w:abstractNum w:abstractNumId="2">
    <w:nsid w:val="0000000B"/>
    <w:multiLevelType w:val="singleLevel"/>
    <w:tmpl w:val="0000000B"/>
    <w:lvl w:ilvl="0" w:tentative="0">
      <w:start w:val="1"/>
      <w:numFmt w:val="chineseCounting"/>
      <w:suff w:val="nothing"/>
      <w:lvlText w:val="%1、"/>
      <w:lvlJc w:val="left"/>
    </w:lvl>
  </w:abstractNum>
  <w:abstractNum w:abstractNumId="3">
    <w:nsid w:val="0000000D"/>
    <w:multiLevelType w:val="singleLevel"/>
    <w:tmpl w:val="0000000D"/>
    <w:lvl w:ilvl="0" w:tentative="0">
      <w:start w:val="1"/>
      <w:numFmt w:val="chineseCounting"/>
      <w:suff w:val="nothing"/>
      <w:lvlText w:val="%1、"/>
      <w:lvlJc w:val="left"/>
      <w:pPr>
        <w:ind w:left="883" w:firstLine="0"/>
      </w:pPr>
      <w:rPr>
        <w:rFonts w:hint="eastAsia"/>
      </w:rPr>
    </w:lvl>
  </w:abstractNum>
  <w:abstractNum w:abstractNumId="4">
    <w:nsid w:val="5C5FCB93"/>
    <w:multiLevelType w:val="singleLevel"/>
    <w:tmpl w:val="5C5FCB93"/>
    <w:lvl w:ilvl="0" w:tentative="0">
      <w:start w:val="2"/>
      <w:numFmt w:val="chineseCounting"/>
      <w:suff w:val="nothing"/>
      <w:lvlText w:val="（%1）"/>
      <w:lvlJc w:val="left"/>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5292570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6">
    <w:name w:val="footer"/>
    <w:basedOn w:val="1"/>
    <w:link w:val="16"/>
    <w:uiPriority w:val="0"/>
    <w:pPr>
      <w:tabs>
        <w:tab w:val="center" w:pos="4153"/>
        <w:tab w:val="right" w:pos="8306"/>
      </w:tabs>
      <w:snapToGrid w:val="0"/>
      <w:jc w:val="left"/>
    </w:pPr>
    <w:rPr>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19"/>
    <w:qFormat/>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uiPriority w:val="0"/>
    <w:rPr>
      <w:rFonts w:ascii="Calibri" w:hAnsi="Calibri" w:eastAsia="宋体" w:cs="黑体"/>
      <w:b/>
      <w:bCs/>
      <w:sz w:val="32"/>
      <w:szCs w:val="32"/>
    </w:rPr>
  </w:style>
  <w:style w:type="character" w:customStyle="1" w:styleId="14">
    <w:name w:val="标题 3 Char"/>
    <w:basedOn w:val="11"/>
    <w:link w:val="4"/>
    <w:semiHidden/>
    <w:uiPriority w:val="0"/>
    <w:rPr>
      <w:rFonts w:ascii="Times New Roman" w:hAnsi="Times New Roman" w:eastAsia="宋体" w:cs="Times New Roman"/>
      <w:b/>
      <w:bCs/>
      <w:sz w:val="32"/>
      <w:szCs w:val="32"/>
    </w:rPr>
  </w:style>
  <w:style w:type="character" w:customStyle="1" w:styleId="15">
    <w:name w:val="标题 4 Char"/>
    <w:basedOn w:val="11"/>
    <w:link w:val="5"/>
    <w:semiHidden/>
    <w:uiPriority w:val="0"/>
    <w:rPr>
      <w:rFonts w:ascii="Calibri" w:hAnsi="Calibri" w:eastAsia="宋体" w:cs="黑体"/>
      <w:b/>
      <w:bCs/>
      <w:sz w:val="28"/>
      <w:szCs w:val="28"/>
    </w:rPr>
  </w:style>
  <w:style w:type="character" w:customStyle="1" w:styleId="16">
    <w:name w:val="页脚 Char"/>
    <w:basedOn w:val="11"/>
    <w:link w:val="6"/>
    <w:semiHidden/>
    <w:uiPriority w:val="0"/>
    <w:rPr>
      <w:sz w:val="18"/>
      <w:szCs w:val="18"/>
    </w:rPr>
  </w:style>
  <w:style w:type="character" w:customStyle="1" w:styleId="17">
    <w:name w:val="页眉 Char"/>
    <w:basedOn w:val="11"/>
    <w:link w:val="7"/>
    <w:semiHidden/>
    <w:uiPriority w:val="0"/>
    <w:rPr>
      <w:sz w:val="18"/>
      <w:szCs w:val="18"/>
    </w:rPr>
  </w:style>
  <w:style w:type="character" w:customStyle="1" w:styleId="18">
    <w:name w:val="副标题 Char"/>
    <w:basedOn w:val="11"/>
    <w:link w:val="8"/>
    <w:semiHidden/>
    <w:uiPriority w:val="0"/>
    <w:rPr>
      <w:rFonts w:ascii="Calibri" w:hAnsi="Calibri" w:eastAsia="宋体" w:cs="黑体"/>
      <w:i/>
      <w:iCs/>
      <w:color w:val="F0A22E"/>
      <w:spacing w:val="15"/>
      <w:kern w:val="0"/>
      <w:sz w:val="24"/>
      <w:szCs w:val="24"/>
    </w:rPr>
  </w:style>
  <w:style w:type="character" w:customStyle="1" w:styleId="19">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0">
    <w:name w:val="批注框文本 Char Char"/>
    <w:basedOn w:val="1"/>
    <w:link w:val="22"/>
    <w:uiPriority w:val="0"/>
    <w:rPr>
      <w:rFonts w:ascii="Times New Roman" w:hAnsi="Times New Roman" w:eastAsia="宋体" w:cs="Times New Roman"/>
      <w:sz w:val="18"/>
      <w:szCs w:val="18"/>
    </w:rPr>
  </w:style>
  <w:style w:type="paragraph" w:customStyle="1" w:styleId="21">
    <w:name w:val="无间隔1"/>
    <w:link w:val="23"/>
    <w:uiPriority w:val="0"/>
    <w:pPr>
      <w:spacing w:after="160" w:line="480" w:lineRule="auto"/>
    </w:pPr>
    <w:rPr>
      <w:rFonts w:ascii="Times New Roman" w:hAnsi="Times New Roman" w:eastAsia="宋体" w:cs="Times New Roman"/>
      <w:sz w:val="22"/>
      <w:lang w:val="en-US" w:eastAsia="zh-CN" w:bidi="ar-SA"/>
    </w:rPr>
  </w:style>
  <w:style w:type="character" w:customStyle="1" w:styleId="22">
    <w:name w:val="批注框文本 Char Char Char Char"/>
    <w:basedOn w:val="11"/>
    <w:link w:val="20"/>
    <w:semiHidden/>
    <w:qFormat/>
    <w:uiPriority w:val="0"/>
    <w:rPr>
      <w:rFonts w:ascii="Times New Roman" w:hAnsi="Times New Roman" w:eastAsia="宋体" w:cs="Times New Roman"/>
      <w:sz w:val="18"/>
      <w:szCs w:val="18"/>
    </w:rPr>
  </w:style>
  <w:style w:type="character" w:customStyle="1" w:styleId="23">
    <w:name w:val="无间隔 Char"/>
    <w:basedOn w:val="11"/>
    <w:link w:val="21"/>
    <w:semiHidden/>
    <w:uiPriority w:val="0"/>
    <w:rPr>
      <w:sz w:val="22"/>
      <w:lang w:val="en-US" w:eastAsia="zh-CN" w:bidi="ar-SA"/>
    </w:rPr>
  </w:style>
  <w:style w:type="character" w:customStyle="1" w:styleId="24">
    <w:name w:val="Style1"/>
    <w:basedOn w:val="11"/>
    <w:uiPriority w:val="0"/>
    <w:rPr>
      <w:rFonts w:ascii="Cambria" w:hAnsi="黑体" w:eastAsia="黑体" w:cs="黑体"/>
      <w:sz w:val="22"/>
      <w:szCs w:val="22"/>
      <w:lang w:eastAsia="zh-CN"/>
    </w:rPr>
  </w:style>
  <w:style w:type="character" w:customStyle="1" w:styleId="25">
    <w:name w:val="Style2"/>
    <w:basedOn w:val="11"/>
    <w:uiPriority w:val="0"/>
    <w:rPr>
      <w:rFonts w:ascii="Cambria" w:hAnsi="黑体" w:eastAsia="黑体" w:cs="黑体"/>
      <w:sz w:val="22"/>
      <w:szCs w:val="22"/>
      <w:lang w:eastAsia="zh-CN"/>
    </w:rPr>
  </w:style>
  <w:style w:type="character" w:customStyle="1" w:styleId="26">
    <w:name w:val="Style3"/>
    <w:basedOn w:val="11"/>
    <w:qFormat/>
    <w:uiPriority w:val="0"/>
    <w:rPr>
      <w:rFonts w:ascii="Cambria" w:hAnsi="黑体" w:eastAsia="黑体" w:cs="黑体"/>
      <w:szCs w:val="22"/>
      <w:lang w:eastAsia="zh-CN"/>
    </w:rPr>
  </w:style>
  <w:style w:type="character" w:customStyle="1" w:styleId="27">
    <w:name w:val="Style4"/>
    <w:basedOn w:val="11"/>
    <w:qFormat/>
    <w:uiPriority w:val="0"/>
    <w:rPr>
      <w:rFonts w:ascii="Cambria" w:hAnsi="黑体" w:eastAsia="黑体" w:cs="黑体"/>
      <w:szCs w:val="22"/>
      <w:lang w:eastAsia="zh-CN"/>
    </w:rPr>
  </w:style>
  <w:style w:type="character" w:customStyle="1" w:styleId="28">
    <w:name w:val="Style5"/>
    <w:basedOn w:val="11"/>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18</Pages>
  <Words>1215</Words>
  <Characters>6929</Characters>
  <Lines>57</Lines>
  <Paragraphs>16</Paragraphs>
  <TotalTime>0</TotalTime>
  <ScaleCrop>false</ScaleCrop>
  <LinksUpToDate>false</LinksUpToDate>
  <CharactersWithSpaces>0</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2018-09-01T16:38:00Z</dcterms:created>
  <dc:creator>User</dc:creator>
  <cp:lastModifiedBy>123</cp:lastModifiedBy>
  <dcterms:modified xsi:type="dcterms:W3CDTF">2019-02-14T06:36:08Z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