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hint="eastAsia" w:ascii="黑体" w:hAnsi="宋体" w:eastAsia="黑体"/>
          <w:color w:val="002060"/>
          <w:sz w:val="84"/>
          <w:szCs w:val="84"/>
        </w:rPr>
        <w:t>2017年度部门决算公开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hAnsi="宋体"/>
          <w:b/>
          <w:sz w:val="44"/>
          <w:szCs w:val="44"/>
        </w:rPr>
      </w:pPr>
      <w:r>
        <w:rPr>
          <w:rFonts w:hint="eastAsia" w:ascii="宋体" w:hAnsi="宋体"/>
          <w:b/>
          <w:sz w:val="44"/>
          <w:szCs w:val="44"/>
        </w:rPr>
        <w:t>石家庄市无极县信访局部门</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无极县信访局</w:t>
      </w:r>
      <w:r>
        <w:rPr>
          <w:rFonts w:eastAsia="黑体"/>
          <w:sz w:val="32"/>
          <w:szCs w:val="32"/>
        </w:rPr>
        <w:t>概况</w:t>
      </w:r>
      <w:r>
        <w:rPr>
          <w:rFonts w:hint="eastAsia" w:eastAsia="仿宋_GB2312"/>
          <w:sz w:val="24"/>
          <w:szCs w:val="32"/>
        </w:rPr>
        <w:t xml:space="preserve">  </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无极县信访局</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无极县信访局</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 xml:space="preserve">第一部分 </w:t>
      </w:r>
      <w:r>
        <w:rPr>
          <w:rFonts w:hint="eastAsia" w:ascii="宋体" w:hAnsi="宋体" w:cs="ArialUnicodeMS"/>
          <w:color w:val="000000"/>
          <w:kern w:val="0"/>
          <w:lang w:val="en-US" w:eastAsia="zh-CN"/>
        </w:rPr>
        <w:t>部门</w:t>
      </w:r>
      <w:r>
        <w:rPr>
          <w:rFonts w:hint="eastAsia" w:ascii="宋体" w:hAnsi="宋体" w:cs="ArialUnicodeMS"/>
          <w:color w:val="000000"/>
          <w:kern w:val="0"/>
        </w:rPr>
        <w:t>概况</w:t>
      </w:r>
    </w:p>
    <w:p>
      <w:pPr>
        <w:pStyle w:val="3"/>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一、部门职责</w:t>
      </w:r>
    </w:p>
    <w:p>
      <w:pPr>
        <w:ind w:firstLine="640"/>
        <w:rPr>
          <w:rFonts w:ascii="仿宋_GB2312" w:hAnsi="仿宋" w:eastAsia="仿宋_GB2312" w:cs="仿宋"/>
          <w:sz w:val="32"/>
          <w:szCs w:val="32"/>
        </w:rPr>
      </w:pPr>
      <w:r>
        <w:rPr>
          <w:rFonts w:hint="eastAsia" w:ascii="仿宋_GB2312" w:hAnsi="仿宋" w:eastAsia="仿宋_GB2312" w:cs="仿宋"/>
          <w:sz w:val="32"/>
          <w:szCs w:val="32"/>
        </w:rPr>
        <w:t>1、受理我县和上级领导机关交办的来信来访问题，负责日常的信访工作；</w:t>
      </w:r>
    </w:p>
    <w:p>
      <w:pPr>
        <w:ind w:firstLine="640"/>
        <w:rPr>
          <w:rFonts w:ascii="仿宋_GB2312" w:hAnsi="仿宋" w:eastAsia="仿宋_GB2312" w:cs="仿宋"/>
          <w:sz w:val="32"/>
          <w:szCs w:val="32"/>
        </w:rPr>
      </w:pPr>
      <w:r>
        <w:rPr>
          <w:rFonts w:hint="eastAsia" w:ascii="仿宋_GB2312" w:hAnsi="仿宋" w:eastAsia="仿宋_GB2312" w:cs="仿宋"/>
          <w:sz w:val="32"/>
          <w:szCs w:val="32"/>
        </w:rPr>
        <w:t>2、按照“分级负责，归口办理”的原则，向有关部门和乡镇交办信访案件，并负责监督和检查。</w:t>
      </w:r>
    </w:p>
    <w:p>
      <w:pPr>
        <w:ind w:firstLine="640"/>
        <w:rPr>
          <w:rFonts w:ascii="仿宋_GB2312" w:hAnsi="仿宋" w:eastAsia="仿宋_GB2312" w:cs="仿宋"/>
          <w:sz w:val="32"/>
          <w:szCs w:val="32"/>
        </w:rPr>
      </w:pPr>
      <w:r>
        <w:rPr>
          <w:rFonts w:hint="eastAsia" w:ascii="仿宋_GB2312" w:hAnsi="仿宋" w:eastAsia="仿宋_GB2312" w:cs="仿宋"/>
          <w:sz w:val="32"/>
          <w:szCs w:val="32"/>
        </w:rPr>
        <w:t>3、定期分析，综合人民来访反映的重要情况和带有倾向性的问题，及时向领导和有关机关反映，为领导决策提供依据；开展调查研究，分析信访形势，掌握信访动态，提出制定有关信访政策和建议。</w:t>
      </w:r>
    </w:p>
    <w:p>
      <w:pPr>
        <w:ind w:firstLine="640"/>
        <w:rPr>
          <w:rFonts w:ascii="仿宋_GB2312" w:hAnsi="仿宋" w:eastAsia="仿宋_GB2312" w:cs="仿宋"/>
          <w:sz w:val="32"/>
          <w:szCs w:val="32"/>
        </w:rPr>
      </w:pPr>
      <w:r>
        <w:rPr>
          <w:rFonts w:hint="eastAsia" w:ascii="仿宋_GB2312" w:hAnsi="仿宋" w:eastAsia="仿宋_GB2312" w:cs="仿宋"/>
          <w:sz w:val="32"/>
          <w:szCs w:val="32"/>
        </w:rPr>
        <w:t>4、协调处理跨地区、跨部门的重要信访问题；协调处理群众集体上访和异常、突发信访事件；指导、协调各级党政部门和有关单位的信访工作。</w:t>
      </w:r>
    </w:p>
    <w:p>
      <w:pPr>
        <w:ind w:firstLine="640"/>
        <w:rPr>
          <w:rFonts w:ascii="仿宋_GB2312" w:hAnsi="仿宋" w:eastAsia="仿宋_GB2312" w:cs="仿宋"/>
          <w:sz w:val="32"/>
          <w:szCs w:val="32"/>
        </w:rPr>
      </w:pPr>
      <w:r>
        <w:rPr>
          <w:rFonts w:hint="eastAsia" w:ascii="仿宋_GB2312" w:hAnsi="仿宋" w:eastAsia="仿宋_GB2312" w:cs="仿宋"/>
          <w:sz w:val="32"/>
          <w:szCs w:val="32"/>
        </w:rPr>
        <w:t>5、建立健全信访工人制度，改革信访工作方法，努力开创新局面。</w:t>
      </w:r>
    </w:p>
    <w:p>
      <w:pPr>
        <w:ind w:firstLine="640"/>
        <w:rPr>
          <w:rFonts w:ascii="仿宋_GB2312" w:hAnsi="仿宋" w:eastAsia="仿宋_GB2312" w:cs="仿宋"/>
          <w:sz w:val="32"/>
          <w:szCs w:val="32"/>
        </w:rPr>
      </w:pPr>
      <w:r>
        <w:rPr>
          <w:rFonts w:hint="eastAsia" w:ascii="仿宋_GB2312" w:hAnsi="仿宋" w:eastAsia="仿宋_GB2312" w:cs="仿宋"/>
          <w:sz w:val="32"/>
          <w:szCs w:val="32"/>
        </w:rPr>
        <w:t>6、贯彻&lt;&lt;信访条例&gt;&gt;落实国家和省、市有关信访工作的指示、规定和部署、推动全县信访工作的开展。</w:t>
      </w:r>
    </w:p>
    <w:p>
      <w:pPr>
        <w:ind w:firstLine="640"/>
        <w:rPr>
          <w:rFonts w:ascii="仿宋_GB2312" w:hAnsi="仿宋" w:eastAsia="仿宋_GB2312" w:cs="仿宋"/>
          <w:sz w:val="32"/>
          <w:szCs w:val="32"/>
        </w:rPr>
      </w:pPr>
      <w:r>
        <w:rPr>
          <w:rFonts w:hint="eastAsia" w:ascii="仿宋_GB2312" w:hAnsi="仿宋" w:eastAsia="仿宋_GB2312" w:cs="仿宋"/>
          <w:sz w:val="32"/>
          <w:szCs w:val="32"/>
        </w:rPr>
        <w:t>7、向有关部门转办、交办信访事项并对落实情况进行审理，对领导批示和上级机关交办的信访事项进行督办并反馈有关情况。</w:t>
      </w:r>
    </w:p>
    <w:p>
      <w:pPr>
        <w:pStyle w:val="3"/>
        <w:spacing w:before="0" w:after="0" w:line="560" w:lineRule="exact"/>
        <w:ind w:firstLine="643" w:firstLineChars="200"/>
        <w:rPr>
          <w:rFonts w:ascii="黑体" w:hAnsi="Cambria" w:eastAsia="黑体" w:cs="黑体"/>
          <w:kern w:val="0"/>
        </w:rPr>
      </w:pPr>
      <w:r>
        <w:rPr>
          <w:rFonts w:hint="eastAsia" w:ascii="黑体" w:hAnsi="Cambria" w:eastAsia="黑体" w:cs="黑体"/>
          <w:kern w:val="0"/>
        </w:rPr>
        <w:t>二、部门决算单位构成</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2017 年度，纳入本部门决算汇编范围的独立核算单位</w:t>
      </w:r>
    </w:p>
    <w:p>
      <w:pPr>
        <w:autoSpaceDE w:val="0"/>
        <w:autoSpaceDN w:val="0"/>
        <w:adjustRightInd w:val="0"/>
        <w:spacing w:after="0" w:line="560" w:lineRule="exact"/>
        <w:jc w:val="left"/>
        <w:sectPr>
          <w:pgSz w:w="11906" w:h="16838"/>
          <w:pgMar w:top="2098" w:right="1474" w:bottom="1985" w:left="1588" w:header="851" w:footer="992" w:gutter="0"/>
          <w:pgNumType w:start="0"/>
          <w:cols w:space="425" w:num="1"/>
          <w:titlePg/>
          <w:docGrid w:type="lines" w:linePitch="312" w:charSpace="0"/>
        </w:sectPr>
      </w:pPr>
      <w:r>
        <w:rPr>
          <w:rFonts w:hint="eastAsia" w:ascii="仿宋_GB2312" w:hAnsi="Cambria" w:eastAsia="仿宋_GB2312" w:cs="ArialUnicodeMS"/>
          <w:kern w:val="0"/>
          <w:sz w:val="32"/>
          <w:szCs w:val="32"/>
        </w:rPr>
        <w:t>（以下简称“单位”）共1 个，是中国共产党委员会信访局 ，单位基本性质为行政单位，预算管理级次为</w:t>
      </w:r>
      <w:r>
        <w:rPr>
          <w:rFonts w:hint="eastAsia" w:ascii="仿宋_GB2312" w:hAnsi="Cambria" w:eastAsia="仿宋_GB2312" w:cs="ArialUnicodeMS"/>
          <w:color w:val="000000"/>
          <w:kern w:val="0"/>
          <w:sz w:val="32"/>
          <w:szCs w:val="32"/>
        </w:rPr>
        <w:t>一</w:t>
      </w:r>
      <w:r>
        <w:rPr>
          <w:rFonts w:hint="eastAsia" w:ascii="仿宋_GB2312" w:hAnsi="Cambria" w:eastAsia="仿宋_GB2312" w:cs="ArialUnicodeMS"/>
          <w:kern w:val="0"/>
          <w:sz w:val="32"/>
          <w:szCs w:val="32"/>
        </w:rPr>
        <w:t xml:space="preserve"> 级预算单位，执行</w:t>
      </w:r>
      <w:r>
        <w:rPr>
          <w:rFonts w:hint="eastAsia" w:ascii="仿宋_GB2312" w:hAnsi="Cambria" w:eastAsia="仿宋_GB2312" w:cs="ArialUnicodeMS"/>
          <w:color w:val="000000"/>
          <w:kern w:val="0"/>
          <w:sz w:val="32"/>
          <w:szCs w:val="32"/>
        </w:rPr>
        <w:t>行政</w:t>
      </w:r>
      <w:r>
        <w:rPr>
          <w:rFonts w:hint="eastAsia" w:ascii="仿宋_GB2312" w:hAnsi="Cambria" w:eastAsia="仿宋_GB2312" w:cs="ArialUnicodeMS"/>
          <w:kern w:val="0"/>
          <w:sz w:val="32"/>
          <w:szCs w:val="32"/>
        </w:rPr>
        <w:t>单位会计制度，较上年无增减变化.</w:t>
      </w:r>
    </w:p>
    <w:p>
      <w:pPr>
        <w:pStyle w:val="2"/>
        <w:spacing w:line="560" w:lineRule="exact"/>
        <w:jc w:val="both"/>
        <w:rPr>
          <w:rFonts w:hint="eastAsia" w:ascii="宋体" w:hAnsi="宋体" w:cs="ArialUnicodeMS"/>
          <w:color w:val="000000"/>
          <w:kern w:val="0"/>
        </w:rPr>
      </w:pP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2017年度信访局决算报表</w:t>
      </w:r>
    </w:p>
    <w:p>
      <w:pPr>
        <w:pStyle w:val="23"/>
        <w:rPr>
          <w:rFonts w:hint="eastAsia" w:ascii="仿宋_GB2312" w:hAnsi="仿宋_GB2312" w:eastAsia="仿宋_GB2312" w:cs="仿宋_GB2312"/>
          <w:b w:val="0"/>
          <w:bCs w:val="0"/>
          <w:sz w:val="32"/>
          <w:szCs w:val="32"/>
        </w:rPr>
      </w:pPr>
      <w:r>
        <w:t>              </w:t>
      </w:r>
      <w:r>
        <w:rPr>
          <w:rFonts w:hint="eastAsia" w:ascii="仿宋_GB2312" w:hAnsi="仿宋_GB2312" w:eastAsia="仿宋_GB2312" w:cs="仿宋_GB2312"/>
          <w:b w:val="0"/>
          <w:bCs w:val="0"/>
          <w:sz w:val="32"/>
          <w:szCs w:val="32"/>
        </w:rPr>
        <w:t xml:space="preserve"> (详见附件） </w:t>
      </w:r>
    </w:p>
    <w:p>
      <w:pPr>
        <w:pStyle w:val="23"/>
        <w:jc w:val="both"/>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val="0"/>
          <w:bCs w:val="0"/>
          <w:sz w:val="32"/>
          <w:szCs w:val="32"/>
        </w:rPr>
        <w:t>一、收入支出决算总表</w:t>
      </w:r>
    </w:p>
    <w:p>
      <w:pPr>
        <w:pStyle w:val="23"/>
        <w:jc w:val="both"/>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val="0"/>
          <w:bCs w:val="0"/>
          <w:sz w:val="32"/>
          <w:szCs w:val="32"/>
        </w:rPr>
        <w:t>二、收入决算表</w:t>
      </w:r>
    </w:p>
    <w:p>
      <w:pPr>
        <w:pStyle w:val="23"/>
        <w:jc w:val="both"/>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val="0"/>
          <w:bCs w:val="0"/>
          <w:sz w:val="32"/>
          <w:szCs w:val="32"/>
        </w:rPr>
        <w:t>三、支出决算表</w:t>
      </w:r>
    </w:p>
    <w:p>
      <w:pPr>
        <w:pStyle w:val="23"/>
        <w:jc w:val="both"/>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val="0"/>
          <w:bCs w:val="0"/>
          <w:sz w:val="32"/>
          <w:szCs w:val="32"/>
        </w:rPr>
        <w:t>四、财政拨款收入支出决算总表</w:t>
      </w:r>
    </w:p>
    <w:p>
      <w:pPr>
        <w:pStyle w:val="23"/>
        <w:jc w:val="both"/>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val="0"/>
          <w:bCs w:val="0"/>
          <w:sz w:val="32"/>
          <w:szCs w:val="32"/>
        </w:rPr>
        <w:t>五、一般公共预算财政拨款支出决算表</w:t>
      </w:r>
    </w:p>
    <w:p>
      <w:pPr>
        <w:pStyle w:val="23"/>
        <w:jc w:val="both"/>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val="0"/>
          <w:bCs w:val="0"/>
          <w:sz w:val="32"/>
          <w:szCs w:val="32"/>
        </w:rPr>
        <w:t>六、一般公共预算财政拨款基本支出决算表</w:t>
      </w:r>
    </w:p>
    <w:p>
      <w:pPr>
        <w:pStyle w:val="23"/>
        <w:jc w:val="both"/>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val="0"/>
          <w:bCs w:val="0"/>
          <w:sz w:val="32"/>
          <w:szCs w:val="32"/>
        </w:rPr>
        <w:t>七、政府性基金预算财政拨款收入支出决算表</w:t>
      </w:r>
    </w:p>
    <w:p>
      <w:pPr>
        <w:pStyle w:val="23"/>
        <w:jc w:val="both"/>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val="0"/>
          <w:bCs w:val="0"/>
          <w:sz w:val="32"/>
          <w:szCs w:val="32"/>
        </w:rPr>
        <w:t>八、国有资本经营预算财政拨款收入支出决算表</w:t>
      </w:r>
    </w:p>
    <w:p>
      <w:pPr>
        <w:pStyle w:val="23"/>
        <w:jc w:val="both"/>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val="0"/>
          <w:bCs w:val="0"/>
          <w:sz w:val="32"/>
          <w:szCs w:val="32"/>
        </w:rPr>
        <w:t>九、“三公”经费及相关信息统计表</w:t>
      </w:r>
    </w:p>
    <w:p>
      <w:pPr>
        <w:pStyle w:val="23"/>
        <w:jc w:val="both"/>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 xml:space="preserve">     </w:t>
      </w:r>
      <w:r>
        <w:rPr>
          <w:rFonts w:hint="eastAsia" w:ascii="仿宋_GB2312" w:hAnsi="仿宋_GB2312" w:eastAsia="仿宋_GB2312" w:cs="仿宋_GB2312"/>
          <w:b w:val="0"/>
          <w:bCs w:val="0"/>
          <w:sz w:val="32"/>
          <w:szCs w:val="32"/>
        </w:rPr>
        <w:t>十、政府采购情况表</w:t>
      </w:r>
    </w:p>
    <w:p>
      <w:pPr>
        <w:widowControl/>
        <w:spacing w:after="0" w:line="560" w:lineRule="exact"/>
        <w:ind w:firstLine="640" w:firstLineChars="200"/>
        <w:jc w:val="both"/>
        <w:rPr>
          <w:rFonts w:hint="eastAsia" w:ascii="仿宋_GB2312" w:hAnsi="仿宋_GB2312" w:eastAsia="仿宋_GB2312" w:cs="仿宋_GB2312"/>
          <w:b w:val="0"/>
          <w:bCs w:val="0"/>
          <w:sz w:val="32"/>
          <w:szCs w:val="32"/>
        </w:rPr>
        <w:sectPr>
          <w:pgSz w:w="11850" w:h="16783"/>
          <w:pgMar w:top="2098" w:right="1474" w:bottom="1985" w:left="1588" w:header="851" w:footer="992" w:gutter="0"/>
          <w:cols w:space="425" w:num="1"/>
          <w:docGrid w:type="lines" w:linePitch="312" w:charSpace="0"/>
        </w:sectPr>
      </w:pPr>
    </w:p>
    <w:p>
      <w:pPr>
        <w:pStyle w:val="2"/>
        <w:spacing w:line="560" w:lineRule="exact"/>
        <w:jc w:val="center"/>
        <w:rPr>
          <w:rFonts w:ascii="宋体" w:hAnsi="宋体" w:eastAsia="宋体" w:cs="ArialUnicodeMS"/>
          <w:color w:val="000000"/>
          <w:kern w:val="0"/>
        </w:rPr>
      </w:pPr>
      <w:r>
        <w:rPr>
          <w:rFonts w:hint="eastAsia" w:ascii="宋体" w:hAnsi="宋体" w:eastAsia="宋体" w:cs="ArialUnicodeMS"/>
          <w:color w:val="000000"/>
          <w:kern w:val="0"/>
        </w:rPr>
        <w:t>第三部分</w:t>
      </w:r>
      <w:r>
        <w:rPr>
          <w:rFonts w:ascii="宋体" w:hAnsi="宋体" w:eastAsia="宋体" w:cs="ArialUnicodeMS"/>
          <w:color w:val="000000"/>
          <w:kern w:val="0"/>
        </w:rPr>
        <w:t xml:space="preserve"> </w:t>
      </w:r>
      <w:r>
        <w:rPr>
          <w:rFonts w:hint="eastAsia" w:ascii="宋体" w:hAnsi="宋体" w:eastAsia="宋体" w:cs="ArialUnicodeMS"/>
          <w:color w:val="000000"/>
          <w:kern w:val="0"/>
        </w:rPr>
        <w:t>信访局决算情况说明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cs="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0万元，本年收入224.64万元；本年支出223.47万元、年末结转和结余1.18万元。与2016年度决算相比，本年收入减少6.98万元，降低3.01%，主要是去年有群众工作建设资金；本年支出减少13.15万元，降低5.56%，主要是去年有群众工作建设资金。</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本部门2017年度本年收入合计224.64万元，其中：财政拨款收入224.64万元，占100%；事业收入0万元，占0%；经营收入0万元，占0%；其他收入0万元，占0%。如图所示：</w:t>
      </w:r>
    </w:p>
    <w:p>
      <w:pPr>
        <w:adjustRightInd w:val="0"/>
        <w:snapToGrid w:val="0"/>
        <w:spacing w:line="560" w:lineRule="exact"/>
        <w:jc w:val="center"/>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t>图</w:t>
      </w:r>
      <w:r>
        <w:rPr>
          <w:rFonts w:hint="eastAsia" w:ascii="仿宋_GB2312" w:eastAsia="仿宋_GB2312" w:cs="DengXian-Regular"/>
          <w:sz w:val="32"/>
          <w:szCs w:val="32"/>
          <w:lang w:val="en-US" w:eastAsia="zh-CN"/>
        </w:rPr>
        <w:t>1：收入决算结构饼状图</w:t>
      </w:r>
    </w:p>
    <w:p>
      <w:pPr>
        <w:adjustRightInd w:val="0"/>
        <w:snapToGrid w:val="0"/>
        <w:spacing w:after="0" w:line="240" w:lineRule="auto"/>
        <w:ind w:firstLine="0" w:firstLineChars="0"/>
        <w:rPr>
          <w:rFonts w:hint="eastAsia" w:ascii="仿宋_GB2312" w:eastAsia="仿宋_GB2312" w:cs="DengXian-Regular"/>
          <w:sz w:val="32"/>
          <w:szCs w:val="32"/>
        </w:rPr>
      </w:pPr>
      <w:r>
        <w:rPr>
          <w:rFonts w:ascii="Times New Roman" w:hAnsi="Times New Roman" w:eastAsia="宋体" w:cs="Times New Roman"/>
          <w:kern w:val="2"/>
          <w:sz w:val="21"/>
          <w:szCs w:val="24"/>
          <w:lang w:val="en-US" w:eastAsia="zh-CN" w:bidi="ar-SA"/>
        </w:rPr>
        <w:pict>
          <v:shape id="_x0000_i1025" o:spt="75" type="#_x0000_t75" style="height:201.2pt;width:442.1pt;" fillcolor="#FFFFFF" filled="f" o:preferrelative="t" stroked="f" coordsize="21600,21600">
            <v:path/>
            <v:fill on="f" color2="#FFFFFF" focussize="0,0"/>
            <v:stroke on="f"/>
            <v:imagedata r:id="rId4" gain="65536f" blacklevel="0f" gamma="0" o:title=""/>
            <o:lock v:ext="edit" position="f" selection="f" grouping="f" rotation="f" cropping="f" text="f" aspectratio="t"/>
            <w10:wrap type="none"/>
            <w10:anchorlock/>
          </v:shape>
        </w:pict>
      </w:r>
    </w:p>
    <w:p>
      <w:pPr>
        <w:pStyle w:val="3"/>
        <w:spacing w:before="0" w:after="0" w:line="560" w:lineRule="exact"/>
        <w:ind w:firstLine="643" w:firstLineChars="200"/>
        <w:rPr>
          <w:rFonts w:ascii="黑体" w:eastAsia="黑体"/>
        </w:rPr>
      </w:pPr>
      <w:r>
        <w:rPr>
          <w:rFonts w:hint="eastAsia" w:ascii="黑体" w:eastAsia="黑体"/>
        </w:rPr>
        <w:t>三、支出决算情况说明</w:t>
      </w:r>
    </w:p>
    <w:p>
      <w:pPr>
        <w:adjustRightInd w:val="0"/>
        <w:snapToGrid w:val="0"/>
        <w:spacing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本部门2017年度本年支出合计223.47万元，其中：基本支出161.64万元，占72.33%；项目支出61.83万元，占27.67%；经营支出0万元，占0%。如图所示：</w:t>
      </w:r>
    </w:p>
    <w:p>
      <w:pPr>
        <w:adjustRightInd w:val="0"/>
        <w:snapToGrid w:val="0"/>
        <w:spacing w:line="560" w:lineRule="exact"/>
        <w:jc w:val="center"/>
        <w:rPr>
          <w:rFonts w:hint="eastAsia" w:ascii="仿宋_GB2312" w:eastAsia="仿宋_GB2312" w:cs="DengXian-Regular"/>
          <w:sz w:val="32"/>
          <w:szCs w:val="32"/>
          <w:lang w:eastAsia="zh-CN"/>
        </w:rPr>
      </w:pPr>
      <w:r>
        <w:rPr>
          <w:rFonts w:hint="eastAsia" w:ascii="仿宋_GB2312" w:eastAsia="仿宋_GB2312" w:cs="DengXian-Regular"/>
          <w:sz w:val="32"/>
          <w:szCs w:val="32"/>
          <w:lang w:eastAsia="zh-CN"/>
        </w:rPr>
        <w:t>图</w:t>
      </w:r>
      <w:r>
        <w:rPr>
          <w:rFonts w:hint="eastAsia" w:ascii="仿宋_GB2312" w:eastAsia="仿宋_GB2312" w:cs="DengXian-Regular"/>
          <w:sz w:val="32"/>
          <w:szCs w:val="32"/>
          <w:lang w:val="en-US" w:eastAsia="zh-CN"/>
        </w:rPr>
        <w:t>2：支出决算结构饼状图</w:t>
      </w:r>
    </w:p>
    <w:p>
      <w:pPr>
        <w:adjustRightInd w:val="0"/>
        <w:snapToGrid w:val="0"/>
        <w:spacing w:after="0" w:line="240" w:lineRule="auto"/>
        <w:ind w:firstLine="0" w:firstLineChars="0"/>
        <w:rPr>
          <w:rFonts w:hint="eastAsia" w:ascii="仿宋_GB2312" w:eastAsia="仿宋_GB2312" w:cs="DengXian-Regular"/>
          <w:sz w:val="32"/>
          <w:szCs w:val="32"/>
        </w:rPr>
      </w:pPr>
      <w:r>
        <w:rPr>
          <w:rFonts w:ascii="Times New Roman" w:hAnsi="Times New Roman" w:eastAsia="宋体" w:cs="Times New Roman"/>
          <w:kern w:val="2"/>
          <w:sz w:val="21"/>
          <w:szCs w:val="24"/>
          <w:lang w:val="en-US" w:eastAsia="zh-CN" w:bidi="ar-SA"/>
        </w:rPr>
        <w:pict>
          <v:shape id="_x0000_i1026" o:spt="75" type="#_x0000_t75" style="height:201.2pt;width:442.1pt;" fillcolor="#FFFFFF" filled="f" o:preferrelative="t" stroked="f" coordsize="21600,21600">
            <v:path/>
            <v:fill on="f" color2="#FFFFFF" focussize="0,0"/>
            <v:stroke on="f"/>
            <v:imagedata r:id="rId5" gain="65536f" blacklevel="0f" gamma="0" o:title=""/>
            <o:lock v:ext="edit" position="f" selection="f" grouping="f" rotation="f" cropping="f" text="f" aspectratio="t"/>
            <w10:wrap type="none"/>
            <w10:anchorlock/>
          </v:shape>
        </w:pict>
      </w: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cs="黑体"/>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收支全部为一般公共预算财政拨款收支。一般公共预算财政拨款年初结转和结余0万元、本年收入224.64万元；本年支出223.47万元、年末结转和结余0万元。与2016年度决算相比，一般公共预算财政拨款本年收入减少6.98万元，降低3.01%，主要是去年有群众工作建设资金；本年支出减少13.15万元，降低5.56%，主要是去年有群众工作建设资金。</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本部门2017年度一般公共预算财政拨款本年收入较2017年初预算增加88.92万元，增长65.52%，主要是追加了驻京值班经费；本年支出增加87.75万元，增长64.66%，主要是追加了驻京值班经费。</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本部门2017年度“三公”经费支出共计3万元，较年初预算持平</w:t>
      </w:r>
      <w:r>
        <w:rPr>
          <w:rFonts w:hint="eastAsia" w:ascii="仿宋_GB2312" w:eastAsia="仿宋_GB2312" w:cs="DengXian-Regular"/>
          <w:sz w:val="32"/>
          <w:szCs w:val="32"/>
          <w:lang w:eastAsia="zh-CN"/>
        </w:rPr>
        <w:t>无增减变化</w:t>
      </w:r>
      <w:r>
        <w:rPr>
          <w:rFonts w:hint="eastAsia" w:ascii="仿宋_GB2312" w:eastAsia="仿宋_GB2312" w:cs="DengXian-Regular"/>
          <w:sz w:val="32"/>
          <w:szCs w:val="32"/>
        </w:rPr>
        <w:t>；较2016年度决算减少0.87万元，降低22.48%，主要是公务用车运行维护费减少。具体情况如下：</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本部门2017年度参加其他单位组织的因公出国（境）团组0个、共0人/无本单位组织的出国（境）团组。本年未</w:t>
      </w:r>
      <w:r>
        <w:rPr>
          <w:rFonts w:hint="eastAsia" w:ascii="仿宋_GB2312" w:eastAsia="仿宋_GB2312" w:cs="DengXian-Regular"/>
          <w:sz w:val="32"/>
          <w:szCs w:val="32"/>
          <w:lang w:val="en-US" w:eastAsia="zh-CN"/>
        </w:rPr>
        <w:t>发生“</w:t>
      </w:r>
      <w:r>
        <w:rPr>
          <w:rFonts w:hint="eastAsia" w:ascii="仿宋_GB2312" w:eastAsia="仿宋_GB2312" w:cs="DengXian-Regular"/>
          <w:sz w:val="32"/>
          <w:szCs w:val="32"/>
        </w:rPr>
        <w:t>因公出国</w:t>
      </w:r>
      <w:r>
        <w:rPr>
          <w:rFonts w:hint="eastAsia" w:ascii="仿宋_GB2312" w:eastAsia="仿宋_GB2312" w:cs="DengXian-Regular"/>
          <w:sz w:val="32"/>
          <w:szCs w:val="32"/>
          <w:lang w:val="en-US" w:eastAsia="zh-CN"/>
        </w:rPr>
        <w:t>费用</w:t>
      </w:r>
      <w:r>
        <w:rPr>
          <w:rFonts w:hint="eastAsia" w:ascii="仿宋_GB2312" w:eastAsia="仿宋_GB2312" w:cs="DengXian-Regular"/>
          <w:sz w:val="32"/>
          <w:szCs w:val="32"/>
          <w:lang w:eastAsia="zh-CN"/>
        </w:rPr>
        <w:t>”</w:t>
      </w:r>
      <w:r>
        <w:rPr>
          <w:rFonts w:hint="eastAsia" w:ascii="仿宋_GB2312" w:eastAsia="仿宋_GB2312" w:cs="DengXian-Regular"/>
          <w:sz w:val="32"/>
          <w:szCs w:val="32"/>
          <w:lang w:val="en-US" w:eastAsia="zh-CN"/>
        </w:rPr>
        <w:t>支出，较年初预算无增减变化，较2016年度决算无增减变化</w:t>
      </w:r>
      <w:r>
        <w:rPr>
          <w:rFonts w:hint="eastAsia" w:ascii="仿宋_GB2312" w:eastAsia="仿宋_GB2312" w:cs="DengXian-Regular"/>
          <w:sz w:val="32"/>
          <w:szCs w:val="32"/>
        </w:rPr>
        <w:t>。</w:t>
      </w:r>
    </w:p>
    <w:p>
      <w:pPr>
        <w:adjustRightInd w:val="0"/>
        <w:snapToGrid w:val="0"/>
        <w:spacing w:after="0" w:line="560" w:lineRule="exact"/>
        <w:ind w:firstLine="643" w:firstLineChars="200"/>
        <w:rPr>
          <w:rFonts w:ascii="仿宋_GB2312" w:eastAsia="仿宋_GB2312" w:cs="DengXian-Bold"/>
          <w:b/>
          <w:bCs/>
          <w:color w:val="FFFFFF"/>
          <w:sz w:val="32"/>
          <w:szCs w:val="32"/>
        </w:rPr>
      </w:pPr>
      <w:r>
        <w:rPr>
          <w:rFonts w:hint="eastAsia" w:ascii="楷体_GB2312" w:eastAsia="楷体_GB2312" w:cs="DengXian-Bold"/>
          <w:b/>
          <w:bCs/>
          <w:sz w:val="32"/>
          <w:szCs w:val="32"/>
        </w:rPr>
        <w:t>（二）公务用车购置及运行维护费支出3万元。</w:t>
      </w:r>
      <w:r>
        <w:rPr>
          <w:rFonts w:hint="eastAsia" w:ascii="仿宋_GB2312" w:eastAsia="仿宋_GB2312" w:cs="DengXian-Regular"/>
          <w:sz w:val="32"/>
          <w:szCs w:val="32"/>
        </w:rPr>
        <w:t>本部门2017年度公务用车购置及运行维护费较年初预算持平；较2016年度决算减少0.87万元，降低22.48%,主要是公务用车运行维护费减少。</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color w:val="000000"/>
          <w:sz w:val="32"/>
          <w:szCs w:val="32"/>
        </w:rPr>
        <w:t>未发生公务用车购置经费支出、较年初预算无增减变化。较2016年度决算无增减变化。</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本部门2017年度单位公务用车保有量1辆。公车运行维护费支出较年初预算增加持平；较2016年度决算减少0.4万元，降低11.76%，主要是交通费减少。</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rFonts w:hint="eastAsia" w:ascii="仿宋_GB2312" w:eastAsia="仿宋_GB2312" w:cs="DengXian-Regular"/>
          <w:sz w:val="32"/>
          <w:szCs w:val="32"/>
        </w:rPr>
        <w:t>本部门2017年度公务接待共0批次、0人次。公务接待费支出较年初预算无变化，较2016年度决算减少0.47万元，降低100%,主要是无公务接待。</w:t>
      </w:r>
    </w:p>
    <w:p>
      <w:pPr>
        <w:pStyle w:val="3"/>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hAnsi="Cambria" w:eastAsia="黑体" w:cs="黑体"/>
          <w:kern w:val="0"/>
        </w:rPr>
        <w:t>管理</w:t>
      </w:r>
      <w:r>
        <w:rPr>
          <w:rFonts w:hint="eastAsia" w:ascii="黑体" w:eastAsia="黑体" w:cs="Times New Roman"/>
        </w:rPr>
        <w:t>工作开展情况说明</w:t>
      </w:r>
    </w:p>
    <w:p>
      <w:pPr>
        <w:pStyle w:val="3"/>
        <w:keepNext/>
        <w:keepLines/>
        <w:pageBreakBefore w:val="0"/>
        <w:widowControl w:val="0"/>
        <w:kinsoku/>
        <w:wordWrap/>
        <w:overflowPunct/>
        <w:topLinePunct w:val="0"/>
        <w:autoSpaceDE/>
        <w:autoSpaceDN/>
        <w:bidi w:val="0"/>
        <w:adjustRightInd/>
        <w:snapToGrid/>
        <w:spacing w:before="0" w:after="0" w:line="560" w:lineRule="exact"/>
        <w:ind w:firstLine="640" w:firstLineChars="200"/>
        <w:textAlignment w:val="auto"/>
        <w:rPr>
          <w:rFonts w:hint="eastAsia" w:ascii="仿宋_GB2312" w:hAnsi="仿宋" w:eastAsia="仿宋_GB2312" w:cs="仿宋"/>
          <w:b w:val="0"/>
          <w:bCs w:val="0"/>
          <w:sz w:val="32"/>
          <w:szCs w:val="32"/>
        </w:rPr>
      </w:pPr>
      <w:r>
        <w:rPr>
          <w:rFonts w:hint="eastAsia" w:ascii="仿宋_GB2312" w:hAnsi="仿宋" w:eastAsia="仿宋_GB2312" w:cs="仿宋"/>
          <w:b w:val="0"/>
          <w:bCs w:val="0"/>
          <w:sz w:val="32"/>
          <w:szCs w:val="32"/>
        </w:rPr>
        <w:t>（一）绩效管理工作开展情况</w:t>
      </w:r>
    </w:p>
    <w:p>
      <w:pPr>
        <w:pStyle w:val="3"/>
        <w:keepNext/>
        <w:keepLines/>
        <w:pageBreakBefore w:val="0"/>
        <w:widowControl w:val="0"/>
        <w:kinsoku/>
        <w:wordWrap/>
        <w:overflowPunct/>
        <w:topLinePunct w:val="0"/>
        <w:autoSpaceDE/>
        <w:autoSpaceDN/>
        <w:bidi w:val="0"/>
        <w:adjustRightInd/>
        <w:snapToGrid/>
        <w:spacing w:before="0" w:after="0" w:line="560" w:lineRule="exact"/>
        <w:ind w:firstLine="640" w:firstLineChars="200"/>
        <w:textAlignment w:val="auto"/>
        <w:rPr>
          <w:rFonts w:hint="eastAsia" w:ascii="仿宋_GB2312" w:hAnsi="仿宋" w:eastAsia="仿宋_GB2312" w:cs="仿宋"/>
          <w:b w:val="0"/>
          <w:bCs w:val="0"/>
          <w:sz w:val="32"/>
          <w:szCs w:val="32"/>
        </w:rPr>
      </w:pPr>
      <w:r>
        <w:rPr>
          <w:rFonts w:hint="eastAsia" w:ascii="仿宋_GB2312" w:hAnsi="仿宋" w:eastAsia="仿宋_GB2312" w:cs="仿宋"/>
          <w:b w:val="0"/>
          <w:bCs w:val="0"/>
          <w:sz w:val="32"/>
          <w:szCs w:val="32"/>
        </w:rPr>
        <w:t>根据绩效预算管理改革督察要求，本单位认真开展了预算绩效管理改革开展情况自查，对部门全面规范绩效预算编制、严格预算执行管理、推进绩效评价工作、推进预决算信息公开等方面进行了自评，考核结果为良好。</w:t>
      </w:r>
    </w:p>
    <w:p>
      <w:pPr>
        <w:pStyle w:val="3"/>
        <w:keepNext/>
        <w:keepLines/>
        <w:pageBreakBefore w:val="0"/>
        <w:widowControl w:val="0"/>
        <w:kinsoku/>
        <w:wordWrap/>
        <w:overflowPunct/>
        <w:topLinePunct w:val="0"/>
        <w:autoSpaceDE/>
        <w:autoSpaceDN/>
        <w:bidi w:val="0"/>
        <w:adjustRightInd/>
        <w:snapToGrid/>
        <w:spacing w:before="0" w:after="0" w:line="560" w:lineRule="exact"/>
        <w:ind w:firstLine="640" w:firstLineChars="200"/>
        <w:textAlignment w:val="auto"/>
        <w:rPr>
          <w:rFonts w:hint="eastAsia" w:ascii="仿宋_GB2312" w:hAnsi="仿宋" w:eastAsia="仿宋_GB2312" w:cs="仿宋"/>
          <w:b w:val="0"/>
          <w:bCs w:val="0"/>
          <w:sz w:val="32"/>
          <w:szCs w:val="32"/>
        </w:rPr>
      </w:pPr>
      <w:r>
        <w:rPr>
          <w:rFonts w:hint="eastAsia" w:ascii="仿宋_GB2312" w:hAnsi="仿宋" w:eastAsia="仿宋_GB2312" w:cs="仿宋"/>
          <w:b w:val="0"/>
          <w:bCs w:val="0"/>
          <w:sz w:val="32"/>
          <w:szCs w:val="32"/>
        </w:rPr>
        <w:t>（二）预算项目绩效评价开展情况</w:t>
      </w:r>
    </w:p>
    <w:p>
      <w:pPr>
        <w:pStyle w:val="3"/>
        <w:keepNext/>
        <w:keepLines/>
        <w:pageBreakBefore w:val="0"/>
        <w:widowControl w:val="0"/>
        <w:kinsoku/>
        <w:wordWrap/>
        <w:overflowPunct/>
        <w:topLinePunct w:val="0"/>
        <w:autoSpaceDE/>
        <w:autoSpaceDN/>
        <w:bidi w:val="0"/>
        <w:adjustRightInd/>
        <w:snapToGrid/>
        <w:spacing w:before="0" w:after="0" w:line="560" w:lineRule="exact"/>
        <w:ind w:firstLine="640" w:firstLineChars="200"/>
        <w:textAlignment w:val="auto"/>
        <w:rPr>
          <w:rFonts w:hint="eastAsia" w:ascii="仿宋_GB2312" w:hAnsi="仿宋" w:eastAsia="仿宋_GB2312" w:cs="仿宋"/>
          <w:b w:val="0"/>
          <w:bCs w:val="0"/>
          <w:sz w:val="32"/>
          <w:szCs w:val="32"/>
        </w:rPr>
      </w:pPr>
      <w:r>
        <w:rPr>
          <w:rFonts w:hint="eastAsia" w:ascii="仿宋_GB2312" w:hAnsi="仿宋" w:eastAsia="仿宋_GB2312" w:cs="仿宋"/>
          <w:b w:val="0"/>
          <w:bCs w:val="0"/>
          <w:sz w:val="32"/>
          <w:szCs w:val="32"/>
        </w:rPr>
        <w:t>根据预算绩效管理要求，本单位组织对2017年度一般公共预算项目支出全面开展绩效自评，</w:t>
      </w:r>
      <w:bookmarkStart w:id="0" w:name="_GoBack"/>
      <w:bookmarkEnd w:id="0"/>
      <w:r>
        <w:rPr>
          <w:rFonts w:hint="eastAsia" w:ascii="仿宋_GB2312" w:hAnsi="仿宋" w:eastAsia="仿宋_GB2312" w:cs="仿宋"/>
          <w:b w:val="0"/>
          <w:bCs w:val="0"/>
          <w:sz w:val="32"/>
          <w:szCs w:val="32"/>
        </w:rPr>
        <w:t>涉及信访维稳项目一个，涉及资金61.8295万元，自评结果为良好。</w:t>
      </w:r>
    </w:p>
    <w:p>
      <w:pPr>
        <w:pStyle w:val="3"/>
        <w:keepNext/>
        <w:keepLines/>
        <w:pageBreakBefore w:val="0"/>
        <w:widowControl w:val="0"/>
        <w:kinsoku/>
        <w:wordWrap/>
        <w:overflowPunct/>
        <w:topLinePunct w:val="0"/>
        <w:autoSpaceDE/>
        <w:autoSpaceDN/>
        <w:bidi w:val="0"/>
        <w:adjustRightInd/>
        <w:snapToGrid/>
        <w:spacing w:before="0" w:after="0" w:line="560" w:lineRule="exact"/>
        <w:ind w:firstLine="640" w:firstLineChars="200"/>
        <w:textAlignment w:val="auto"/>
        <w:rPr>
          <w:rFonts w:hint="eastAsia" w:ascii="仿宋_GB2312" w:hAnsi="仿宋" w:eastAsia="仿宋_GB2312" w:cs="仿宋"/>
          <w:b w:val="0"/>
          <w:bCs w:val="0"/>
          <w:sz w:val="32"/>
          <w:szCs w:val="32"/>
        </w:rPr>
      </w:pPr>
      <w:r>
        <w:rPr>
          <w:rFonts w:hint="eastAsia" w:ascii="仿宋_GB2312" w:hAnsi="仿宋" w:eastAsia="仿宋_GB2312" w:cs="仿宋"/>
          <w:b w:val="0"/>
          <w:bCs w:val="0"/>
          <w:sz w:val="32"/>
          <w:szCs w:val="32"/>
        </w:rPr>
        <w:t>（三）预算项目绩效自评选例</w:t>
      </w:r>
    </w:p>
    <w:p>
      <w:pPr>
        <w:pStyle w:val="3"/>
        <w:keepNext/>
        <w:keepLines/>
        <w:pageBreakBefore w:val="0"/>
        <w:widowControl w:val="0"/>
        <w:kinsoku/>
        <w:wordWrap/>
        <w:overflowPunct/>
        <w:topLinePunct w:val="0"/>
        <w:autoSpaceDE/>
        <w:autoSpaceDN/>
        <w:bidi w:val="0"/>
        <w:adjustRightInd/>
        <w:snapToGrid/>
        <w:spacing w:before="0" w:after="0" w:line="560" w:lineRule="exact"/>
        <w:ind w:firstLine="640" w:firstLineChars="200"/>
        <w:textAlignment w:val="auto"/>
        <w:rPr>
          <w:rFonts w:hint="eastAsia" w:ascii="仿宋_GB2312" w:hAnsi="仿宋" w:eastAsia="仿宋_GB2312" w:cs="仿宋"/>
          <w:b w:val="0"/>
          <w:bCs w:val="0"/>
          <w:sz w:val="32"/>
          <w:szCs w:val="32"/>
        </w:rPr>
      </w:pPr>
      <w:r>
        <w:rPr>
          <w:rFonts w:hint="eastAsia" w:ascii="仿宋_GB2312" w:hAnsi="仿宋" w:eastAsia="仿宋_GB2312" w:cs="仿宋"/>
          <w:b w:val="0"/>
          <w:bCs w:val="0"/>
          <w:sz w:val="32"/>
          <w:szCs w:val="32"/>
        </w:rPr>
        <w:t>    本单位信访稳维项目绩效自评：根据年初设定的绩效目标，信访稳维项目自评结果为良好。项目全年预算数为10万元。完成预算的100%。</w:t>
      </w:r>
    </w:p>
    <w:p>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本部门2017年度机关运行经费支出29.01万元，比2016年度增加5.03万元，增长20.98%。主要原因是差旅费增多。</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本部门2017年度政府采购支出总额0万元，其中：政府采购货物支出0万元、政府采购工程支出0万元、政府采购服务支出0万元。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截至2017年12月31日，本部门共有车辆1辆，其中，市级领导干部用车0辆、一般公务用车1辆、一般执法执勤用车0辆、特种专业技术用车0辆、其他用车0辆，单位价值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万元以上大型设备0台，单位价值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万元以上大型设备0台。</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1、本部门2017年度政府性基金预算财政拨款</w:t>
      </w:r>
      <w:r>
        <w:rPr>
          <w:rFonts w:ascii="仿宋_GB2312" w:eastAsia="仿宋_GB2312" w:cs="DengXian-Regular"/>
          <w:sz w:val="32"/>
          <w:szCs w:val="32"/>
        </w:rPr>
        <w:t>,</w:t>
      </w:r>
      <w:r>
        <w:rPr>
          <w:rFonts w:hint="eastAsia" w:ascii="仿宋_GB2312" w:eastAsia="仿宋_GB2312" w:cs="DengXian-Regular"/>
          <w:sz w:val="32"/>
          <w:szCs w:val="32"/>
        </w:rPr>
        <w:t>国有资本经营预算财政拨款,政府采购无收支及结转结余情况，故政府性基金预算财政拨款收入支出决算表</w:t>
      </w:r>
      <w:r>
        <w:rPr>
          <w:rFonts w:ascii="仿宋_GB2312" w:eastAsia="仿宋_GB2312" w:cs="DengXian-Regular"/>
          <w:sz w:val="32"/>
          <w:szCs w:val="32"/>
        </w:rPr>
        <w:t>,</w:t>
      </w:r>
      <w:r>
        <w:rPr>
          <w:rFonts w:hint="eastAsia" w:ascii="仿宋_GB2312" w:eastAsia="仿宋_GB2312" w:cs="DengXian-Regular"/>
          <w:sz w:val="32"/>
          <w:szCs w:val="32"/>
        </w:rPr>
        <w:t>国有资本经营预算财政拨款收入支出决算表,政府采购情况表以空表列示。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ascii="宋体" w:hAnsi="宋体" w:eastAsia="宋体" w:cs="SimSun,Bold"/>
        </w:rPr>
      </w:pPr>
      <w:r>
        <w:rPr>
          <w:rFonts w:hint="eastAsia" w:ascii="宋体" w:hAnsi="宋体" w:eastAsia="宋体" w:cs="SimSun,Bold"/>
        </w:rPr>
        <w:t>第四部分</w:t>
      </w:r>
      <w:r>
        <w:rPr>
          <w:rFonts w:hint="eastAsia" w:ascii="宋体" w:hAnsi="宋体" w:eastAsia="宋体" w:cs="SimSun,Bold"/>
          <w:bCs w:val="0"/>
        </w:rPr>
        <w:t xml:space="preserve"> </w:t>
      </w:r>
      <w:r>
        <w:rPr>
          <w:rFonts w:hint="eastAsia" w:ascii="宋体" w:hAnsi="宋体" w:eastAsia="宋体" w:cs="SimSun,Bold"/>
        </w:rPr>
        <w:t>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_GBK">
    <w:altName w:val="宋体"/>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auto"/>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062111FB"/>
    <w:rsid w:val="1C2B132F"/>
    <w:rsid w:val="2D442311"/>
    <w:rsid w:val="371D46CB"/>
    <w:rsid w:val="3D55508B"/>
    <w:rsid w:val="75476E8D"/>
    <w:rsid w:val="77CE5CB0"/>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qFormat="1" w:unhideWhenUsed="0" w:uiPriority="0" w:semiHidden="0" w:name="heading 3"/>
    <w:lsdException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2"/>
    <w:uiPriority w:val="0"/>
    <w:pPr>
      <w:keepNext/>
      <w:keepLines/>
      <w:spacing w:before="340" w:after="330" w:line="578" w:lineRule="auto"/>
      <w:outlineLvl w:val="0"/>
    </w:pPr>
    <w:rPr>
      <w:rFonts w:ascii="Times New Roman" w:hAnsi="Times New Roman" w:eastAsia="宋体" w:cs="Times New Roman"/>
      <w:b/>
      <w:bCs/>
      <w:kern w:val="44"/>
      <w:sz w:val="44"/>
      <w:szCs w:val="44"/>
    </w:rPr>
  </w:style>
  <w:style w:type="paragraph" w:styleId="3">
    <w:name w:val="heading 2"/>
    <w:basedOn w:val="1"/>
    <w:next w:val="1"/>
    <w:link w:val="13"/>
    <w:uiPriority w:val="0"/>
    <w:pPr>
      <w:keepNext/>
      <w:keepLines/>
      <w:spacing w:before="260" w:after="260" w:line="416" w:lineRule="auto"/>
      <w:outlineLvl w:val="1"/>
    </w:pPr>
    <w:rPr>
      <w:rFonts w:ascii="Calibri" w:hAnsi="Calibri" w:eastAsia="宋体" w:cs="黑体"/>
      <w:b/>
      <w:bCs/>
      <w:sz w:val="32"/>
      <w:szCs w:val="32"/>
    </w:rPr>
  </w:style>
  <w:style w:type="paragraph" w:styleId="4">
    <w:name w:val="heading 3"/>
    <w:basedOn w:val="1"/>
    <w:next w:val="1"/>
    <w:link w:val="14"/>
    <w:qFormat/>
    <w:uiPriority w:val="0"/>
    <w:pPr>
      <w:keepNext/>
      <w:keepLines/>
      <w:spacing w:before="260" w:after="260" w:line="416" w:lineRule="auto"/>
      <w:outlineLvl w:val="2"/>
    </w:pPr>
    <w:rPr>
      <w:rFonts w:ascii="Times New Roman" w:hAnsi="Times New Roman" w:eastAsia="宋体" w:cs="Times New Roman"/>
      <w:b/>
      <w:bCs/>
      <w:sz w:val="32"/>
      <w:szCs w:val="32"/>
    </w:rPr>
  </w:style>
  <w:style w:type="paragraph" w:styleId="5">
    <w:name w:val="heading 4"/>
    <w:basedOn w:val="1"/>
    <w:next w:val="1"/>
    <w:link w:val="15"/>
    <w:uiPriority w:val="0"/>
    <w:pPr>
      <w:keepNext/>
      <w:keepLines/>
      <w:spacing w:before="280" w:after="290" w:line="376" w:lineRule="auto"/>
      <w:outlineLvl w:val="3"/>
    </w:pPr>
    <w:rPr>
      <w:rFonts w:ascii="Calibri" w:hAnsi="Calibri" w:eastAsia="宋体" w:cs="黑体"/>
      <w:b/>
      <w:bCs/>
      <w:sz w:val="28"/>
      <w:szCs w:val="28"/>
    </w:rPr>
  </w:style>
  <w:style w:type="character" w:default="1" w:styleId="11">
    <w:name w:val="Default Paragraph Font"/>
    <w:uiPriority w:val="0"/>
  </w:style>
  <w:style w:type="table" w:default="1" w:styleId="10">
    <w:name w:val="Normal Table"/>
    <w:semiHidden/>
    <w:qFormat/>
    <w:uiPriority w:val="0"/>
    <w:tblPr>
      <w:tblLayout w:type="fixed"/>
      <w:tblCellMar>
        <w:top w:w="0" w:type="dxa"/>
        <w:left w:w="108" w:type="dxa"/>
        <w:bottom w:w="0" w:type="dxa"/>
        <w:right w:w="108" w:type="dxa"/>
      </w:tblCellMar>
    </w:tblPr>
  </w:style>
  <w:style w:type="paragraph" w:styleId="6">
    <w:name w:val="footer"/>
    <w:basedOn w:val="1"/>
    <w:link w:val="18"/>
    <w:uiPriority w:val="0"/>
    <w:pPr>
      <w:tabs>
        <w:tab w:val="center" w:pos="4153"/>
        <w:tab w:val="right" w:pos="8306"/>
      </w:tabs>
      <w:snapToGrid w:val="0"/>
      <w:jc w:val="left"/>
    </w:pPr>
    <w:rPr>
      <w:sz w:val="18"/>
      <w:szCs w:val="18"/>
    </w:rPr>
  </w:style>
  <w:style w:type="paragraph" w:styleId="7">
    <w:name w:val="header"/>
    <w:basedOn w:val="1"/>
    <w:link w:val="19"/>
    <w:qFormat/>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20"/>
    <w:uiPriority w:val="0"/>
    <w:pPr>
      <w:widowControl/>
      <w:numPr>
        <w:ilvl w:val="0"/>
        <w:numId w:val="0"/>
      </w:numPr>
      <w:spacing w:after="200" w:line="276" w:lineRule="auto"/>
      <w:jc w:val="left"/>
    </w:pPr>
    <w:rPr>
      <w:rFonts w:ascii="Calibri" w:hAnsi="Calibri" w:eastAsia="宋体" w:cs="黑体"/>
      <w:i/>
      <w:iCs/>
      <w:color w:val="F0A22E"/>
      <w:spacing w:val="15"/>
      <w:kern w:val="0"/>
      <w:sz w:val="24"/>
      <w:szCs w:val="24"/>
    </w:rPr>
  </w:style>
  <w:style w:type="paragraph" w:styleId="9">
    <w:name w:val="Title"/>
    <w:basedOn w:val="1"/>
    <w:next w:val="1"/>
    <w:link w:val="21"/>
    <w:uiPriority w:val="0"/>
    <w:pPr>
      <w:widowControl/>
      <w:pBdr>
        <w:bottom w:val="single" w:color="F0A22E" w:sz="8" w:space="4"/>
      </w:pBdr>
      <w:spacing w:after="300"/>
      <w:contextualSpacing/>
      <w:jc w:val="left"/>
    </w:pPr>
    <w:rPr>
      <w:rFonts w:ascii="Calibri" w:hAnsi="Calibri" w:eastAsia="宋体" w:cs="黑体"/>
      <w:color w:val="392B23"/>
      <w:spacing w:val="5"/>
      <w:kern w:val="28"/>
      <w:sz w:val="52"/>
      <w:szCs w:val="52"/>
    </w:rPr>
  </w:style>
  <w:style w:type="character" w:customStyle="1" w:styleId="12">
    <w:name w:val="标题 1 Char"/>
    <w:basedOn w:val="11"/>
    <w:link w:val="2"/>
    <w:semiHidden/>
    <w:uiPriority w:val="0"/>
    <w:rPr>
      <w:rFonts w:ascii="Times New Roman" w:hAnsi="Times New Roman" w:eastAsia="宋体" w:cs="Times New Roman"/>
      <w:b/>
      <w:bCs/>
      <w:kern w:val="44"/>
      <w:sz w:val="44"/>
      <w:szCs w:val="44"/>
    </w:rPr>
  </w:style>
  <w:style w:type="character" w:customStyle="1" w:styleId="13">
    <w:name w:val="标题 2 Char"/>
    <w:basedOn w:val="11"/>
    <w:link w:val="3"/>
    <w:semiHidden/>
    <w:uiPriority w:val="0"/>
    <w:rPr>
      <w:rFonts w:ascii="Calibri" w:hAnsi="Calibri" w:eastAsia="宋体" w:cs="黑体"/>
      <w:b/>
      <w:bCs/>
      <w:sz w:val="32"/>
      <w:szCs w:val="32"/>
    </w:rPr>
  </w:style>
  <w:style w:type="character" w:customStyle="1" w:styleId="14">
    <w:name w:val="标题 3 Char"/>
    <w:basedOn w:val="11"/>
    <w:link w:val="4"/>
    <w:semiHidden/>
    <w:uiPriority w:val="0"/>
    <w:rPr>
      <w:rFonts w:ascii="Times New Roman" w:hAnsi="Times New Roman" w:eastAsia="宋体" w:cs="Times New Roman"/>
      <w:b/>
      <w:bCs/>
      <w:sz w:val="32"/>
      <w:szCs w:val="32"/>
    </w:rPr>
  </w:style>
  <w:style w:type="character" w:customStyle="1" w:styleId="15">
    <w:name w:val="标题 4 Char"/>
    <w:basedOn w:val="11"/>
    <w:link w:val="5"/>
    <w:semiHidden/>
    <w:qFormat/>
    <w:uiPriority w:val="0"/>
    <w:rPr>
      <w:rFonts w:ascii="Calibri" w:hAnsi="Calibri" w:eastAsia="宋体" w:cs="黑体"/>
      <w:b/>
      <w:bCs/>
      <w:sz w:val="28"/>
      <w:szCs w:val="28"/>
    </w:rPr>
  </w:style>
  <w:style w:type="paragraph" w:customStyle="1" w:styleId="16">
    <w:name w:val="批注框文本1"/>
    <w:basedOn w:val="1"/>
    <w:link w:val="17"/>
    <w:qFormat/>
    <w:uiPriority w:val="0"/>
    <w:rPr>
      <w:rFonts w:ascii="Times New Roman" w:hAnsi="Times New Roman" w:eastAsia="宋体" w:cs="Times New Roman"/>
      <w:sz w:val="18"/>
      <w:szCs w:val="18"/>
    </w:rPr>
  </w:style>
  <w:style w:type="character" w:customStyle="1" w:styleId="17">
    <w:name w:val="批注框文本 Char"/>
    <w:basedOn w:val="11"/>
    <w:link w:val="16"/>
    <w:semiHidden/>
    <w:qFormat/>
    <w:uiPriority w:val="0"/>
    <w:rPr>
      <w:rFonts w:ascii="Times New Roman" w:hAnsi="Times New Roman" w:eastAsia="宋体" w:cs="Times New Roman"/>
      <w:sz w:val="18"/>
      <w:szCs w:val="18"/>
    </w:rPr>
  </w:style>
  <w:style w:type="character" w:customStyle="1" w:styleId="18">
    <w:name w:val="页脚 Char"/>
    <w:basedOn w:val="11"/>
    <w:link w:val="6"/>
    <w:semiHidden/>
    <w:qFormat/>
    <w:uiPriority w:val="0"/>
    <w:rPr>
      <w:sz w:val="18"/>
      <w:szCs w:val="18"/>
    </w:rPr>
  </w:style>
  <w:style w:type="character" w:customStyle="1" w:styleId="19">
    <w:name w:val="页眉 Char"/>
    <w:basedOn w:val="11"/>
    <w:link w:val="7"/>
    <w:semiHidden/>
    <w:qFormat/>
    <w:uiPriority w:val="0"/>
    <w:rPr>
      <w:sz w:val="18"/>
      <w:szCs w:val="18"/>
    </w:rPr>
  </w:style>
  <w:style w:type="character" w:customStyle="1" w:styleId="20">
    <w:name w:val="副标题 Char"/>
    <w:basedOn w:val="11"/>
    <w:link w:val="8"/>
    <w:semiHidden/>
    <w:qFormat/>
    <w:uiPriority w:val="0"/>
    <w:rPr>
      <w:rFonts w:ascii="Calibri" w:hAnsi="Calibri" w:eastAsia="宋体" w:cs="黑体"/>
      <w:i/>
      <w:iCs/>
      <w:color w:val="F0A22E"/>
      <w:spacing w:val="15"/>
      <w:kern w:val="0"/>
      <w:sz w:val="24"/>
      <w:szCs w:val="24"/>
    </w:rPr>
  </w:style>
  <w:style w:type="character" w:customStyle="1" w:styleId="21">
    <w:name w:val="标题 Char"/>
    <w:basedOn w:val="11"/>
    <w:link w:val="9"/>
    <w:semiHidden/>
    <w:qFormat/>
    <w:uiPriority w:val="0"/>
    <w:rPr>
      <w:rFonts w:ascii="Calibri" w:hAnsi="Calibri" w:eastAsia="宋体" w:cs="黑体"/>
      <w:color w:val="392B23"/>
      <w:spacing w:val="5"/>
      <w:kern w:val="28"/>
      <w:sz w:val="52"/>
      <w:szCs w:val="52"/>
    </w:rPr>
  </w:style>
  <w:style w:type="paragraph" w:customStyle="1" w:styleId="22">
    <w:name w:val="No Spacing"/>
    <w:link w:val="24"/>
    <w:qFormat/>
    <w:uiPriority w:val="0"/>
    <w:rPr>
      <w:rFonts w:ascii="Times New Roman" w:hAnsi="Times New Roman" w:eastAsia="宋体" w:cs="Times New Roman"/>
      <w:kern w:val="0"/>
      <w:sz w:val="22"/>
      <w:lang w:val="en-US" w:eastAsia="zh-CN" w:bidi="ar-SA"/>
    </w:rPr>
  </w:style>
  <w:style w:type="paragraph" w:customStyle="1" w:styleId="23">
    <w:name w:val="Normal (Web)"/>
    <w:basedOn w:val="1"/>
    <w:qFormat/>
    <w:uiPriority w:val="0"/>
    <w:pPr>
      <w:widowControl/>
      <w:spacing w:before="100" w:beforeAutospacing="1" w:after="100" w:afterAutospacing="1" w:line="240" w:lineRule="auto"/>
      <w:jc w:val="left"/>
    </w:pPr>
    <w:rPr>
      <w:rFonts w:ascii="宋体" w:hAnsi="宋体" w:cs="宋体"/>
      <w:kern w:val="0"/>
      <w:sz w:val="24"/>
    </w:rPr>
  </w:style>
  <w:style w:type="character" w:customStyle="1" w:styleId="24">
    <w:name w:val="无间隔 Char"/>
    <w:basedOn w:val="11"/>
    <w:link w:val="22"/>
    <w:semiHidden/>
    <w:qFormat/>
    <w:uiPriority w:val="0"/>
    <w:rPr>
      <w:kern w:val="0"/>
      <w:sz w:val="22"/>
    </w:rPr>
  </w:style>
  <w:style w:type="character" w:customStyle="1" w:styleId="25">
    <w:name w:val="Style1"/>
    <w:basedOn w:val="11"/>
    <w:qFormat/>
    <w:uiPriority w:val="0"/>
    <w:rPr>
      <w:rFonts w:ascii="Cambria" w:hAnsi="黑体" w:eastAsia="黑体" w:cs="黑体"/>
      <w:sz w:val="22"/>
      <w:szCs w:val="22"/>
      <w:lang w:eastAsia="zh-CN"/>
    </w:rPr>
  </w:style>
  <w:style w:type="character" w:customStyle="1" w:styleId="26">
    <w:name w:val="Style2"/>
    <w:basedOn w:val="11"/>
    <w:qFormat/>
    <w:uiPriority w:val="0"/>
    <w:rPr>
      <w:rFonts w:ascii="Cambria" w:hAnsi="黑体" w:eastAsia="黑体" w:cs="黑体"/>
      <w:sz w:val="22"/>
      <w:szCs w:val="22"/>
      <w:lang w:eastAsia="zh-CN"/>
    </w:rPr>
  </w:style>
  <w:style w:type="character" w:customStyle="1" w:styleId="27">
    <w:name w:val="Style3"/>
    <w:basedOn w:val="11"/>
    <w:qFormat/>
    <w:uiPriority w:val="0"/>
    <w:rPr>
      <w:rFonts w:ascii="Cambria" w:hAnsi="黑体" w:eastAsia="黑体" w:cs="黑体"/>
      <w:szCs w:val="22"/>
      <w:lang w:eastAsia="zh-CN"/>
    </w:rPr>
  </w:style>
  <w:style w:type="character" w:customStyle="1" w:styleId="28">
    <w:name w:val="Style4"/>
    <w:basedOn w:val="11"/>
    <w:qFormat/>
    <w:uiPriority w:val="0"/>
    <w:rPr>
      <w:rFonts w:ascii="Cambria" w:hAnsi="黑体" w:eastAsia="黑体" w:cs="黑体"/>
      <w:szCs w:val="22"/>
      <w:lang w:eastAsia="zh-CN"/>
    </w:rPr>
  </w:style>
  <w:style w:type="character" w:customStyle="1" w:styleId="29">
    <w:name w:val="Style5"/>
    <w:basedOn w:val="11"/>
    <w:qFormat/>
    <w:uiPriority w:val="0"/>
    <w:rPr>
      <w:rFonts w:ascii="Cambria" w:hAnsi="黑体" w:eastAsia="黑体" w:cs="黑体"/>
      <w:sz w:val="22"/>
      <w:szCs w:val="22"/>
      <w:lang w:eastAsia="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14</Pages>
  <Words>649</Words>
  <Characters>3704</Characters>
  <Lines>30</Lines>
  <Paragraphs>8</Paragraphs>
  <TotalTime>0</TotalTime>
  <ScaleCrop>false</ScaleCrop>
  <LinksUpToDate>false</LinksUpToDate>
  <CharactersWithSpaces>0</CharactersWithSpaces>
  <Application>WPS Office_11.1.0.8415_F1E327BC-269C-435d-A152-05C5408002CA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2018-09-11T09:51:00Z</dcterms:created>
  <dc:creator>User</dc:creator>
  <cp:lastModifiedBy>123</cp:lastModifiedBy>
  <dcterms:modified xsi:type="dcterms:W3CDTF">2019-02-14T06:54:37Z</dcterms:modified>
  <dc:subject>石家庄市xxx部门</dc:subject>
  <dc:title>2017年度部门决算</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2052-11.1.0.8415</vt:lpwstr>
  </property>
</Properties>
</file>