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Default ContentType="image/png" Extension="png"/>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sz w:val="72"/>
          <w:szCs w:val="72"/>
        </w:rPr>
      </w:pPr>
    </w:p>
    <w:p>
      <w:pPr>
        <w:widowControl/>
        <w:jc w:val="center"/>
        <w:rPr>
          <w:rFonts w:ascii="黑体" w:hAnsi="宋体" w:eastAsia="黑体"/>
          <w:color w:val="002060"/>
          <w:sz w:val="84"/>
          <w:szCs w:val="84"/>
        </w:rPr>
      </w:pPr>
      <w:r>
        <w:rPr>
          <w:rFonts w:hint="eastAsia" w:ascii="黑体" w:hAnsi="宋体" w:eastAsia="黑体"/>
          <w:color w:val="002060"/>
          <w:sz w:val="84"/>
          <w:szCs w:val="84"/>
        </w:rPr>
        <w:t>2017年度部门决算公开</w:t>
      </w: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宋体" w:hAnsi="宋体"/>
          <w:b/>
          <w:sz w:val="44"/>
          <w:szCs w:val="44"/>
        </w:rPr>
      </w:pPr>
      <w:r>
        <w:rPr>
          <w:rFonts w:hint="eastAsia" w:ascii="宋体" w:hAnsi="宋体"/>
          <w:b/>
          <w:sz w:val="44"/>
          <w:szCs w:val="44"/>
        </w:rPr>
        <w:t>石家庄市无极县安全生产监督管理局</w:t>
      </w:r>
    </w:p>
    <w:p>
      <w:pPr>
        <w:widowControl/>
        <w:jc w:val="center"/>
        <w:rPr>
          <w:rFonts w:ascii="宋体" w:hAnsi="宋体"/>
          <w:b/>
          <w:sz w:val="44"/>
          <w:szCs w:val="44"/>
        </w:rPr>
      </w:pPr>
      <w:r>
        <w:rPr>
          <w:rFonts w:hint="eastAsia" w:ascii="宋体" w:hAnsi="宋体"/>
          <w:b/>
          <w:sz w:val="44"/>
          <w:szCs w:val="44"/>
        </w:rPr>
        <w:t>2018年9月18日</w:t>
      </w:r>
    </w:p>
    <w:p>
      <w:pPr>
        <w:widowControl/>
        <w:spacing w:line="580" w:lineRule="exact"/>
        <w:jc w:val="center"/>
        <w:rPr>
          <w:rFonts w:eastAsia="方正小标宋_GBK"/>
          <w:sz w:val="44"/>
          <w:szCs w:val="44"/>
        </w:rPr>
      </w:pPr>
    </w:p>
    <w:p>
      <w:pPr>
        <w:widowControl/>
        <w:spacing w:line="580" w:lineRule="exact"/>
        <w:jc w:val="center"/>
        <w:rPr>
          <w:rFonts w:ascii="黑体" w:eastAsia="黑体"/>
          <w:sz w:val="44"/>
          <w:szCs w:val="44"/>
        </w:rPr>
      </w:pPr>
      <w:r>
        <w:rPr>
          <w:rFonts w:hint="eastAsia" w:ascii="黑体" w:eastAsia="黑体"/>
          <w:sz w:val="44"/>
          <w:szCs w:val="44"/>
        </w:rPr>
        <w:t>部门决算公开目录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 xml:space="preserve">第一部分  </w:t>
      </w:r>
      <w:r>
        <w:rPr>
          <w:rFonts w:hint="eastAsia" w:eastAsia="黑体"/>
          <w:sz w:val="32"/>
          <w:szCs w:val="32"/>
        </w:rPr>
        <w:t>无极县安全生产监督管理局</w:t>
      </w:r>
      <w:r>
        <w:rPr>
          <w:rFonts w:eastAsia="黑体"/>
          <w:sz w:val="32"/>
          <w:szCs w:val="32"/>
        </w:rPr>
        <w:t>概况</w:t>
      </w:r>
    </w:p>
    <w:p>
      <w:pPr>
        <w:widowControl/>
        <w:spacing w:line="580" w:lineRule="exact"/>
        <w:ind w:firstLine="1274"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4" w:firstLineChars="398"/>
        <w:rPr>
          <w:rFonts w:eastAsia="仿宋_GB2312"/>
          <w:sz w:val="32"/>
          <w:szCs w:val="32"/>
        </w:rPr>
      </w:pPr>
      <w:r>
        <w:rPr>
          <w:rFonts w:eastAsia="仿宋_GB2312"/>
          <w:sz w:val="32"/>
          <w:szCs w:val="32"/>
        </w:rPr>
        <w:t>二、部门决算单位构成</w:t>
      </w:r>
    </w:p>
    <w:p>
      <w:pPr>
        <w:widowControl/>
        <w:spacing w:line="580" w:lineRule="exact"/>
        <w:ind w:firstLine="640" w:firstLineChars="200"/>
        <w:rPr>
          <w:rFonts w:eastAsia="仿宋_GB2312"/>
          <w:sz w:val="20"/>
          <w:szCs w:val="32"/>
        </w:rPr>
      </w:pPr>
      <w:r>
        <w:rPr>
          <w:rFonts w:eastAsia="黑体"/>
          <w:sz w:val="32"/>
          <w:szCs w:val="32"/>
        </w:rPr>
        <w:t xml:space="preserve">第二部分  </w:t>
      </w:r>
      <w:r>
        <w:rPr>
          <w:rFonts w:hint="eastAsia" w:eastAsia="黑体"/>
          <w:sz w:val="32"/>
          <w:szCs w:val="32"/>
        </w:rPr>
        <w:t>无极县安全生产监督管理局</w:t>
      </w:r>
      <w:r>
        <w:rPr>
          <w:rFonts w:eastAsia="黑体"/>
          <w:sz w:val="32"/>
          <w:szCs w:val="32"/>
        </w:rPr>
        <w:t>2017年度部门决算报表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六、一般公共预算财政拨款基本支出决算经济分类表</w:t>
      </w:r>
    </w:p>
    <w:p>
      <w:pPr>
        <w:widowControl/>
        <w:spacing w:line="580" w:lineRule="exact"/>
        <w:ind w:left="640" w:firstLine="640" w:firstLineChars="200"/>
        <w:rPr>
          <w:rFonts w:eastAsia="仿宋_GB2312"/>
          <w:sz w:val="32"/>
          <w:szCs w:val="32"/>
        </w:rPr>
      </w:pPr>
      <w:r>
        <w:rPr>
          <w:rFonts w:eastAsia="仿宋_GB2312"/>
          <w:sz w:val="32"/>
          <w:szCs w:val="32"/>
        </w:rPr>
        <w:t>七、政府性基金预算财政拨款收入支出决算表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八、国有资本经营预算财政拨款收入支出决算表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九、“三公”经费等相关信息统计表</w:t>
      </w:r>
    </w:p>
    <w:p>
      <w:pPr>
        <w:widowControl/>
        <w:spacing w:line="580" w:lineRule="exact"/>
        <w:ind w:left="640" w:firstLine="640" w:firstLineChars="200"/>
        <w:rPr>
          <w:rFonts w:eastAsia="仿宋_GB2312"/>
          <w:sz w:val="32"/>
          <w:szCs w:val="32"/>
        </w:rPr>
      </w:pPr>
      <w:r>
        <w:rPr>
          <w:rFonts w:eastAsia="仿宋_GB2312"/>
          <w:sz w:val="32"/>
          <w:szCs w:val="32"/>
        </w:rPr>
        <w:t>十、政府采购情况表</w:t>
      </w: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无极县安全生产监督管理局</w:t>
      </w:r>
      <w:r>
        <w:rPr>
          <w:rFonts w:eastAsia="黑体"/>
          <w:sz w:val="32"/>
          <w:szCs w:val="32"/>
        </w:rPr>
        <w:t>2017年部门决算情况说明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五、“三公”经费支出决算情况说明</w:t>
      </w:r>
    </w:p>
    <w:p>
      <w:pPr>
        <w:widowControl/>
        <w:spacing w:line="580" w:lineRule="exact"/>
        <w:ind w:left="640" w:firstLine="640" w:firstLineChars="200"/>
        <w:rPr>
          <w:rFonts w:eastAsia="仿宋_GB2312"/>
          <w:sz w:val="32"/>
          <w:szCs w:val="32"/>
        </w:rPr>
      </w:pPr>
      <w:r>
        <w:rPr>
          <w:rFonts w:eastAsia="仿宋_GB2312"/>
          <w:sz w:val="32"/>
          <w:szCs w:val="32"/>
        </w:rPr>
        <w:t>六、预算绩效管理工作开展情况说明</w:t>
      </w:r>
    </w:p>
    <w:p>
      <w:pPr>
        <w:widowControl/>
        <w:spacing w:line="580" w:lineRule="exact"/>
        <w:ind w:left="640" w:firstLine="640" w:firstLineChars="200"/>
        <w:rPr>
          <w:rFonts w:eastAsia="仿宋_GB2312"/>
          <w:sz w:val="32"/>
          <w:szCs w:val="32"/>
        </w:rPr>
      </w:pPr>
      <w:r>
        <w:rPr>
          <w:rFonts w:eastAsia="仿宋_GB2312"/>
          <w:sz w:val="32"/>
          <w:szCs w:val="32"/>
        </w:rPr>
        <w:t>七、其他重要事项的说明</w:t>
      </w:r>
    </w:p>
    <w:p>
      <w:pPr>
        <w:widowControl/>
        <w:spacing w:line="580" w:lineRule="exact"/>
        <w:ind w:left="640" w:firstLine="1344" w:firstLineChars="420"/>
        <w:rPr>
          <w:rFonts w:eastAsia="仿宋_GB2312"/>
          <w:sz w:val="32"/>
          <w:szCs w:val="32"/>
        </w:rPr>
      </w:pPr>
      <w:r>
        <w:rPr>
          <w:rFonts w:eastAsia="仿宋_GB2312"/>
          <w:sz w:val="32"/>
          <w:szCs w:val="32"/>
        </w:rPr>
        <w:t>1.机关运行经费情况</w:t>
      </w:r>
    </w:p>
    <w:p>
      <w:pPr>
        <w:widowControl/>
        <w:spacing w:line="580" w:lineRule="exact"/>
        <w:ind w:left="640" w:firstLine="1344" w:firstLineChars="420"/>
        <w:rPr>
          <w:rFonts w:eastAsia="仿宋_GB2312"/>
          <w:sz w:val="32"/>
          <w:szCs w:val="32"/>
        </w:rPr>
      </w:pPr>
      <w:r>
        <w:rPr>
          <w:rFonts w:eastAsia="仿宋_GB2312"/>
          <w:sz w:val="32"/>
          <w:szCs w:val="32"/>
        </w:rPr>
        <w:t>2.政府采购情况</w:t>
      </w:r>
    </w:p>
    <w:p>
      <w:pPr>
        <w:widowControl/>
        <w:spacing w:line="580" w:lineRule="exact"/>
        <w:ind w:left="640" w:firstLine="1344" w:firstLineChars="420"/>
        <w:rPr>
          <w:rFonts w:eastAsia="仿宋_GB2312"/>
          <w:sz w:val="32"/>
          <w:szCs w:val="32"/>
        </w:rPr>
      </w:pPr>
      <w:r>
        <w:rPr>
          <w:rFonts w:eastAsia="仿宋_GB2312"/>
          <w:sz w:val="32"/>
          <w:szCs w:val="32"/>
        </w:rPr>
        <w:t>3.国有资产占用情况</w:t>
      </w:r>
    </w:p>
    <w:p>
      <w:pPr>
        <w:widowControl/>
        <w:spacing w:line="580" w:lineRule="exact"/>
        <w:ind w:left="640" w:firstLine="1344" w:firstLineChars="420"/>
        <w:rPr>
          <w:rFonts w:eastAsia="仿宋_GB2312"/>
          <w:sz w:val="32"/>
          <w:szCs w:val="32"/>
        </w:rPr>
      </w:pPr>
      <w:r>
        <w:rPr>
          <w:rFonts w:eastAsia="仿宋_GB2312"/>
          <w:sz w:val="32"/>
          <w:szCs w:val="32"/>
        </w:rPr>
        <w:t>4.其他需要说明的情况</w:t>
      </w:r>
    </w:p>
    <w:p>
      <w:pPr>
        <w:widowControl/>
        <w:spacing w:line="580" w:lineRule="exact"/>
        <w:ind w:firstLine="640" w:firstLineChars="200"/>
        <w:rPr>
          <w:rFonts w:eastAsia="黑体"/>
          <w:sz w:val="32"/>
          <w:szCs w:val="32"/>
        </w:rPr>
      </w:pPr>
      <w:r>
        <w:rPr>
          <w:rFonts w:eastAsia="黑体"/>
          <w:sz w:val="32"/>
          <w:szCs w:val="32"/>
        </w:rPr>
        <w:t>第四部分  名词解释</w:t>
      </w:r>
    </w:p>
    <w:p/>
    <w:p/>
    <w:p/>
    <w:p/>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第一部分 部门概况</w:t>
      </w:r>
    </w:p>
    <w:p>
      <w:pPr>
        <w:pStyle w:val="5"/>
        <w:spacing w:before="0" w:after="0" w:line="560" w:lineRule="exact"/>
        <w:ind w:firstLine="643" w:firstLineChars="200"/>
        <w:rPr>
          <w:rFonts w:ascii="黑体" w:hAnsi="Cambria" w:eastAsia="黑体"/>
          <w:kern w:val="0"/>
        </w:rPr>
      </w:pPr>
      <w:r>
        <w:rPr>
          <w:rFonts w:hint="eastAsia" w:ascii="黑体" w:hAnsi="Cambria" w:eastAsia="黑体"/>
          <w:kern w:val="0"/>
        </w:rPr>
        <w:t>一、部门职责</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对本县行政区域内安全生产工作实施综合监督管理、指导、协调和监督政府有关部门及乡镇履行安全生产监督和管理职责，分析、预测安全生产形势，拟定安全生产工作规划，依法履行安全生产综合监督管理职责。</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2、研究起草安全生产方面的规章制度草案，制定相关政策并组织实施；负责安全生产重大问题的调查研究，并提出对策和建议。</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3、负责统计安全生产事故，发布安全生产信息；依法组织调查处理安全生产事故，提出安全生产责任追究意见并监督事故查处的落实情况；组织、协调安全生产事故应急救援工作。</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4、依法监督检查新建、改建、扩建工程项目的安全设施与主体工程同时设计、同时施工、同时投产使用情况。</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5、依法监督检查生产经营单位贯彻执行安全生产方面法律、法规情况，作业场所职业卫生情况和重大危险源监控、重大事故隐患的整改工作，及其安全生产条件和有关设备设施（特种设备除外）、劳动防护用品的安全生产管理工作，依法查处不具备安全生产条件的生产经营单位。</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6、负责从事安全生产评价、咨询、检测、检验等社会中介组织的资质管理，并进行监督检查。</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7、负责组织安全生产宣传教育、依法负责安全生产方面的培训、考核工作。</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8、负责综合监督管理危险化学品和烟花爆竹的安全生产工作。</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9、负责县安全生产委员会办公室日常工作。</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10、承办县政府交办的其他事项。</w:t>
      </w:r>
    </w:p>
    <w:p>
      <w:pPr>
        <w:wordWrap w:val="0"/>
        <w:spacing w:after="240" w:line="680" w:lineRule="exact"/>
        <w:ind w:left="1" w:firstLine="509" w:firstLineChars="159"/>
        <w:rPr>
          <w:rFonts w:ascii="仿宋" w:hAnsi="仿宋" w:eastAsia="仿宋" w:cs="仿宋"/>
          <w:sz w:val="32"/>
          <w:szCs w:val="32"/>
        </w:rPr>
      </w:pPr>
    </w:p>
    <w:p>
      <w:pPr>
        <w:pStyle w:val="5"/>
        <w:spacing w:before="0" w:after="0" w:line="560" w:lineRule="exact"/>
        <w:ind w:firstLine="643" w:firstLineChars="200"/>
        <w:rPr>
          <w:rFonts w:ascii="黑体" w:hAnsi="Cambria" w:eastAsia="黑体"/>
          <w:kern w:val="0"/>
        </w:rPr>
      </w:pPr>
      <w:r>
        <w:rPr>
          <w:rFonts w:hint="eastAsia" w:ascii="黑体" w:hAnsi="Cambria" w:eastAsia="黑体"/>
          <w:kern w:val="0"/>
        </w:rPr>
        <w:t>二、部门决算单位构成</w:t>
      </w:r>
    </w:p>
    <w:p>
      <w:pPr>
        <w:autoSpaceDE w:val="0"/>
        <w:autoSpaceDN w:val="0"/>
        <w:adjustRightInd w:val="0"/>
        <w:spacing w:after="0" w:line="560" w:lineRule="exact"/>
        <w:ind w:firstLine="640" w:firstLineChars="200"/>
        <w:jc w:val="left"/>
        <w:sectPr>
          <w:pgSz w:w="11906" w:h="16838"/>
          <w:pgMar w:top="2098" w:right="1474" w:bottom="1985" w:left="1588" w:header="851" w:footer="992" w:gutter="0"/>
          <w:pgNumType w:start="0"/>
          <w:cols w:space="720" w:num="1"/>
          <w:titlePg/>
          <w:docGrid w:type="lines" w:linePitch="312"/>
        </w:sectPr>
      </w:pPr>
      <w:r>
        <w:rPr>
          <w:rFonts w:hint="eastAsia" w:ascii="仿宋_GB2312" w:hAnsi="Cambria" w:eastAsia="仿宋_GB2312" w:cs="ArialUnicodeMS"/>
          <w:kern w:val="0"/>
          <w:sz w:val="32"/>
          <w:szCs w:val="32"/>
        </w:rPr>
        <w:t>2017 年度，纳入本部门决算汇编范围的独立核算单位（以下简称“单位”）共 1 个，是无极县安全生产监督管理局 ，单位基本性质为行政单位，预算管理级次为县级预算单位，执行行政单位会计制度，较上年无增减变化。</w:t>
      </w:r>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第二部分 2017年度部门决算报表</w:t>
      </w:r>
    </w:p>
    <w:p>
      <w:pPr>
        <w:autoSpaceDE w:val="0"/>
        <w:autoSpaceDN w:val="0"/>
        <w:adjustRightInd w:val="0"/>
        <w:spacing w:line="560" w:lineRule="exact"/>
        <w:jc w:val="center"/>
        <w:rPr>
          <w:rFonts w:ascii="宋体" w:hAnsi="宋体" w:cs="黑体"/>
          <w:b/>
          <w:kern w:val="0"/>
          <w:sz w:val="44"/>
          <w:szCs w:val="44"/>
        </w:rPr>
      </w:pPr>
      <w:r>
        <w:rPr>
          <w:rFonts w:hint="eastAsia" w:ascii="宋体" w:hAnsi="宋体" w:cs="黑体"/>
          <w:b/>
          <w:kern w:val="0"/>
          <w:sz w:val="44"/>
          <w:szCs w:val="44"/>
        </w:rPr>
        <w:t>（详见附件）</w:t>
      </w:r>
    </w:p>
    <w:p>
      <w:pPr>
        <w:numPr>
          <w:ilvl w:val="0"/>
          <w:numId w:val="1"/>
        </w:numPr>
        <w:autoSpaceDE w:val="0"/>
        <w:autoSpaceDN w:val="0"/>
        <w:adjustRightInd w:val="0"/>
        <w:spacing w:line="560" w:lineRule="exact"/>
        <w:jc w:val="left"/>
        <w:rPr>
          <w:rFonts w:ascii="仿宋_GB2312" w:hAnsi="仿宋_GB2312" w:eastAsia="仿宋_GB2312" w:cs="仿宋_GB2312"/>
          <w:bCs/>
          <w:kern w:val="0"/>
          <w:sz w:val="32"/>
          <w:szCs w:val="32"/>
        </w:rPr>
      </w:pPr>
      <w:r>
        <w:rPr>
          <w:rFonts w:hint="eastAsia" w:ascii="仿宋_GB2312" w:hAnsi="仿宋_GB2312" w:eastAsia="仿宋_GB2312" w:cs="仿宋_GB2312"/>
          <w:bCs/>
          <w:kern w:val="0"/>
          <w:sz w:val="32"/>
          <w:szCs w:val="32"/>
        </w:rPr>
        <w:t>收入支出决算总表</w:t>
      </w:r>
    </w:p>
    <w:p>
      <w:pPr>
        <w:numPr>
          <w:ilvl w:val="0"/>
          <w:numId w:val="1"/>
        </w:numPr>
        <w:autoSpaceDE w:val="0"/>
        <w:autoSpaceDN w:val="0"/>
        <w:adjustRightInd w:val="0"/>
        <w:spacing w:line="560" w:lineRule="exact"/>
        <w:jc w:val="left"/>
        <w:rPr>
          <w:rFonts w:ascii="仿宋_GB2312" w:hAnsi="仿宋_GB2312" w:eastAsia="仿宋_GB2312" w:cs="仿宋_GB2312"/>
          <w:bCs/>
          <w:kern w:val="0"/>
          <w:sz w:val="32"/>
          <w:szCs w:val="32"/>
        </w:rPr>
      </w:pPr>
      <w:r>
        <w:rPr>
          <w:rFonts w:hint="eastAsia" w:ascii="仿宋_GB2312" w:hAnsi="仿宋_GB2312" w:eastAsia="仿宋_GB2312" w:cs="仿宋_GB2312"/>
          <w:bCs/>
          <w:kern w:val="0"/>
          <w:sz w:val="32"/>
          <w:szCs w:val="32"/>
        </w:rPr>
        <w:t>收入决算表</w:t>
      </w:r>
    </w:p>
    <w:p>
      <w:pPr>
        <w:numPr>
          <w:ilvl w:val="0"/>
          <w:numId w:val="1"/>
        </w:numPr>
        <w:autoSpaceDE w:val="0"/>
        <w:autoSpaceDN w:val="0"/>
        <w:adjustRightInd w:val="0"/>
        <w:spacing w:line="560" w:lineRule="exact"/>
        <w:jc w:val="left"/>
        <w:rPr>
          <w:rFonts w:ascii="仿宋_GB2312" w:hAnsi="仿宋_GB2312" w:eastAsia="仿宋_GB2312" w:cs="仿宋_GB2312"/>
          <w:bCs/>
          <w:kern w:val="0"/>
          <w:sz w:val="32"/>
          <w:szCs w:val="32"/>
        </w:rPr>
      </w:pPr>
      <w:r>
        <w:rPr>
          <w:rFonts w:hint="eastAsia" w:ascii="仿宋_GB2312" w:hAnsi="仿宋_GB2312" w:eastAsia="仿宋_GB2312" w:cs="仿宋_GB2312"/>
          <w:bCs/>
          <w:kern w:val="0"/>
          <w:sz w:val="32"/>
          <w:szCs w:val="32"/>
        </w:rPr>
        <w:t>支出决算表</w:t>
      </w:r>
    </w:p>
    <w:p>
      <w:pPr>
        <w:numPr>
          <w:ilvl w:val="0"/>
          <w:numId w:val="1"/>
        </w:numPr>
        <w:autoSpaceDE w:val="0"/>
        <w:autoSpaceDN w:val="0"/>
        <w:adjustRightInd w:val="0"/>
        <w:spacing w:line="560" w:lineRule="exact"/>
        <w:jc w:val="left"/>
        <w:rPr>
          <w:rFonts w:ascii="仿宋_GB2312" w:hAnsi="仿宋_GB2312" w:eastAsia="仿宋_GB2312" w:cs="仿宋_GB2312"/>
          <w:bCs/>
          <w:kern w:val="0"/>
          <w:sz w:val="32"/>
          <w:szCs w:val="32"/>
        </w:rPr>
      </w:pPr>
      <w:r>
        <w:rPr>
          <w:rFonts w:hint="eastAsia" w:ascii="仿宋_GB2312" w:hAnsi="仿宋_GB2312" w:eastAsia="仿宋_GB2312" w:cs="仿宋_GB2312"/>
          <w:bCs/>
          <w:kern w:val="0"/>
          <w:sz w:val="32"/>
          <w:szCs w:val="32"/>
        </w:rPr>
        <w:t>财政拨款收入支出决算总表</w:t>
      </w:r>
    </w:p>
    <w:p>
      <w:pPr>
        <w:numPr>
          <w:ilvl w:val="0"/>
          <w:numId w:val="1"/>
        </w:numPr>
        <w:autoSpaceDE w:val="0"/>
        <w:autoSpaceDN w:val="0"/>
        <w:adjustRightInd w:val="0"/>
        <w:spacing w:line="560" w:lineRule="exact"/>
        <w:jc w:val="left"/>
        <w:rPr>
          <w:rFonts w:ascii="仿宋_GB2312" w:hAnsi="仿宋_GB2312" w:eastAsia="仿宋_GB2312" w:cs="仿宋_GB2312"/>
          <w:bCs/>
          <w:kern w:val="0"/>
          <w:sz w:val="32"/>
          <w:szCs w:val="32"/>
        </w:rPr>
      </w:pPr>
      <w:r>
        <w:rPr>
          <w:rFonts w:hint="eastAsia" w:ascii="仿宋_GB2312" w:hAnsi="仿宋_GB2312" w:eastAsia="仿宋_GB2312" w:cs="仿宋_GB2312"/>
          <w:bCs/>
          <w:kern w:val="0"/>
          <w:sz w:val="32"/>
          <w:szCs w:val="32"/>
        </w:rPr>
        <w:t>一般公共预算财政拨款收入支出决算表</w:t>
      </w:r>
    </w:p>
    <w:p>
      <w:pPr>
        <w:numPr>
          <w:ilvl w:val="0"/>
          <w:numId w:val="1"/>
        </w:numPr>
        <w:autoSpaceDE w:val="0"/>
        <w:autoSpaceDN w:val="0"/>
        <w:adjustRightInd w:val="0"/>
        <w:spacing w:line="560" w:lineRule="exact"/>
        <w:jc w:val="left"/>
        <w:rPr>
          <w:rFonts w:ascii="仿宋_GB2312" w:hAnsi="仿宋_GB2312" w:eastAsia="仿宋_GB2312" w:cs="仿宋_GB2312"/>
          <w:bCs/>
          <w:kern w:val="0"/>
          <w:sz w:val="32"/>
          <w:szCs w:val="32"/>
        </w:rPr>
      </w:pPr>
      <w:r>
        <w:rPr>
          <w:rFonts w:hint="eastAsia" w:ascii="仿宋_GB2312" w:hAnsi="仿宋_GB2312" w:eastAsia="仿宋_GB2312" w:cs="仿宋_GB2312"/>
          <w:bCs/>
          <w:kern w:val="0"/>
          <w:sz w:val="32"/>
          <w:szCs w:val="32"/>
        </w:rPr>
        <w:t>一般公共预算财政拨款基本支出决算表</w:t>
      </w:r>
    </w:p>
    <w:p>
      <w:pPr>
        <w:numPr>
          <w:ilvl w:val="0"/>
          <w:numId w:val="1"/>
        </w:numPr>
        <w:autoSpaceDE w:val="0"/>
        <w:autoSpaceDN w:val="0"/>
        <w:adjustRightInd w:val="0"/>
        <w:spacing w:line="560" w:lineRule="exact"/>
        <w:jc w:val="left"/>
        <w:rPr>
          <w:rFonts w:ascii="仿宋_GB2312" w:hAnsi="仿宋_GB2312" w:eastAsia="仿宋_GB2312" w:cs="仿宋_GB2312"/>
          <w:bCs/>
          <w:kern w:val="0"/>
          <w:sz w:val="32"/>
          <w:szCs w:val="32"/>
        </w:rPr>
      </w:pPr>
      <w:r>
        <w:rPr>
          <w:rFonts w:hint="eastAsia" w:ascii="仿宋_GB2312" w:hAnsi="仿宋_GB2312" w:eastAsia="仿宋_GB2312" w:cs="仿宋_GB2312"/>
          <w:bCs/>
          <w:kern w:val="0"/>
          <w:sz w:val="32"/>
          <w:szCs w:val="32"/>
        </w:rPr>
        <w:t>政府性基金预算财政拨款收入支出决算表</w:t>
      </w:r>
    </w:p>
    <w:p>
      <w:pPr>
        <w:numPr>
          <w:ilvl w:val="0"/>
          <w:numId w:val="1"/>
        </w:numPr>
        <w:autoSpaceDE w:val="0"/>
        <w:autoSpaceDN w:val="0"/>
        <w:adjustRightInd w:val="0"/>
        <w:spacing w:line="560" w:lineRule="exact"/>
        <w:jc w:val="left"/>
        <w:rPr>
          <w:rFonts w:ascii="仿宋_GB2312" w:hAnsi="仿宋_GB2312" w:eastAsia="仿宋_GB2312" w:cs="仿宋_GB2312"/>
          <w:bCs/>
          <w:kern w:val="0"/>
          <w:sz w:val="32"/>
          <w:szCs w:val="32"/>
        </w:rPr>
      </w:pPr>
      <w:r>
        <w:rPr>
          <w:rFonts w:hint="eastAsia" w:ascii="仿宋_GB2312" w:hAnsi="仿宋_GB2312" w:eastAsia="仿宋_GB2312" w:cs="仿宋_GB2312"/>
          <w:bCs/>
          <w:kern w:val="0"/>
          <w:sz w:val="32"/>
          <w:szCs w:val="32"/>
        </w:rPr>
        <w:t>国有资本经营预算财政拨款收入支出决算表</w:t>
      </w:r>
    </w:p>
    <w:p>
      <w:pPr>
        <w:numPr>
          <w:ilvl w:val="0"/>
          <w:numId w:val="1"/>
        </w:numPr>
        <w:autoSpaceDE w:val="0"/>
        <w:autoSpaceDN w:val="0"/>
        <w:adjustRightInd w:val="0"/>
        <w:spacing w:line="560" w:lineRule="exact"/>
        <w:jc w:val="left"/>
        <w:rPr>
          <w:rFonts w:ascii="仿宋_GB2312" w:hAnsi="仿宋_GB2312" w:eastAsia="仿宋_GB2312" w:cs="仿宋_GB2312"/>
          <w:bCs/>
          <w:kern w:val="0"/>
          <w:sz w:val="32"/>
          <w:szCs w:val="32"/>
        </w:rPr>
      </w:pPr>
      <w:r>
        <w:rPr>
          <w:rFonts w:hint="eastAsia" w:ascii="仿宋_GB2312" w:hAnsi="仿宋_GB2312" w:eastAsia="仿宋_GB2312" w:cs="仿宋_GB2312"/>
          <w:bCs/>
          <w:kern w:val="0"/>
          <w:sz w:val="32"/>
          <w:szCs w:val="32"/>
        </w:rPr>
        <w:t>“三公”经费及相关信息统计表</w:t>
      </w:r>
    </w:p>
    <w:p>
      <w:pPr>
        <w:numPr>
          <w:ilvl w:val="0"/>
          <w:numId w:val="1"/>
        </w:numPr>
        <w:autoSpaceDE w:val="0"/>
        <w:autoSpaceDN w:val="0"/>
        <w:adjustRightInd w:val="0"/>
        <w:spacing w:line="560" w:lineRule="exact"/>
        <w:jc w:val="left"/>
        <w:rPr>
          <w:rFonts w:ascii="仿宋_GB2312" w:hAnsi="仿宋_GB2312" w:eastAsia="仿宋_GB2312" w:cs="仿宋_GB2312"/>
          <w:bCs/>
          <w:kern w:val="0"/>
          <w:sz w:val="32"/>
          <w:szCs w:val="32"/>
        </w:rPr>
      </w:pPr>
      <w:r>
        <w:rPr>
          <w:rFonts w:hint="eastAsia" w:ascii="仿宋_GB2312" w:hAnsi="仿宋_GB2312" w:eastAsia="仿宋_GB2312" w:cs="仿宋_GB2312"/>
          <w:bCs/>
          <w:kern w:val="0"/>
          <w:sz w:val="32"/>
          <w:szCs w:val="32"/>
        </w:rPr>
        <w:t>政府采购情况表</w:t>
      </w:r>
    </w:p>
    <w:p>
      <w:pPr>
        <w:autoSpaceDE w:val="0"/>
        <w:autoSpaceDN w:val="0"/>
        <w:adjustRightInd w:val="0"/>
        <w:spacing w:line="560" w:lineRule="exact"/>
        <w:jc w:val="left"/>
        <w:rPr>
          <w:rFonts w:ascii="宋体" w:hAnsi="宋体" w:cs="黑体"/>
          <w:b/>
          <w:kern w:val="0"/>
          <w:sz w:val="32"/>
          <w:szCs w:val="32"/>
        </w:rPr>
      </w:pPr>
    </w:p>
    <w:p>
      <w:pPr>
        <w:autoSpaceDE w:val="0"/>
        <w:autoSpaceDN w:val="0"/>
        <w:adjustRightInd w:val="0"/>
        <w:spacing w:line="560" w:lineRule="exact"/>
        <w:jc w:val="left"/>
        <w:rPr>
          <w:rFonts w:ascii="宋体" w:hAnsi="宋体" w:cs="黑体"/>
          <w:b/>
          <w:kern w:val="0"/>
          <w:sz w:val="32"/>
          <w:szCs w:val="32"/>
        </w:rPr>
      </w:pPr>
    </w:p>
    <w:p>
      <w:pPr>
        <w:autoSpaceDE w:val="0"/>
        <w:autoSpaceDN w:val="0"/>
        <w:adjustRightInd w:val="0"/>
        <w:spacing w:line="560" w:lineRule="exact"/>
        <w:jc w:val="left"/>
        <w:rPr>
          <w:rFonts w:ascii="宋体" w:hAnsi="宋体" w:cs="黑体"/>
          <w:b/>
          <w:kern w:val="0"/>
          <w:sz w:val="32"/>
          <w:szCs w:val="32"/>
        </w:rPr>
      </w:pPr>
    </w:p>
    <w:p>
      <w:pPr>
        <w:autoSpaceDE w:val="0"/>
        <w:autoSpaceDN w:val="0"/>
        <w:adjustRightInd w:val="0"/>
        <w:spacing w:line="560" w:lineRule="exact"/>
        <w:jc w:val="left"/>
        <w:rPr>
          <w:rFonts w:ascii="宋体" w:hAnsi="宋体" w:cs="黑体"/>
          <w:b/>
          <w:kern w:val="0"/>
          <w:sz w:val="32"/>
          <w:szCs w:val="32"/>
        </w:rPr>
      </w:pPr>
    </w:p>
    <w:p>
      <w:pPr>
        <w:autoSpaceDE w:val="0"/>
        <w:autoSpaceDN w:val="0"/>
        <w:adjustRightInd w:val="0"/>
        <w:spacing w:line="560" w:lineRule="exact"/>
        <w:jc w:val="left"/>
        <w:rPr>
          <w:rFonts w:ascii="宋体" w:hAnsi="宋体" w:cs="黑体"/>
          <w:b/>
          <w:kern w:val="0"/>
          <w:sz w:val="32"/>
          <w:szCs w:val="32"/>
        </w:rPr>
      </w:pPr>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第三部分部门决算情况说明</w:t>
      </w:r>
    </w:p>
    <w:p>
      <w:pPr>
        <w:pStyle w:val="5"/>
        <w:spacing w:before="0" w:after="0" w:line="560" w:lineRule="exact"/>
        <w:ind w:firstLine="643" w:firstLineChars="200"/>
        <w:rPr>
          <w:rFonts w:ascii="黑体" w:eastAsia="黑体"/>
        </w:rPr>
      </w:pPr>
      <w:r>
        <w:rPr>
          <w:rFonts w:hint="eastAsia" w:ascii="黑体" w:eastAsia="黑体"/>
        </w:rPr>
        <w:t>一、收入</w:t>
      </w:r>
      <w:r>
        <w:rPr>
          <w:rFonts w:hint="eastAsia" w:ascii="黑体" w:hAnsi="Cambria" w:eastAsia="黑体"/>
          <w:kern w:val="0"/>
        </w:rPr>
        <w:t>支出</w:t>
      </w:r>
      <w:r>
        <w:rPr>
          <w:rFonts w:hint="eastAsia" w:ascii="黑体" w:eastAsia="黑体"/>
        </w:rPr>
        <w:t>决算总体情况说明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本部门2017年度年初结转和结余0万元，本年收入264.55万元；本年支出264.55万元、年末结转和结余0万元。与2016年度决算相比，本年收入增长16.81万元，增长93.65%，</w:t>
      </w:r>
      <w:r>
        <w:rPr>
          <w:rFonts w:hint="eastAsia" w:ascii="仿宋_GB2312" w:hAnsi="仿宋_GB2312" w:eastAsia="仿宋_GB2312" w:cs="仿宋_GB2312"/>
          <w:sz w:val="32"/>
          <w:szCs w:val="32"/>
        </w:rPr>
        <w:t>主要是人员经费、办公费、邮电费、公用经费等比上年都有所增加。</w:t>
      </w:r>
    </w:p>
    <w:p>
      <w:pPr>
        <w:pStyle w:val="5"/>
        <w:spacing w:before="0" w:after="0" w:line="560" w:lineRule="exact"/>
        <w:ind w:firstLine="643" w:firstLineChars="200"/>
        <w:rPr>
          <w:rFonts w:ascii="黑体" w:eastAsia="黑体"/>
        </w:rPr>
      </w:pPr>
      <w:r>
        <w:rPr>
          <w:rFonts w:hint="eastAsia" w:ascii="黑体" w:eastAsia="黑体"/>
        </w:rPr>
        <w:t>二、收入决算情况说明</w:t>
      </w:r>
    </w:p>
    <w:p>
      <w:pPr>
        <w:pStyle w:val="5"/>
        <w:spacing w:before="0" w:after="0" w:line="560" w:lineRule="exact"/>
        <w:ind w:firstLine="640" w:firstLineChars="200"/>
        <w:rPr>
          <w:rFonts w:hint="eastAsia" w:ascii="仿宋_GB2312" w:eastAsia="仿宋_GB2312" w:cs="DengXian-Regular"/>
          <w:b w:val="0"/>
          <w:bCs w:val="0"/>
        </w:rPr>
      </w:pPr>
      <w:r>
        <w:rPr>
          <w:rFonts w:hint="eastAsia" w:ascii="仿宋_GB2312" w:eastAsia="仿宋_GB2312" w:cs="DengXian-Regular"/>
          <w:b w:val="0"/>
          <w:bCs w:val="0"/>
        </w:rPr>
        <w:t>本部门2017年度本年收入合计264.55万元，其中：财政拨款收入264.55万元，占100%；事业收入0万元，占0%；经营收入0万元，占0%；其他收入0万元，占0%。如图所示：</w:t>
      </w:r>
    </w:p>
    <w:p>
      <w:pPr>
        <w:adjustRightInd w:val="0"/>
        <w:snapToGrid w:val="0"/>
        <w:spacing w:line="560" w:lineRule="exact"/>
        <w:ind w:firstLine="1920" w:firstLineChars="600"/>
        <w:rPr>
          <w:rFonts w:ascii="仿宋_GB2312" w:eastAsia="仿宋_GB2312" w:cs="DengXian-Regular"/>
          <w:sz w:val="32"/>
          <w:szCs w:val="32"/>
        </w:rPr>
      </w:pPr>
      <w:r>
        <w:rPr>
          <w:rFonts w:ascii="仿宋_GB2312" w:eastAsia="仿宋_GB2312" w:cs="DengXian-Regular"/>
          <w:sz w:val="32"/>
          <w:szCs w:val="32"/>
        </w:rPr>
        <w:t>图</w:t>
      </w:r>
      <w:r>
        <w:rPr>
          <w:rFonts w:hint="eastAsia" w:ascii="仿宋_GB2312" w:eastAsia="仿宋_GB2312" w:cs="DengXian-Regular"/>
          <w:sz w:val="32"/>
          <w:szCs w:val="32"/>
        </w:rPr>
        <w:t>1：收入决算结构饼状图</w:t>
      </w:r>
    </w:p>
    <w:p>
      <w:r>
        <w:rPr>
          <w:rFonts w:ascii="Times New Roman" w:hAnsi="Times New Roman" w:eastAsia="宋体" w:cs="Times New Roman"/>
          <w:kern w:val="2"/>
          <w:sz w:val="21"/>
          <w:szCs w:val="24"/>
          <w:lang w:val="en-US" w:eastAsia="zh-CN" w:bidi="ar-SA"/>
        </w:rPr>
        <w:pict>
          <v:shape id="_x0000_i1025" o:spid="_x0000_s1025" type="#_x0000_t75" style="height:201pt;width:441.75pt;rotation:0f;" o:ole="f" fillcolor="#FFFFFF" filled="f" o:preferrelative="t" stroked="f" coordorigin="0,0" coordsize="21600,21600">
            <v:fill on="f" color2="#FFFFFF" focus="0%"/>
            <v:imagedata gain="65536f" blacklevel="0f" gamma="0" o:title="" r:id="rId5"/>
            <o:lock v:ext="edit" position="f" selection="f" grouping="f" rotation="f" cropping="f" text="f" aspectratio="t"/>
            <w10:wrap type="none"/>
            <w10:anchorlock/>
          </v:shape>
        </w:pict>
      </w:r>
    </w:p>
    <w:p/>
    <w:p>
      <w:pPr>
        <w:pStyle w:val="5"/>
        <w:spacing w:before="0" w:after="0" w:line="560" w:lineRule="exact"/>
        <w:ind w:firstLine="643" w:firstLineChars="200"/>
        <w:rPr>
          <w:rFonts w:ascii="黑体" w:eastAsia="黑体"/>
        </w:rPr>
      </w:pPr>
      <w:r>
        <w:rPr>
          <w:rFonts w:hint="eastAsia" w:ascii="黑体" w:eastAsia="黑体"/>
        </w:rPr>
        <w:t>三、支出决算情况说明</w:t>
      </w:r>
    </w:p>
    <w:p>
      <w:pPr>
        <w:adjustRightInd w:val="0"/>
        <w:snapToGrid w:val="0"/>
        <w:spacing w:after="0" w:line="56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本部门2017年度本年支出合计264.55万元，其中：基本支出264.55万元，占100%；项目支出0万元，占0%；经营支出0万元，占0%。如图所示：</w:t>
      </w:r>
    </w:p>
    <w:p>
      <w:pPr>
        <w:adjustRightInd w:val="0"/>
        <w:snapToGrid w:val="0"/>
        <w:spacing w:line="560" w:lineRule="exact"/>
        <w:ind w:firstLine="2080" w:firstLineChars="650"/>
        <w:rPr>
          <w:rFonts w:ascii="仿宋_GB2312" w:eastAsia="仿宋_GB2312" w:cs="DengXian-Regular"/>
          <w:sz w:val="32"/>
          <w:szCs w:val="32"/>
        </w:rPr>
      </w:pPr>
      <w:r>
        <w:rPr>
          <w:rFonts w:hint="eastAsia" w:ascii="仿宋_GB2312" w:eastAsia="仿宋_GB2312" w:cs="DengXian-Regular"/>
          <w:sz w:val="32"/>
          <w:szCs w:val="32"/>
        </w:rPr>
        <w:t>图2：支出决算结构饼状图</w:t>
      </w:r>
    </w:p>
    <w:p>
      <w:pPr>
        <w:adjustRightInd w:val="0"/>
        <w:snapToGrid w:val="0"/>
        <w:spacing w:after="0" w:line="240" w:lineRule="auto"/>
        <w:rPr>
          <w:rFonts w:ascii="仿宋_GB2312" w:eastAsia="仿宋_GB2312" w:cs="DengXian-Regular"/>
          <w:sz w:val="32"/>
          <w:szCs w:val="32"/>
        </w:rPr>
      </w:pPr>
      <w:r>
        <w:rPr>
          <w:rFonts w:ascii="Times New Roman" w:hAnsi="Times New Roman" w:eastAsia="宋体" w:cs="Times New Roman"/>
          <w:kern w:val="2"/>
          <w:sz w:val="21"/>
          <w:szCs w:val="24"/>
          <w:lang w:val="en-US" w:eastAsia="zh-CN" w:bidi="ar-SA"/>
        </w:rPr>
        <w:pict>
          <v:shape id="_x0000_i1026" o:spid="_x0000_s1026" type="#_x0000_t75" style="height:201pt;width:441.75pt;rotation:0f;" o:ole="f" fillcolor="#FFFFFF" filled="f" o:preferrelative="t" stroked="f" coordorigin="0,0" coordsize="21600,21600">
            <v:fill on="f" color2="#FFFFFF" focus="0%"/>
            <v:imagedata gain="65536f" blacklevel="0f" gamma="0" o:title="" r:id="rId6"/>
            <o:lock v:ext="edit" position="f" selection="f" grouping="f" rotation="f" cropping="f" text="f" aspectratio="t"/>
            <w10:wrap type="none"/>
            <w10:anchorlock/>
          </v:shape>
        </w:pict>
      </w:r>
    </w:p>
    <w:p>
      <w:pPr>
        <w:pStyle w:val="5"/>
        <w:spacing w:before="0" w:after="0" w:line="560" w:lineRule="exact"/>
        <w:ind w:firstLine="643" w:firstLineChars="200"/>
        <w:rPr>
          <w:rFonts w:ascii="黑体" w:eastAsia="黑体"/>
        </w:rPr>
      </w:pPr>
      <w:r>
        <w:rPr>
          <w:rFonts w:hint="eastAsia" w:ascii="黑体" w:eastAsia="黑体"/>
        </w:rPr>
        <w:t>四、</w:t>
      </w:r>
      <w:r>
        <w:rPr>
          <w:rFonts w:hint="eastAsia" w:ascii="黑体" w:hAnsi="Cambria" w:eastAsia="黑体"/>
          <w:kern w:val="0"/>
        </w:rPr>
        <w:t>财政</w:t>
      </w:r>
      <w:r>
        <w:rPr>
          <w:rFonts w:hint="eastAsia" w:ascii="黑体" w:eastAsia="黑体"/>
        </w:rPr>
        <w:t>拨款收入支出决算总体情况说明</w:t>
      </w:r>
    </w:p>
    <w:p>
      <w:pPr>
        <w:spacing w:after="0" w:line="560" w:lineRule="exact"/>
        <w:ind w:firstLine="640"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（一）财政拨款收支与2016 年度决算对比情况</w:t>
      </w:r>
    </w:p>
    <w:p>
      <w:pPr>
        <w:ind w:firstLine="640" w:firstLineChars="200"/>
        <w:rPr>
          <w:rFonts w:ascii="楷体" w:hAnsi="楷体" w:eastAsia="楷体"/>
          <w:sz w:val="32"/>
          <w:szCs w:val="32"/>
        </w:rPr>
      </w:pPr>
      <w:r>
        <w:rPr>
          <w:rFonts w:hint="eastAsia" w:ascii="仿宋_GB2312" w:eastAsia="仿宋_GB2312" w:cs="DengXian-Regular"/>
          <w:sz w:val="32"/>
          <w:szCs w:val="32"/>
        </w:rPr>
        <w:t>本部门2017年度财政拨款年初结转和结余0万元、本年收入264.55万元；本年支出264.55万元、年末结转和结余0万元。与2016年度决算相比，财政拨款本年收入增加16.81万元，</w:t>
      </w:r>
      <w:r>
        <w:rPr>
          <w:rFonts w:hint="eastAsia" w:ascii="仿宋_GB2312" w:hAnsi="仿宋_GB2312" w:eastAsia="仿宋_GB2312" w:cs="仿宋_GB2312"/>
          <w:sz w:val="32"/>
          <w:szCs w:val="32"/>
        </w:rPr>
        <w:t>其中：基本支出增长16.81万元，增长93%。主要是人员经费、办公费、邮电费、公用经费等比上年都有所增加。</w:t>
      </w:r>
    </w:p>
    <w:p>
      <w:pPr>
        <w:spacing w:after="0" w:line="560" w:lineRule="exact"/>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60" w:lineRule="exact"/>
        <w:ind w:firstLine="640" w:firstLineChars="200"/>
        <w:rPr>
          <w:rFonts w:ascii="仿宋_GB2312" w:eastAsia="仿宋_GB2312" w:cs="DengXian-Regular"/>
          <w:color w:val="000000"/>
          <w:sz w:val="32"/>
          <w:szCs w:val="32"/>
        </w:rPr>
      </w:pPr>
      <w:r>
        <w:rPr>
          <w:rFonts w:hint="eastAsia" w:ascii="仿宋_GB2312" w:eastAsia="仿宋_GB2312" w:cs="DengXian-Regular"/>
          <w:color w:val="000000"/>
          <w:sz w:val="32"/>
          <w:szCs w:val="32"/>
        </w:rPr>
        <w:t>本部门2017年度财政拨款本年收入较2017年初预算增加52.56万元，增长80.13%，</w:t>
      </w:r>
      <w:r>
        <w:rPr>
          <w:rFonts w:hint="eastAsia" w:ascii="仿宋_GB2312" w:hAnsi="仿宋_GB2312" w:eastAsia="仿宋_GB2312" w:cs="仿宋_GB2312"/>
          <w:color w:val="000000"/>
          <w:sz w:val="32"/>
          <w:szCs w:val="32"/>
        </w:rPr>
        <w:t>主要是人员经费、办公费、邮电费、公用经费等比上年都有所增加</w:t>
      </w:r>
      <w:r>
        <w:rPr>
          <w:rFonts w:hint="eastAsia" w:ascii="仿宋_GB2312" w:eastAsia="仿宋_GB2312" w:cs="DengXian-Regular"/>
          <w:color w:val="000000"/>
          <w:sz w:val="32"/>
          <w:szCs w:val="32"/>
        </w:rPr>
        <w:t>；本年支出增加52.56万元，增长80.13%，</w:t>
      </w:r>
      <w:r>
        <w:rPr>
          <w:rFonts w:hint="eastAsia" w:ascii="仿宋_GB2312" w:hAnsi="仿宋_GB2312" w:eastAsia="仿宋_GB2312" w:cs="仿宋_GB2312"/>
          <w:color w:val="000000"/>
          <w:sz w:val="32"/>
          <w:szCs w:val="32"/>
        </w:rPr>
        <w:t>主要是人员经费、办公费、邮电费、公用经费等比上年都有所增加</w:t>
      </w:r>
      <w:r>
        <w:rPr>
          <w:rFonts w:hint="eastAsia" w:ascii="仿宋_GB2312" w:eastAsia="仿宋_GB2312" w:cs="DengXian-Regular"/>
          <w:color w:val="000000"/>
          <w:sz w:val="32"/>
          <w:szCs w:val="32"/>
        </w:rPr>
        <w:t>。</w:t>
      </w:r>
    </w:p>
    <w:p>
      <w:pPr>
        <w:adjustRightInd w:val="0"/>
        <w:snapToGrid w:val="0"/>
        <w:spacing w:after="0" w:line="560" w:lineRule="exact"/>
        <w:ind w:firstLine="640" w:firstLineChars="200"/>
        <w:rPr>
          <w:rFonts w:ascii="仿宋_GB2312" w:eastAsia="仿宋_GB2312" w:cs="DengXian-Regular"/>
          <w:color w:val="000000"/>
          <w:sz w:val="32"/>
          <w:szCs w:val="32"/>
        </w:rPr>
      </w:pPr>
      <w:r>
        <w:rPr>
          <w:rFonts w:hint="eastAsia" w:ascii="仿宋_GB2312" w:eastAsia="仿宋_GB2312" w:cs="DengXian-Regular"/>
          <w:color w:val="000000"/>
          <w:sz w:val="32"/>
          <w:szCs w:val="32"/>
        </w:rPr>
        <w:t>其中，本部门2017年度一般公共预算财政拨款本年收入较2017年初预算增加52.56元，增长80.13%，</w:t>
      </w:r>
      <w:r>
        <w:rPr>
          <w:rFonts w:hint="eastAsia" w:ascii="仿宋_GB2312" w:hAnsi="仿宋_GB2312" w:eastAsia="仿宋_GB2312" w:cs="仿宋_GB2312"/>
          <w:color w:val="000000"/>
          <w:sz w:val="32"/>
          <w:szCs w:val="32"/>
        </w:rPr>
        <w:t>主要是人员经费、办公费、邮电费、公用经费等比上年都有所增加</w:t>
      </w:r>
      <w:r>
        <w:rPr>
          <w:rFonts w:hint="eastAsia" w:ascii="仿宋_GB2312" w:eastAsia="仿宋_GB2312" w:cs="DengXian-Regular"/>
          <w:color w:val="000000"/>
          <w:sz w:val="32"/>
          <w:szCs w:val="32"/>
        </w:rPr>
        <w:t>；本年支出增加52.56万元，增长80.13%，</w:t>
      </w:r>
      <w:r>
        <w:rPr>
          <w:rFonts w:hint="eastAsia" w:ascii="仿宋_GB2312" w:hAnsi="仿宋_GB2312" w:eastAsia="仿宋_GB2312" w:cs="仿宋_GB2312"/>
          <w:color w:val="000000"/>
          <w:sz w:val="32"/>
          <w:szCs w:val="32"/>
        </w:rPr>
        <w:t>主要是人员经费、办公费、邮电费、公用经费等比上年都有所增加</w:t>
      </w:r>
      <w:r>
        <w:rPr>
          <w:rFonts w:hint="eastAsia" w:ascii="仿宋_GB2312" w:eastAsia="仿宋_GB2312" w:cs="DengXian-Regular"/>
          <w:color w:val="000000"/>
          <w:sz w:val="32"/>
          <w:szCs w:val="32"/>
        </w:rPr>
        <w:t>。</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本部门2017年度政府性基金预算财政拨款本年收入较2017年初预算无增减变化。</w:t>
      </w:r>
    </w:p>
    <w:p>
      <w:pPr>
        <w:pStyle w:val="5"/>
        <w:spacing w:before="0" w:after="0" w:line="560" w:lineRule="exact"/>
        <w:ind w:firstLine="643" w:firstLineChars="200"/>
        <w:rPr>
          <w:rFonts w:ascii="黑体" w:eastAsia="黑体"/>
        </w:rPr>
      </w:pPr>
      <w:r>
        <w:rPr>
          <w:rFonts w:hint="eastAsia" w:ascii="黑体" w:eastAsia="黑体"/>
        </w:rPr>
        <w:t>五、“三公” 经费支出决算情况说明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本部门2017年度“三公”经费支出共计1.91万元，较年初预算减少1.09万元，降低57%，主要是公务用车运行维护费和公务接待费减少；较2016年度决算持平。具体情况如下：</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本部门2017年度参加其他单位组织的因公出国（境）团组0个、共0人无本单位组织的出国（境）团组，主要是未发生。较2016年度决算无增减变化。</w:t>
      </w:r>
    </w:p>
    <w:p>
      <w:pPr>
        <w:adjustRightInd w:val="0"/>
        <w:snapToGrid w:val="0"/>
        <w:spacing w:after="0" w:line="560" w:lineRule="exact"/>
        <w:ind w:firstLine="640"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（二）公务用车购置及运行维护费支出1.91万元。</w:t>
      </w:r>
      <w:r>
        <w:rPr>
          <w:rFonts w:hint="eastAsia" w:ascii="仿宋_GB2312" w:eastAsia="仿宋_GB2312" w:cs="DengXian-Regular"/>
          <w:sz w:val="32"/>
          <w:szCs w:val="32"/>
        </w:rPr>
        <w:t>本部门2017年度公务用车购置及运行维护费较年初预算减少1.09万元，降低36.33%,主要是公务用车改革压缩开支；较2016年度决算持平。</w:t>
      </w:r>
      <w:r>
        <w:rPr>
          <w:rFonts w:hint="eastAsia" w:ascii="仿宋_GB2312" w:eastAsia="仿宋_GB2312" w:cs="DengXian-Bold"/>
          <w:b/>
          <w:bCs/>
          <w:sz w:val="32"/>
          <w:szCs w:val="32"/>
        </w:rPr>
        <w:t>其中：</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本部门2017年度公务用车购置量0辆，未发生“公务用车购置”经费支出。公务用车购置费支出较年初预算无增减变化；较2016年度决算无增减变化。</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本部门2017年度单位公务用车保有量3辆。公车运行维护费支出较年初预算减少1.09万元，降低36.33%,主要是公务用车改革压缩开支；较2016年度决算持平。</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（三）公务接待费支出0万元。</w:t>
      </w:r>
      <w:r>
        <w:rPr>
          <w:rFonts w:hint="eastAsia" w:ascii="仿宋_GB2312" w:eastAsia="仿宋_GB2312" w:cs="DengXian-Regular"/>
          <w:sz w:val="32"/>
          <w:szCs w:val="32"/>
        </w:rPr>
        <w:t>本部门2017年度公务接待0次。公务接待费支出较年初预算无增减变化,主要是压缩开支；较2016年度决算无增减变化,主要是压缩开支。</w:t>
      </w:r>
    </w:p>
    <w:p>
      <w:pPr>
        <w:pStyle w:val="5"/>
        <w:spacing w:before="0" w:after="0" w:line="560" w:lineRule="exact"/>
        <w:ind w:firstLine="643" w:firstLineChars="200"/>
        <w:rPr>
          <w:rFonts w:ascii="黑体" w:eastAsia="黑体" w:cs="Times New Roman"/>
        </w:rPr>
      </w:pPr>
      <w:r>
        <w:rPr>
          <w:rFonts w:hint="eastAsia" w:ascii="黑体" w:eastAsia="黑体" w:cs="Times New Roman"/>
        </w:rPr>
        <w:t>六、绩效预算</w:t>
      </w:r>
      <w:r>
        <w:rPr>
          <w:rFonts w:hint="eastAsia" w:ascii="黑体" w:hAnsi="Cambria" w:eastAsia="黑体"/>
          <w:kern w:val="0"/>
        </w:rPr>
        <w:t>管理</w:t>
      </w:r>
      <w:r>
        <w:rPr>
          <w:rFonts w:hint="eastAsia" w:ascii="黑体" w:eastAsia="黑体" w:cs="Times New Roman"/>
        </w:rPr>
        <w:t>工作开展情况说明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（一）绩效管理工作开展情况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根据绩效预算管理改革督察要求，本单位认真开展了预算绩效管理改革开展情况自查，对部门全面规范绩效预算编制、严格预算执行管理、推进绩效评价工作、推进预决算信息公开等方面进行了自评，考核结果为良好。</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（二）预算项目绩效评价开展情况</w:t>
      </w:r>
    </w:p>
    <w:p>
      <w:pPr>
        <w:widowControl w:val="0"/>
        <w:wordWrap/>
        <w:adjustRightInd w:val="0"/>
        <w:snapToGrid w:val="0"/>
        <w:spacing w:before="0" w:after="0" w:line="560" w:lineRule="exact"/>
        <w:ind w:left="0" w:leftChars="0" w:right="0" w:firstLine="640" w:firstLineChars="200"/>
        <w:jc w:val="both"/>
        <w:textAlignment w:val="auto"/>
        <w:outlineLvl w:val="9"/>
        <w:rPr>
          <w:rFonts w:hint="eastAsia" w:ascii="仿宋_GB2312" w:eastAsia="仿宋_GB2312" w:cs="DengXian-Regular"/>
          <w:sz w:val="32"/>
          <w:szCs w:val="32"/>
          <w:lang w:val="en-US" w:eastAsia="zh-CN"/>
        </w:rPr>
      </w:pPr>
      <w:r>
        <w:rPr>
          <w:rFonts w:hint="eastAsia" w:ascii="仿宋_GB2312" w:eastAsia="仿宋_GB2312" w:cs="DengXian-Regular"/>
          <w:sz w:val="32"/>
          <w:szCs w:val="32"/>
          <w:lang w:val="en-US" w:eastAsia="zh-CN"/>
        </w:rPr>
        <w:t>本单位无民生项目和重点支出项目。</w:t>
      </w:r>
    </w:p>
    <w:p>
      <w:pPr>
        <w:pStyle w:val="5"/>
        <w:spacing w:before="0" w:after="0" w:line="560" w:lineRule="exact"/>
        <w:ind w:firstLine="643" w:firstLineChars="200"/>
        <w:rPr>
          <w:rFonts w:ascii="黑体" w:eastAsia="黑体" w:cs="Times New Roman"/>
        </w:rPr>
      </w:pPr>
      <w:r>
        <w:rPr>
          <w:rFonts w:hint="eastAsia" w:ascii="黑体" w:eastAsia="黑体" w:cs="Times New Roman"/>
        </w:rPr>
        <w:t>七、其他重要事项的说明</w:t>
      </w:r>
    </w:p>
    <w:p>
      <w:pPr>
        <w:pStyle w:val="7"/>
        <w:spacing w:before="0" w:after="0" w:line="560" w:lineRule="exact"/>
        <w:ind w:firstLine="640"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本部门2017年度机关运行经费支出102.55万元，比2016年度增加47.46万</w:t>
      </w:r>
      <w:bookmarkStart w:id="0" w:name="_GoBack"/>
      <w:bookmarkEnd w:id="0"/>
      <w:r>
        <w:rPr>
          <w:rFonts w:hint="eastAsia" w:ascii="仿宋_GB2312" w:eastAsia="仿宋_GB2312" w:cs="DengXian-Regular"/>
          <w:sz w:val="32"/>
          <w:szCs w:val="32"/>
        </w:rPr>
        <w:t>元，增长53.72%。主要原因是办公费、水电费及差旅费增加。</w:t>
      </w:r>
    </w:p>
    <w:p>
      <w:pPr>
        <w:pStyle w:val="7"/>
        <w:spacing w:before="0" w:after="0" w:line="560" w:lineRule="exact"/>
        <w:ind w:firstLine="640" w:firstLineChars="200"/>
        <w:rPr>
          <w:rFonts w:ascii="楷体_GB2312" w:eastAsia="楷体_GB2312" w:cs="DengXian-Bold"/>
        </w:rPr>
      </w:pPr>
      <w:r>
        <w:rPr>
          <w:rFonts w:hint="eastAsia" w:ascii="楷体_GB2312" w:eastAsia="楷体_GB2312" w:cs="DengXian-Bold"/>
        </w:rPr>
        <w:t>（二）政府采购情况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本部门2017年度政府采购支出总额0万元，其中：政府采购货物支出0万元、政府采购工程支出0万元、政府采购服务支出0万元。</w:t>
      </w:r>
    </w:p>
    <w:p>
      <w:pPr>
        <w:pStyle w:val="7"/>
        <w:spacing w:before="0" w:after="0" w:line="560" w:lineRule="exact"/>
        <w:ind w:firstLine="640"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截至2017年12月31日，本部门共有车辆3辆，其中，市级领导干部用车0辆、一般公务用车1辆、一般执法执勤用车2辆、特种专业技术用车0辆、其他用车0辆；单位价值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万元以上大型设备0台（套），单位价值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万元以上大型设备0台（套）。</w:t>
      </w:r>
    </w:p>
    <w:p>
      <w:pPr>
        <w:pStyle w:val="7"/>
        <w:spacing w:before="0" w:after="0" w:line="560" w:lineRule="exact"/>
        <w:ind w:firstLine="640"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1、本部门2017年度国有资本经营预算财政拨款收入支出决算无收支及结转结余情况，故国有资本经营预算财政拨款收入支出决算表以空表列示。</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pStyle w:val="2"/>
        <w:jc w:val="center"/>
        <w:rPr>
          <w:rFonts w:ascii="宋体" w:hAnsi="宋体" w:cs="SimSun,Bold"/>
        </w:rPr>
      </w:pPr>
      <w:r>
        <w:rPr>
          <w:rFonts w:hint="eastAsia" w:ascii="宋体" w:hAnsi="宋体" w:cs="SimSun,Bold"/>
        </w:rPr>
        <w:t>第四部分名词解释</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（一）财政拨款收入：本年度从本级财政部门取得的财政拨款，包括一般公共预算财政拨款和政府性基金预算财政拨款。</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（二）事业收入：指事业单位开展专业业务活动及辅助活动所取得的收入。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（三）其他收入：指除上述“财政拨款收入”、“事业收入”、“经营收入”等以外的收入。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（五）年初结转和结余：指以前年度尚未完成、结转到本年仍按原规定用途继续使用的资金，或项目已完成等产生的结余资金。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（六）结余分配：指事业单位按照事业单位会计制度的规定从非财政补助结余中分配的事业基金和职工福利基金等。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（七）年末结转和结余：指单位按有关规定结转到下年或以后年度继续使用的资金，或项目已完成等产生的结余资金。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（八）基本支出：填列单位为保障机构正常运转、完成日常工作任务而发生的各项支出。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（九）项目支出：填列单位为完成特定的行政工作任务或事业发展目标，在基本支出之外发生的各项支出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（十一）其他资本性支出：填列由各级非发展与改革部门集中安排的用于购置固定资产、战备性和应急性储备、土地和无形资产，以及购建基础设施、大型修缮和财政支持企业更新改造所发生的支出。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二）“三公”经费：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（十三）其他交通费用：填列单位除公务用车运行维护费以外的其他交通费用。如飞机、船舶等的燃料费、维修费、过桥过路费、保险费、出租车费用、公务交通补贴等。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（十四）公务用车购置：填列单位公务用车车辆购置支出（含车辆购置税）。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（十五）其他交通工具购置：填列单位除公务用车外的其他各类交通工具（如船舶、飞机）购置支出（含车辆购置税）。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（十六） 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74" w:bottom="1985" w:left="1588" w:header="851" w:footer="992" w:gutter="0"/>
      <w:cols w:space="720" w:num="1"/>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Tahoma">
    <w:panose1 w:val="020B0604030504040204"/>
    <w:charset w:val="00"/>
    <w:family w:val="auto"/>
    <w:pitch w:val="default"/>
    <w:sig w:usb0="E1002EFF" w:usb1="C000605B" w:usb2="00000029" w:usb3="00000000" w:csb0="200101FF" w:csb1="20280000"/>
  </w:font>
  <w:font w:name="Symbol">
    <w:panose1 w:val="05050102010706020507"/>
    <w:charset w:val="02"/>
    <w:family w:val="roman"/>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微软雅黑">
    <w:panose1 w:val="020B0503020204020204"/>
    <w:charset w:val="86"/>
    <w:family w:val="auto"/>
    <w:pitch w:val="default"/>
    <w:sig w:usb0="80000287" w:usb1="2ACF3C50" w:usb2="00000016" w:usb3="00000000" w:csb0="0004001F" w:csb1="00000000"/>
  </w:font>
  <w:font w:name="Calibri">
    <w:panose1 w:val="020F0502020204030204"/>
    <w:charset w:val="00"/>
    <w:family w:val="auto"/>
    <w:pitch w:val="default"/>
    <w:sig w:usb0="E0002AFF" w:usb1="C000247B" w:usb2="00000009" w:usb3="00000000" w:csb0="200001FF" w:csb1="00000000"/>
  </w:font>
  <w:font w:name="Cambria">
    <w:panose1 w:val="02040503050406030204"/>
    <w:charset w:val="00"/>
    <w:family w:val="auto"/>
    <w:pitch w:val="default"/>
    <w:sig w:usb0="E00006FF" w:usb1="420024FF" w:usb2="02000000" w:usb3="00000000" w:csb0="2000019F" w:csb1="00000000"/>
  </w:font>
  <w:font w:name="方正小标宋_GBK">
    <w:altName w:val="微软雅黑"/>
    <w:panose1 w:val="00000000000000000000"/>
    <w:charset w:val="86"/>
    <w:family w:val="auto"/>
    <w:pitch w:val="default"/>
    <w:sig w:usb0="00000000" w:usb1="00000000" w:usb2="00000010" w:usb3="00000000" w:csb0="00040000" w:csb1="00000000"/>
  </w:font>
  <w:font w:name="仿宋_GB2312">
    <w:altName w:val="仿宋"/>
    <w:panose1 w:val="02010609030101010101"/>
    <w:charset w:val="86"/>
    <w:family w:val="auto"/>
    <w:pitch w:val="default"/>
    <w:sig w:usb0="00000000" w:usb1="080E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仿宋">
    <w:panose1 w:val="02010609060101010101"/>
    <w:charset w:val="86"/>
    <w:family w:val="auto"/>
    <w:pitch w:val="default"/>
    <w:sig w:usb0="800002BF" w:usb1="38CF7CFA" w:usb2="00000016" w:usb3="00000000" w:csb0="00040001" w:csb1="00000000"/>
  </w:font>
  <w:font w:name="DengXian-Regular">
    <w:altName w:val="宋体"/>
    <w:panose1 w:val="00000000000000000000"/>
    <w:charset w:val="86"/>
    <w:family w:val="auto"/>
    <w:pitch w:val="default"/>
    <w:sig w:usb0="00000000" w:usb1="00000000" w:usb2="00000010" w:usb3="00000000" w:csb0="00040001" w:csb1="00000000"/>
  </w:font>
  <w:font w:name="楷体_GB2312">
    <w:altName w:val="楷体"/>
    <w:panose1 w:val="02010609030101010101"/>
    <w:charset w:val="86"/>
    <w:family w:val="auto"/>
    <w:pitch w:val="default"/>
    <w:sig w:usb0="00000000" w:usb1="080E0000" w:usb2="00000000" w:usb3="00000000" w:csb0="00040000" w:csb1="00000000"/>
  </w:font>
  <w:font w:name="DengXian-Bold">
    <w:altName w:val="宋体"/>
    <w:panose1 w:val="00000000000000000000"/>
    <w:charset w:val="86"/>
    <w:family w:val="auto"/>
    <w:pitch w:val="default"/>
    <w:sig w:usb0="00000000" w:usb1="00000000" w:usb2="00000010" w:usb3="00000000" w:csb0="00040001" w:csb1="00000000"/>
  </w:font>
  <w:font w:name="楷体">
    <w:panose1 w:val="02010609060101010101"/>
    <w:charset w:val="86"/>
    <w:family w:val="auto"/>
    <w:pitch w:val="default"/>
    <w:sig w:usb0="800002BF" w:usb1="38CF7CFA" w:usb2="00000016" w:usb3="00000000" w:csb0="00040001" w:csb1="00000000"/>
  </w:font>
  <w:font w:name="TimesNewRomanPSMT">
    <w:altName w:val="Arial"/>
    <w:panose1 w:val="00000000000000000000"/>
    <w:charset w:val="00"/>
    <w:family w:val="auto"/>
    <w:pitch w:val="default"/>
    <w:sig w:usb0="00000000" w:usb1="00000000" w:usb2="00000000" w:usb3="00000000" w:csb0="00000001" w:csb1="00000000"/>
  </w:font>
  <w:font w:name="SimSun,Bold">
    <w:altName w:val="宋体"/>
    <w:panose1 w:val="00000000000000000000"/>
    <w:charset w:val="86"/>
    <w:family w:val="auto"/>
    <w:pitch w:val="default"/>
    <w:sig w:usb0="00000000" w:usb1="00000000" w:usb2="00000010" w:usb3="00000000" w:csb0="00040000" w:csb1="00000000"/>
  </w:font>
  <w:font w:name="MS-UIGothic,Bold">
    <w:altName w:val="Malgun Gothic"/>
    <w:panose1 w:val="00000000000000000000"/>
    <w:charset w:val="81"/>
    <w:family w:val="auto"/>
    <w:pitch w:val="default"/>
    <w:sig w:usb0="00000000" w:usb1="00000000" w:usb2="00000010" w:usb3="00000000" w:csb0="00080000" w:csb1="00000000"/>
  </w:font>
  <w:font w:name="Malgun Gothic">
    <w:panose1 w:val="020B0503020000020004"/>
    <w:charset w:val="81"/>
    <w:family w:val="auto"/>
    <w:pitch w:val="default"/>
    <w:sig w:usb0="9000002F" w:usb1="29D77CFB" w:usb2="00000012" w:usb3="00000000" w:csb0="00080001" w:csb1="00000000"/>
  </w:font>
  <w:font w:name="Arial Rounded MT Bold">
    <w:altName w:val="Arial"/>
    <w:panose1 w:val="020F0704030504030204"/>
    <w:charset w:val="00"/>
    <w:family w:val="auto"/>
    <w:pitch w:val="default"/>
    <w:sig w:usb0="00000003" w:usb1="00000000" w:usb2="00000000" w:usb3="00000000" w:csb0="20000001" w:csb1="00000000"/>
  </w:font>
  <w:font w:name="Palatino Linotype">
    <w:panose1 w:val="02040502050505030304"/>
    <w:charset w:val="00"/>
    <w:family w:val="auto"/>
    <w:pitch w:val="default"/>
    <w:sig w:usb0="E0000287" w:usb1="40000013" w:usb2="00000000" w:usb3="00000000" w:csb0="2000019F" w:csb1="00000000"/>
  </w:font>
  <w:font w:name="Batang">
    <w:altName w:val="Malgun Gothic"/>
    <w:panose1 w:val="02030600000101010101"/>
    <w:charset w:val="81"/>
    <w:family w:val="auto"/>
    <w:pitch w:val="default"/>
    <w:sig w:usb0="B00002AF" w:usb1="69D77CFB" w:usb2="00000030" w:usb3="00000000" w:csb0="4008009F" w:csb1="DFD70000"/>
  </w:font>
  <w:font w:name="Gulim">
    <w:altName w:val="Malgun Gothic"/>
    <w:panose1 w:val="020B0600000101010101"/>
    <w:charset w:val="81"/>
    <w:family w:val="auto"/>
    <w:pitch w:val="default"/>
    <w:sig w:usb0="B00002AF" w:usb1="69D77CFB" w:usb2="00000030" w:usb3="00000000" w:csb0="4008009F" w:csb1="DFD70000"/>
  </w:font>
  <w:font w:name="Malgun Gothic">
    <w:panose1 w:val="020B0503020000020004"/>
    <w:charset w:val="00"/>
    <w:family w:val="auto"/>
    <w:pitch w:val="default"/>
    <w:sig w:usb0="9000002F" w:usb1="29D77CFB" w:usb2="00000012" w:usb3="00000000" w:csb0="0008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6">
    <w:nsid w:val="00000006"/>
    <w:multiLevelType w:val="singleLevel"/>
    <w:tmpl w:val="00000006"/>
    <w:lvl w:ilvl="0" w:tentative="1">
      <w:start w:val="1"/>
      <w:numFmt w:val="chineseCounting"/>
      <w:suff w:val="nothing"/>
      <w:lvlText w:val="%1、"/>
      <w:lvlJc w:val="left"/>
      <w:pPr>
        <w:ind w:left="883" w:firstLine="0"/>
      </w:pPr>
      <w:rPr>
        <w:rFonts w:hint="eastAsia"/>
      </w:rPr>
    </w:lvl>
  </w:abstractNum>
  <w:num w:numId="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bordersDoNotSurroundHeader w:val="1"/>
  <w:bordersDoNotSurroundFooter w:val="1"/>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uiCompat97To2003/>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style w:type="paragraph" w:default="1" w:styleId="1">
    <w:name w:val="Normal"/>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3"/>
    <w:pPr>
      <w:keepNext/>
      <w:keepLines/>
      <w:spacing w:before="340" w:after="330" w:line="578" w:lineRule="auto"/>
      <w:outlineLvl w:val="0"/>
    </w:pPr>
    <w:rPr>
      <w:rFonts w:ascii="Times New Roman" w:hAnsi="Times New Roman" w:eastAsia="宋体" w:cs="Times New Roman"/>
      <w:b/>
      <w:bCs/>
      <w:kern w:val="44"/>
      <w:sz w:val="44"/>
      <w:szCs w:val="44"/>
    </w:rPr>
  </w:style>
  <w:style w:type="paragraph" w:styleId="5">
    <w:name w:val="heading 2"/>
    <w:basedOn w:val="1"/>
    <w:next w:val="1"/>
    <w:link w:val="6"/>
    <w:pPr>
      <w:keepNext/>
      <w:keepLines/>
      <w:spacing w:before="260" w:after="260" w:line="416" w:lineRule="auto"/>
      <w:outlineLvl w:val="1"/>
    </w:pPr>
    <w:rPr>
      <w:rFonts w:ascii="Calibri" w:hAnsi="Calibri" w:eastAsia="宋体" w:cs="黑体"/>
      <w:b/>
      <w:bCs/>
      <w:sz w:val="32"/>
      <w:szCs w:val="32"/>
    </w:rPr>
  </w:style>
  <w:style w:type="paragraph" w:styleId="7">
    <w:name w:val="heading 3"/>
    <w:basedOn w:val="1"/>
    <w:next w:val="1"/>
    <w:link w:val="8"/>
    <w:pPr>
      <w:keepNext/>
      <w:keepLines/>
      <w:spacing w:before="260" w:after="260" w:line="416" w:lineRule="auto"/>
      <w:outlineLvl w:val="2"/>
    </w:pPr>
    <w:rPr>
      <w:rFonts w:ascii="Times New Roman" w:hAnsi="Times New Roman" w:eastAsia="宋体" w:cs="Times New Roman"/>
      <w:b/>
      <w:bCs/>
      <w:sz w:val="32"/>
      <w:szCs w:val="32"/>
    </w:rPr>
  </w:style>
  <w:style w:type="paragraph" w:styleId="9">
    <w:name w:val="heading 4"/>
    <w:basedOn w:val="1"/>
    <w:next w:val="1"/>
    <w:link w:val="10"/>
    <w:pPr>
      <w:keepNext/>
      <w:keepLines/>
      <w:spacing w:before="280" w:after="290" w:line="376" w:lineRule="auto"/>
      <w:outlineLvl w:val="3"/>
    </w:pPr>
    <w:rPr>
      <w:rFonts w:ascii="Calibri" w:hAnsi="Calibri" w:eastAsia="宋体" w:cs="黑体"/>
      <w:b/>
      <w:bCs/>
      <w:sz w:val="28"/>
      <w:szCs w:val="28"/>
    </w:rPr>
  </w:style>
  <w:style w:type="character" w:default="1" w:styleId="4">
    <w:name w:val="Default Paragraph Font"/>
  </w:style>
  <w:style w:type="character" w:customStyle="1" w:styleId="3">
    <w:name w:val="标题 1 Char"/>
    <w:basedOn w:val="4"/>
    <w:link w:val="2"/>
    <w:semiHidden/>
    <w:rPr>
      <w:rFonts w:ascii="Times New Roman" w:hAnsi="Times New Roman" w:eastAsia="宋体" w:cs="Times New Roman"/>
      <w:b/>
      <w:bCs/>
      <w:kern w:val="44"/>
      <w:sz w:val="44"/>
      <w:szCs w:val="44"/>
    </w:rPr>
  </w:style>
  <w:style w:type="character" w:customStyle="1" w:styleId="6">
    <w:name w:val="标题 2 Char"/>
    <w:basedOn w:val="4"/>
    <w:link w:val="5"/>
    <w:semiHidden/>
    <w:rPr>
      <w:rFonts w:ascii="Calibri" w:hAnsi="Calibri" w:eastAsia="宋体" w:cs="黑体"/>
      <w:b/>
      <w:bCs/>
      <w:sz w:val="32"/>
      <w:szCs w:val="32"/>
    </w:rPr>
  </w:style>
  <w:style w:type="character" w:customStyle="1" w:styleId="8">
    <w:name w:val="标题 3 Char"/>
    <w:basedOn w:val="4"/>
    <w:link w:val="7"/>
    <w:semiHidden/>
    <w:rPr>
      <w:rFonts w:ascii="Times New Roman" w:hAnsi="Times New Roman" w:eastAsia="宋体" w:cs="Times New Roman"/>
      <w:b/>
      <w:bCs/>
      <w:sz w:val="32"/>
      <w:szCs w:val="32"/>
    </w:rPr>
  </w:style>
  <w:style w:type="character" w:customStyle="1" w:styleId="10">
    <w:name w:val="标题 4 Char"/>
    <w:basedOn w:val="4"/>
    <w:link w:val="9"/>
    <w:semiHidden/>
    <w:rPr>
      <w:rFonts w:ascii="Calibri" w:hAnsi="Calibri" w:eastAsia="宋体" w:cs="黑体"/>
      <w:b/>
      <w:bCs/>
      <w:sz w:val="28"/>
      <w:szCs w:val="28"/>
    </w:rPr>
  </w:style>
  <w:style w:type="character" w:customStyle="1" w:styleId="11">
    <w:name w:val="批注框文本 Char"/>
    <w:basedOn w:val="4"/>
    <w:link w:val="12"/>
    <w:semiHidden/>
    <w:rPr>
      <w:rFonts w:ascii="Times New Roman" w:hAnsi="Times New Roman" w:eastAsia="宋体" w:cs="Times New Roman"/>
      <w:sz w:val="18"/>
      <w:szCs w:val="18"/>
    </w:rPr>
  </w:style>
  <w:style w:type="paragraph" w:customStyle="1" w:styleId="12">
    <w:name w:val="批注框文本1"/>
    <w:basedOn w:val="1"/>
    <w:link w:val="11"/>
    <w:rPr>
      <w:rFonts w:ascii="Times New Roman" w:hAnsi="Times New Roman" w:eastAsia="宋体" w:cs="Times New Roman"/>
      <w:sz w:val="18"/>
      <w:szCs w:val="18"/>
    </w:rPr>
  </w:style>
  <w:style w:type="paragraph" w:styleId="13">
    <w:name w:val="footer"/>
    <w:basedOn w:val="1"/>
    <w:link w:val="14"/>
    <w:pPr>
      <w:tabs>
        <w:tab w:val="center" w:pos="4153"/>
        <w:tab w:val="right" w:pos="8306"/>
      </w:tabs>
      <w:snapToGrid w:val="0"/>
      <w:jc w:val="left"/>
    </w:pPr>
    <w:rPr>
      <w:sz w:val="18"/>
      <w:szCs w:val="18"/>
    </w:rPr>
  </w:style>
  <w:style w:type="character" w:customStyle="1" w:styleId="14">
    <w:name w:val="页脚 Char"/>
    <w:basedOn w:val="4"/>
    <w:link w:val="13"/>
    <w:semiHidden/>
    <w:rPr>
      <w:sz w:val="18"/>
      <w:szCs w:val="18"/>
    </w:rPr>
  </w:style>
  <w:style w:type="paragraph" w:styleId="15">
    <w:name w:val="header"/>
    <w:basedOn w:val="1"/>
    <w:link w:val="16"/>
    <w:pPr>
      <w:pBdr>
        <w:bottom w:val="single" w:color="auto" w:sz="6" w:space="1"/>
      </w:pBdr>
      <w:tabs>
        <w:tab w:val="center" w:pos="4153"/>
        <w:tab w:val="right" w:pos="8306"/>
      </w:tabs>
      <w:snapToGrid w:val="0"/>
      <w:jc w:val="center"/>
    </w:pPr>
    <w:rPr>
      <w:sz w:val="18"/>
      <w:szCs w:val="18"/>
    </w:rPr>
  </w:style>
  <w:style w:type="character" w:customStyle="1" w:styleId="16">
    <w:name w:val="页眉 Char"/>
    <w:basedOn w:val="4"/>
    <w:link w:val="15"/>
    <w:semiHidden/>
    <w:rPr>
      <w:sz w:val="18"/>
      <w:szCs w:val="18"/>
    </w:rPr>
  </w:style>
  <w:style w:type="paragraph" w:styleId="17">
    <w:name w:val="Subtitle"/>
    <w:basedOn w:val="1"/>
    <w:next w:val="1"/>
    <w:link w:val="18"/>
    <w:pPr>
      <w:widowControl/>
      <w:spacing w:after="200" w:line="276" w:lineRule="auto"/>
      <w:jc w:val="left"/>
    </w:pPr>
    <w:rPr>
      <w:rFonts w:ascii="Calibri" w:hAnsi="Calibri" w:eastAsia="宋体" w:cs="黑体"/>
      <w:i/>
      <w:iCs/>
      <w:color w:val="F0A22E"/>
      <w:spacing w:val="15"/>
      <w:kern w:val="0"/>
      <w:sz w:val="24"/>
      <w:szCs w:val="24"/>
    </w:rPr>
  </w:style>
  <w:style w:type="character" w:customStyle="1" w:styleId="18">
    <w:name w:val="副标题 Char"/>
    <w:basedOn w:val="4"/>
    <w:link w:val="17"/>
    <w:semiHidden/>
    <w:rPr>
      <w:rFonts w:ascii="Calibri" w:hAnsi="Calibri" w:eastAsia="宋体" w:cs="黑体"/>
      <w:i/>
      <w:iCs/>
      <w:color w:val="F0A22E"/>
      <w:spacing w:val="15"/>
      <w:kern w:val="0"/>
      <w:sz w:val="24"/>
      <w:szCs w:val="24"/>
    </w:rPr>
  </w:style>
  <w:style w:type="paragraph" w:styleId="19">
    <w:name w:val="Title"/>
    <w:basedOn w:val="1"/>
    <w:next w:val="1"/>
    <w:link w:val="20"/>
    <w:pPr>
      <w:widowControl/>
      <w:pBdr>
        <w:bottom w:val="single" w:color="F0A22E" w:sz="8" w:space="4"/>
      </w:pBdr>
      <w:spacing w:after="300"/>
      <w:contextualSpacing/>
      <w:jc w:val="left"/>
    </w:pPr>
    <w:rPr>
      <w:rFonts w:ascii="Calibri" w:hAnsi="Calibri" w:eastAsia="宋体" w:cs="黑体"/>
      <w:color w:val="392B23"/>
      <w:spacing w:val="5"/>
      <w:kern w:val="28"/>
      <w:sz w:val="52"/>
      <w:szCs w:val="52"/>
    </w:rPr>
  </w:style>
  <w:style w:type="character" w:customStyle="1" w:styleId="20">
    <w:name w:val="标题 Char"/>
    <w:basedOn w:val="4"/>
    <w:link w:val="19"/>
    <w:semiHidden/>
    <w:rPr>
      <w:rFonts w:ascii="Calibri" w:hAnsi="Calibri" w:eastAsia="宋体" w:cs="黑体"/>
      <w:color w:val="392B23"/>
      <w:spacing w:val="5"/>
      <w:kern w:val="28"/>
      <w:sz w:val="52"/>
      <w:szCs w:val="52"/>
    </w:rPr>
  </w:style>
  <w:style w:type="paragraph" w:customStyle="1" w:styleId="21">
    <w:name w:val="无间隔1"/>
    <w:link w:val="22"/>
    <w:pPr>
      <w:spacing w:after="160" w:line="480" w:lineRule="auto"/>
    </w:pPr>
    <w:rPr>
      <w:kern w:val="0"/>
      <w:sz w:val="22"/>
    </w:rPr>
  </w:style>
  <w:style w:type="character" w:customStyle="1" w:styleId="22">
    <w:name w:val="无间隔 Char"/>
    <w:basedOn w:val="4"/>
    <w:link w:val="21"/>
    <w:semiHidden/>
    <w:rPr>
      <w:kern w:val="0"/>
      <w:sz w:val="22"/>
    </w:rPr>
  </w:style>
  <w:style w:type="character" w:customStyle="1" w:styleId="23">
    <w:name w:val="Style1"/>
    <w:basedOn w:val="4"/>
    <w:rPr>
      <w:rFonts w:ascii="Cambria" w:hAnsi="黑体" w:eastAsia="黑体" w:cs="黑体"/>
      <w:sz w:val="22"/>
      <w:szCs w:val="22"/>
      <w:lang w:eastAsia="zh-CN"/>
    </w:rPr>
  </w:style>
  <w:style w:type="character" w:customStyle="1" w:styleId="24">
    <w:name w:val="Style2"/>
    <w:basedOn w:val="4"/>
    <w:rPr>
      <w:rFonts w:ascii="Cambria" w:hAnsi="黑体" w:eastAsia="黑体" w:cs="黑体"/>
      <w:sz w:val="22"/>
      <w:szCs w:val="22"/>
      <w:lang w:eastAsia="zh-CN"/>
    </w:rPr>
  </w:style>
  <w:style w:type="character" w:customStyle="1" w:styleId="25">
    <w:name w:val="Style3"/>
    <w:basedOn w:val="4"/>
    <w:rPr>
      <w:rFonts w:ascii="Cambria" w:hAnsi="黑体" w:eastAsia="黑体" w:cs="黑体"/>
      <w:szCs w:val="22"/>
      <w:lang w:eastAsia="zh-CN"/>
    </w:rPr>
  </w:style>
  <w:style w:type="character" w:customStyle="1" w:styleId="26">
    <w:name w:val="Style4"/>
    <w:basedOn w:val="4"/>
    <w:rPr>
      <w:rFonts w:ascii="Cambria" w:hAnsi="黑体" w:eastAsia="黑体" w:cs="黑体"/>
      <w:szCs w:val="22"/>
      <w:lang w:eastAsia="zh-CN"/>
    </w:rPr>
  </w:style>
  <w:style w:type="character" w:customStyle="1" w:styleId="27">
    <w:name w:val="Style5"/>
    <w:basedOn w:val="4"/>
    <w:rPr>
      <w:rFonts w:ascii="Cambria" w:hAnsi="黑体" w:eastAsia="黑体" w:cs="黑体"/>
      <w:sz w:val="22"/>
      <w:szCs w:val="22"/>
      <w:lang w:eastAsia="zh-CN"/>
    </w:rPr>
  </w:style>
</w:styles>
</file>

<file path=word/_rels/document.xml.rels><?xml version="1.0" encoding="UTF-8" standalone="yes"?>
<Relationships xmlns="http://schemas.openxmlformats.org/package/2006/relationships"><Relationship Id="rId1" Type="http://schemas.openxmlformats.org/officeDocument/2006/relationships/fontTable" Target="fontTable.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customXml" Target="../customXml/item1.xml"/><Relationship Id="rId8" Type="http://schemas.openxmlformats.org/officeDocument/2006/relationships/numbering" Target="numbering.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14</Pages>
  <Words>693</Words>
  <Characters>3953</Characters>
  <Lines>32</Lines>
  <Paragraphs>9</Paragraphs>
  <TotalTime>0</TotalTime>
  <ScaleCrop>false</ScaleCrop>
  <LinksUpToDate>false</LinksUpToDate>
  <CharactersWithSpaces>0</CharactersWithSpaces>
  <Application>WPS Office 专业版_9.1.0.4167</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2018-08-30T00:38:00Z</dcterms:created>
  <dc:creator>User</dc:creator>
  <dcterms:modified xsi:type="dcterms:W3CDTF">2019-02-11T15:46:40Z</dcterms:modified>
  <dc:subject>石家庄市xxx部门</dc:subject>
  <dc:title>Administrator</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2052-9.1.0.4167</vt:lpwstr>
  </property>
</Properties>
</file>