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无极县食品药品监督管理局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无极县食品药品监督管理局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无极县食品药品监督管理局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无极县食品药品监督管理局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ind w:firstLine="640"/>
        <w:rPr>
          <w:rFonts w:ascii="仿宋" w:hAnsi="仿宋" w:eastAsia="仿宋"/>
          <w:sz w:val="32"/>
          <w:szCs w:val="32"/>
        </w:rPr>
      </w:pPr>
      <w:r>
        <w:rPr>
          <w:rFonts w:hint="eastAsia" w:ascii="仿宋" w:hAnsi="仿宋" w:eastAsia="仿宋"/>
          <w:sz w:val="32"/>
          <w:szCs w:val="32"/>
        </w:rPr>
        <w:t>1、贯彻执行国家、省、市食品（含食品添加剂、保健食品、酒类、调味品，下同）安全、药品（含中药、民族药，下同）、医疗器械、化妆品监督管理的法律法规和方针政策。参与起草相关地方性法规和规章草案，推动建立落实食品药品安全企业主体责任、地方人民政府负总责的机制，并组织实施和监督检查，着力防范区域性、系统性食品药品安全风险。</w:t>
      </w:r>
    </w:p>
    <w:p>
      <w:pPr>
        <w:ind w:firstLine="640"/>
        <w:rPr>
          <w:rFonts w:ascii="仿宋" w:hAnsi="仿宋" w:eastAsia="仿宋"/>
          <w:sz w:val="32"/>
          <w:szCs w:val="32"/>
        </w:rPr>
      </w:pPr>
      <w:r>
        <w:rPr>
          <w:rFonts w:hint="eastAsia" w:ascii="仿宋" w:hAnsi="仿宋" w:eastAsia="仿宋"/>
          <w:sz w:val="32"/>
          <w:szCs w:val="32"/>
        </w:rPr>
        <w:t>2、承担食品生产、流通、消费环节行政许可、监督管理工作，负责制定食品行政许可的实施办法并监督实施。建立完善食品安全隐患排查治理机制，制定食品安全检查年度计划、重大整顿治理方案并组织落实。</w:t>
      </w:r>
    </w:p>
    <w:p>
      <w:pPr>
        <w:ind w:firstLine="640"/>
        <w:rPr>
          <w:rFonts w:ascii="仿宋" w:hAnsi="仿宋" w:eastAsia="仿宋"/>
          <w:sz w:val="32"/>
          <w:szCs w:val="32"/>
        </w:rPr>
      </w:pPr>
      <w:r>
        <w:rPr>
          <w:rFonts w:hint="eastAsia" w:ascii="仿宋" w:hAnsi="仿宋" w:eastAsia="仿宋"/>
          <w:sz w:val="32"/>
          <w:szCs w:val="32"/>
        </w:rPr>
        <w:t>3、负责药品、医疗器械行政许可、监督管理，监督实施药品和医疗器械的研制、生产、流通、使用方面的质量管理规范。组织开展药品不良反应、药物滥用监测、医疗器械不良事件工作。配合有关部门实施国家基本药物制度。</w:t>
      </w:r>
    </w:p>
    <w:p>
      <w:pPr>
        <w:ind w:firstLine="640"/>
        <w:rPr>
          <w:rFonts w:ascii="仿宋" w:hAnsi="仿宋" w:eastAsia="仿宋"/>
          <w:sz w:val="32"/>
          <w:szCs w:val="32"/>
        </w:rPr>
      </w:pPr>
      <w:r>
        <w:rPr>
          <w:rFonts w:hint="eastAsia" w:ascii="仿宋" w:hAnsi="仿宋" w:eastAsia="仿宋"/>
          <w:sz w:val="32"/>
          <w:szCs w:val="32"/>
        </w:rPr>
        <w:t>4、监督实施化妆品安全管理规范，负责化妆品的监督管理和不良反应监测工作。</w:t>
      </w:r>
    </w:p>
    <w:p>
      <w:pPr>
        <w:ind w:firstLine="640"/>
        <w:rPr>
          <w:rFonts w:ascii="仿宋" w:hAnsi="仿宋" w:eastAsia="仿宋"/>
          <w:sz w:val="32"/>
          <w:szCs w:val="32"/>
        </w:rPr>
      </w:pPr>
      <w:r>
        <w:rPr>
          <w:rFonts w:hint="eastAsia" w:ascii="仿宋" w:hAnsi="仿宋" w:eastAsia="仿宋"/>
          <w:sz w:val="32"/>
          <w:szCs w:val="32"/>
        </w:rPr>
        <w:t>5、监督实施中药材生产质量管理规范、中药饮片炮制规范。依法实施重要品种保护制度。</w:t>
      </w:r>
    </w:p>
    <w:p>
      <w:pPr>
        <w:ind w:firstLine="640"/>
        <w:rPr>
          <w:rFonts w:ascii="仿宋" w:hAnsi="仿宋" w:eastAsia="仿宋"/>
          <w:sz w:val="32"/>
          <w:szCs w:val="32"/>
        </w:rPr>
      </w:pPr>
      <w:r>
        <w:rPr>
          <w:rFonts w:hint="eastAsia" w:ascii="仿宋" w:hAnsi="仿宋" w:eastAsia="仿宋"/>
          <w:sz w:val="32"/>
          <w:szCs w:val="32"/>
        </w:rPr>
        <w:t>6、负责制定食品、药品、医疗器械、化妆品监督管理的稽查制度并组织实施，组织查处违法行为。监督实施问题产品召回和处置制度。</w:t>
      </w:r>
    </w:p>
    <w:p>
      <w:pPr>
        <w:ind w:firstLine="640"/>
        <w:rPr>
          <w:rFonts w:ascii="仿宋" w:hAnsi="仿宋" w:eastAsia="仿宋"/>
          <w:sz w:val="32"/>
          <w:szCs w:val="32"/>
        </w:rPr>
      </w:pPr>
      <w:r>
        <w:rPr>
          <w:rFonts w:hint="eastAsia" w:ascii="仿宋" w:hAnsi="仿宋" w:eastAsia="仿宋"/>
          <w:sz w:val="32"/>
          <w:szCs w:val="32"/>
        </w:rPr>
        <w:t>7、负责品药品安全事故应急体系建设，组织、指导食品药品安全事故应急处置和调查处理工作，监督事故查处落实情况。指导、监督全县食品药品监督管理工作，规范行政执法行为，推动完善行政执法与刑事司法衔接机制。</w:t>
      </w:r>
    </w:p>
    <w:p>
      <w:pPr>
        <w:ind w:firstLine="640"/>
        <w:rPr>
          <w:rFonts w:ascii="仿宋" w:hAnsi="仿宋" w:eastAsia="仿宋"/>
          <w:sz w:val="32"/>
          <w:szCs w:val="32"/>
        </w:rPr>
      </w:pPr>
      <w:r>
        <w:rPr>
          <w:rFonts w:hint="eastAsia" w:ascii="仿宋" w:hAnsi="仿宋" w:eastAsia="仿宋"/>
          <w:sz w:val="32"/>
          <w:szCs w:val="32"/>
        </w:rPr>
        <w:t>8、负责建立食品、药品、医疗器械、化妆品安全信息公布制度和重大信息直报制度，发布食品、药品安全信息。</w:t>
      </w:r>
    </w:p>
    <w:p>
      <w:pPr>
        <w:ind w:firstLine="640"/>
        <w:rPr>
          <w:rFonts w:ascii="仿宋" w:hAnsi="仿宋" w:eastAsia="仿宋"/>
          <w:sz w:val="32"/>
          <w:szCs w:val="32"/>
        </w:rPr>
      </w:pPr>
      <w:r>
        <w:rPr>
          <w:rFonts w:hint="eastAsia" w:ascii="仿宋" w:hAnsi="仿宋" w:eastAsia="仿宋"/>
          <w:sz w:val="32"/>
          <w:szCs w:val="32"/>
        </w:rPr>
        <w:t>9、负责制定食品药品安全科技发展规划并组织实施，推动食品药品检验检测体系、电子监管追溯体系、诚信体系和信息化建设。</w:t>
      </w:r>
    </w:p>
    <w:p>
      <w:pPr>
        <w:ind w:firstLine="640"/>
        <w:rPr>
          <w:rFonts w:ascii="仿宋" w:hAnsi="仿宋" w:eastAsia="仿宋"/>
          <w:sz w:val="32"/>
          <w:szCs w:val="32"/>
        </w:rPr>
      </w:pPr>
      <w:r>
        <w:rPr>
          <w:rFonts w:hint="eastAsia" w:ascii="仿宋" w:hAnsi="仿宋" w:eastAsia="仿宋"/>
          <w:sz w:val="32"/>
          <w:szCs w:val="32"/>
        </w:rPr>
        <w:t>10、负责开展食品药品安全宣传、教育培训、交流与合作，按规定组织实施执业药师资格认定制度、食品药品等相关专业技术职务评审和从业人员职业资格准入制度。</w:t>
      </w:r>
    </w:p>
    <w:p>
      <w:pPr>
        <w:ind w:firstLine="640"/>
        <w:rPr>
          <w:rFonts w:ascii="仿宋" w:hAnsi="仿宋" w:eastAsia="仿宋"/>
          <w:sz w:val="32"/>
          <w:szCs w:val="32"/>
        </w:rPr>
      </w:pPr>
      <w:r>
        <w:rPr>
          <w:rFonts w:hint="eastAsia" w:ascii="仿宋" w:hAnsi="仿宋" w:eastAsia="仿宋"/>
          <w:sz w:val="32"/>
          <w:szCs w:val="32"/>
        </w:rPr>
        <w:t>11、负责医疗器械一类产品注册证的核发工作，对医疗用毒性药品、麻醉药品、精神药品、药品类易制毒化学品和药源性兴奋剂时行监督管理;监督实施国家药品、直接接触药品的包装材料和容器、医疗机构制剂的法定标准。</w:t>
      </w:r>
    </w:p>
    <w:p>
      <w:pPr>
        <w:ind w:firstLine="640"/>
        <w:rPr>
          <w:rFonts w:ascii="仿宋" w:hAnsi="仿宋" w:eastAsia="仿宋"/>
          <w:sz w:val="32"/>
          <w:szCs w:val="32"/>
        </w:rPr>
      </w:pPr>
      <w:r>
        <w:rPr>
          <w:rFonts w:hint="eastAsia" w:ascii="仿宋" w:hAnsi="仿宋" w:eastAsia="仿宋"/>
          <w:sz w:val="32"/>
          <w:szCs w:val="32"/>
        </w:rPr>
        <w:t>12、负责对药品、医疗器械、保健食品的广告进行监测。</w:t>
      </w:r>
    </w:p>
    <w:p>
      <w:pPr>
        <w:ind w:firstLine="640"/>
        <w:rPr>
          <w:rFonts w:ascii="仿宋" w:hAnsi="仿宋" w:eastAsia="仿宋"/>
          <w:sz w:val="32"/>
          <w:szCs w:val="32"/>
        </w:rPr>
      </w:pPr>
      <w:r>
        <w:rPr>
          <w:rFonts w:hint="eastAsia" w:ascii="仿宋" w:hAnsi="仿宋" w:eastAsia="仿宋"/>
          <w:sz w:val="32"/>
          <w:szCs w:val="32"/>
        </w:rPr>
        <w:t>13、承担县人民政府食品安全委员会的日常工作。负责食品安全监督管理综合协调，推动健全协调联动机制。督促检查县政府和县直有关部门履行食品药品安全监督管理职责，并负责考核评价。</w:t>
      </w:r>
    </w:p>
    <w:p>
      <w:pPr>
        <w:pStyle w:val="3"/>
        <w:spacing w:before="0" w:after="0" w:line="560" w:lineRule="exact"/>
        <w:ind w:firstLine="640" w:firstLineChars="200"/>
        <w:rPr>
          <w:rFonts w:ascii="仿宋" w:hAnsi="仿宋" w:eastAsia="仿宋"/>
          <w:b w:val="0"/>
          <w:bCs w:val="0"/>
        </w:rPr>
      </w:pPr>
      <w:r>
        <w:rPr>
          <w:rFonts w:hint="eastAsia" w:ascii="仿宋" w:hAnsi="仿宋" w:eastAsia="仿宋"/>
          <w:b w:val="0"/>
          <w:bCs w:val="0"/>
        </w:rPr>
        <w:t>14、承办县政府及县政府食品安全委员会交办的其他事项</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（以下简称“单位”）共1个，是无极县食品药品监督管理局 ，单位基本性质为行政单位，预算管理级次为一级预算单位，执行行政单位会计制度。</w:t>
      </w: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40" w:firstLine="640" w:firstLineChars="200"/>
        <w:rPr>
          <w:rFonts w:eastAsia="仿宋_GB2312"/>
          <w:sz w:val="32"/>
          <w:szCs w:val="32"/>
        </w:rPr>
      </w:pPr>
      <w:r>
        <w:rPr>
          <w:rFonts w:hint="eastAsia" w:eastAsia="仿宋_GB2312"/>
          <w:sz w:val="32"/>
          <w:szCs w:val="32"/>
        </w:rPr>
        <w:t>（以上表格见附件）</w:t>
      </w:r>
    </w:p>
    <w:p>
      <w:pPr>
        <w:widowControl/>
        <w:spacing w:line="580" w:lineRule="exact"/>
        <w:ind w:left="640" w:firstLine="640" w:firstLineChars="200"/>
        <w:rPr>
          <w:rFonts w:eastAsia="仿宋_GB2312"/>
          <w:sz w:val="32"/>
          <w:szCs w:val="32"/>
        </w:rPr>
      </w:pPr>
    </w:p>
    <w:p>
      <w:pPr>
        <w:widowControl/>
        <w:spacing w:after="0" w:line="56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5" w:left="1588" w:header="851" w:footer="992" w:gutter="0"/>
          <w:cols w:space="425" w:num="1"/>
          <w:docGrid w:type="lines" w:linePitch="312" w:charSpace="0"/>
        </w:sect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26万元，本年收入427.65万元；本年支出453.65万元、年末结转和结余0万元。与2016年度决算相比，本年收入减少35.26万元，降低7.62%，主要是项目支出重大公共卫生专项拨款减少，基本支出商品和服务拨款减少；本年支出增加4.36万元，增长0.97%，主要是人员经费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本部门2017年度本年收入合计427.65万元，其中：财政拨款收入427.65万元，占100%。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本部门2017年度本年支出合计453.65万元，其中：基本支出340.31万元，占75.02%；项目支出113.34万元，占24.98%。</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26万元、本年收入427.65万元；本年支出453.64万元、无年末结转和结余。与2016年度决算相比，一般公共预算财政拨款本年收入减少35.26万元，降低7.62%，主要是主要是项目支出重大公共卫生专项拨款减少，基本支出商品和服务拨款减少；本年支出增加4.36万元，增长0.97%，主要是人员经费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本部门2017年度一般公共预算财政拨款本年收入较2017年初预算减少45.37万元，降低8.93%，主要是基本支出拨款收入减少；本年支出减少54.64万元，降低10.75%，主要是基本支出减少。</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本部门2017年度“三公”经费支出共计6万元，较年初预算无变化；较2016年度决算</w:t>
      </w:r>
      <w:r>
        <w:rPr>
          <w:rFonts w:hint="eastAsia" w:ascii="仿宋_GB2312" w:eastAsia="仿宋_GB2312" w:cs="DengXian-Regular"/>
          <w:sz w:val="32"/>
          <w:szCs w:val="32"/>
          <w:lang w:val="en-US" w:eastAsia="zh-CN"/>
        </w:rPr>
        <w:t>减少0.92万元，降低13.29%，主要是节俭开支，严格公务接待制度</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w:t>
      </w:r>
      <w:r>
        <w:rPr>
          <w:rFonts w:hint="eastAsia" w:ascii="仿宋_GB2312" w:eastAsia="仿宋_GB2312" w:cs="DengXian-Regular"/>
          <w:sz w:val="32"/>
          <w:szCs w:val="32"/>
        </w:rPr>
        <w:t>本部门2017年度无因公出国（境）费支出。</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（二）公务用车购置及运行维护费支出6万元。</w:t>
      </w:r>
      <w:r>
        <w:rPr>
          <w:rFonts w:hint="eastAsia" w:ascii="仿宋_GB2312" w:eastAsia="仿宋_GB2312" w:cs="DengXian-Regular"/>
          <w:sz w:val="32"/>
          <w:szCs w:val="32"/>
        </w:rPr>
        <w:t>本部门2017年度公务用车购置及运行维护费较年初预算无变化；较2016年度决算</w:t>
      </w:r>
      <w:r>
        <w:rPr>
          <w:rFonts w:hint="eastAsia" w:ascii="仿宋_GB2312" w:eastAsia="仿宋_GB2312" w:cs="DengXian-Regular"/>
          <w:sz w:val="32"/>
          <w:szCs w:val="32"/>
          <w:lang w:val="en-US" w:eastAsia="zh-CN"/>
        </w:rPr>
        <w:t>减少0.80万元，降低11.76%，主要是节俭开支。</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本部门2017年度无公务用车购置量。</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发生“公务用车购置”经费支出。公务用车购置费支出较年初预算</w:t>
      </w:r>
      <w:r>
        <w:rPr>
          <w:rFonts w:hint="eastAsia" w:ascii="仿宋_GB2312" w:eastAsia="仿宋_GB2312" w:cs="DengXian-Regular"/>
          <w:sz w:val="32"/>
          <w:szCs w:val="32"/>
          <w:lang w:eastAsia="zh-CN"/>
        </w:rPr>
        <w:t>无增减；较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本部门2017年度单位公务用车保有量2辆。公车运行维护费支出较年初预算无变化；较2016年度决算无变化。</w:t>
      </w:r>
    </w:p>
    <w:p>
      <w:pPr>
        <w:adjustRightInd w:val="0"/>
        <w:snapToGrid w:val="0"/>
        <w:spacing w:after="0" w:line="560" w:lineRule="exact"/>
        <w:ind w:firstLine="643" w:firstLineChars="200"/>
        <w:rPr>
          <w:rFonts w:ascii="仿宋_GB2312" w:eastAsia="仿宋_GB2312" w:cs="DengXian-Regular"/>
          <w:sz w:val="32"/>
          <w:szCs w:val="32"/>
          <w:lang w:val="en-US"/>
        </w:rPr>
      </w:pPr>
      <w:r>
        <w:rPr>
          <w:rFonts w:hint="eastAsia" w:ascii="楷体_GB2312" w:eastAsia="楷体_GB2312" w:cs="DengXian-Bold"/>
          <w:b/>
          <w:bCs/>
          <w:sz w:val="32"/>
          <w:szCs w:val="32"/>
        </w:rPr>
        <w:t>（三）公务接待费。</w:t>
      </w:r>
      <w:r>
        <w:rPr>
          <w:rFonts w:hint="eastAsia" w:ascii="仿宋_GB2312" w:eastAsia="仿宋_GB2312" w:cs="DengXian-Regular"/>
          <w:sz w:val="32"/>
          <w:szCs w:val="32"/>
        </w:rPr>
        <w:t>本部门2017年度无公务接待。公车运行维护费支出较年初预算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减少0.12万元，降低100%，主要是严格公务接待制度。</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根据预算绩效管理要求，本单位组织对2017年度一般公共预算项目支出全面开展绩效自评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涉及食品安全监管经费、食品抽验经费、药品安全监管经费、执法办案经费等项目，涉及资金113.34万元，考核为良好。</w:t>
      </w:r>
    </w:p>
    <w:p>
      <w:pPr>
        <w:numPr>
          <w:ilvl w:val="0"/>
          <w:numId w:val="1"/>
        </w:num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预算项目绩效自评选例</w:t>
      </w:r>
    </w:p>
    <w:p>
      <w:pPr>
        <w:widowControl w:val="0"/>
        <w:numPr>
          <w:ilvl w:val="0"/>
          <w:numId w:val="0"/>
        </w:numPr>
        <w:wordWrap/>
        <w:adjustRightInd w:val="0"/>
        <w:snapToGrid w:val="0"/>
        <w:spacing w:before="0" w:after="0" w:line="560" w:lineRule="exact"/>
        <w:ind w:left="0" w:leftChars="0" w:right="0" w:firstLine="640" w:firstLineChars="200"/>
        <w:jc w:val="both"/>
        <w:textAlignment w:val="auto"/>
        <w:outlineLvl w:val="9"/>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食品安全监管经费、食品抽验经费、药品安全监管经费、执法办案经费等项目绩效自评：根据年初设定的绩效目标，食品安全监管经费、食品抽验经费、药品安全监管经费、执法办案经费等项目自评结果为良好。项目全年预算数为113.34万元。完成预算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bookmarkStart w:id="0" w:name="_GoBack"/>
      <w:bookmarkEnd w:id="0"/>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本部门2017年度机关运行经费支出94.47万元，比2016年度增加29.47万元，增长45.34%。主要原因是统计口径变化。</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本部门2017年度无政府采购支出</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截至2017年12月31日，本部门共有车辆5辆，其中，一般公务用车2辆、一般执法执勤用车2辆、特种专业技术用车1辆；无单位价值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无政府性基金预算财政拨款收入支出、无国有资本经营预算财政拨款收入支出、无政府采购情况，故政府性基金预算财政拨款收入支出表、国有资本经营预算财政拨款收入支出表、政府采购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E2F81"/>
    <w:rsid w:val="00152FB8"/>
    <w:rsid w:val="001A47F8"/>
    <w:rsid w:val="001B3410"/>
    <w:rsid w:val="001C030D"/>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E5500"/>
    <w:rsid w:val="00840A97"/>
    <w:rsid w:val="008B12D4"/>
    <w:rsid w:val="008C0149"/>
    <w:rsid w:val="009A1ABE"/>
    <w:rsid w:val="00A35CE0"/>
    <w:rsid w:val="00A44AA4"/>
    <w:rsid w:val="00A61623"/>
    <w:rsid w:val="00A84687"/>
    <w:rsid w:val="00AD3B6E"/>
    <w:rsid w:val="00B56722"/>
    <w:rsid w:val="00BF36AB"/>
    <w:rsid w:val="00C3774E"/>
    <w:rsid w:val="00C87FAB"/>
    <w:rsid w:val="00C91FF7"/>
    <w:rsid w:val="00C94E53"/>
    <w:rsid w:val="00DB35AF"/>
    <w:rsid w:val="00DF5B88"/>
    <w:rsid w:val="00E2595E"/>
    <w:rsid w:val="00E35374"/>
    <w:rsid w:val="00E50C19"/>
    <w:rsid w:val="00E75CFB"/>
    <w:rsid w:val="00E856C9"/>
    <w:rsid w:val="00EB6A8B"/>
    <w:rsid w:val="00EF38C6"/>
    <w:rsid w:val="00F272B8"/>
    <w:rsid w:val="00FE3DC8"/>
    <w:rsid w:val="028C387C"/>
    <w:rsid w:val="04FD21E3"/>
    <w:rsid w:val="0C7E0C17"/>
    <w:rsid w:val="0D3861D0"/>
    <w:rsid w:val="1112065D"/>
    <w:rsid w:val="1EB820F0"/>
    <w:rsid w:val="21721C04"/>
    <w:rsid w:val="260570F9"/>
    <w:rsid w:val="342E07E9"/>
    <w:rsid w:val="35887471"/>
    <w:rsid w:val="3A2F616D"/>
    <w:rsid w:val="3CA73ECD"/>
    <w:rsid w:val="4287384E"/>
    <w:rsid w:val="4916737B"/>
    <w:rsid w:val="4BC84B4D"/>
    <w:rsid w:val="4D5256F2"/>
    <w:rsid w:val="57F57417"/>
    <w:rsid w:val="5AF534B9"/>
    <w:rsid w:val="5F353316"/>
    <w:rsid w:val="61EE65FA"/>
    <w:rsid w:val="64CD680C"/>
    <w:rsid w:val="69F024EB"/>
    <w:rsid w:val="6F0D5779"/>
    <w:rsid w:val="70AE34CF"/>
    <w:rsid w:val="77650171"/>
    <w:rsid w:val="79502A15"/>
    <w:rsid w:val="79DF157A"/>
    <w:rsid w:val="7A632D35"/>
    <w:rsid w:val="7D294DA5"/>
    <w:rsid w:val="7E8D2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8"/>
    <w:semiHidden/>
    <w:unhideWhenUsed/>
    <w:qFormat/>
    <w:uiPriority w:val="99"/>
    <w:rPr>
      <w:sz w:val="18"/>
      <w:szCs w:val="18"/>
    </w:rPr>
  </w:style>
  <w:style w:type="paragraph" w:styleId="7">
    <w:name w:val="footer"/>
    <w:basedOn w:val="1"/>
    <w:link w:val="15"/>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2">
    <w:name w:val="Table Grid"/>
    <w:basedOn w:val="11"/>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paragraph" w:styleId="16">
    <w:name w:val="No Spacing"/>
    <w:link w:val="17"/>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7">
    <w:name w:val="无间隔 Char"/>
    <w:basedOn w:val="13"/>
    <w:link w:val="16"/>
    <w:qFormat/>
    <w:uiPriority w:val="1"/>
    <w:rPr>
      <w:kern w:val="0"/>
      <w:sz w:val="22"/>
    </w:rPr>
  </w:style>
  <w:style w:type="character" w:customStyle="1" w:styleId="18">
    <w:name w:val="批注框文本 Char"/>
    <w:basedOn w:val="13"/>
    <w:link w:val="6"/>
    <w:semiHidden/>
    <w:uiPriority w:val="99"/>
    <w:rPr>
      <w:rFonts w:ascii="Times New Roman" w:hAnsi="Times New Roman" w:eastAsia="宋体" w:cs="Times New Roman"/>
      <w:sz w:val="18"/>
      <w:szCs w:val="18"/>
    </w:rPr>
  </w:style>
  <w:style w:type="character" w:customStyle="1" w:styleId="19">
    <w:name w:val="标题 Char"/>
    <w:basedOn w:val="13"/>
    <w:link w:val="10"/>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0">
    <w:name w:val="副标题 Char"/>
    <w:basedOn w:val="13"/>
    <w:link w:val="9"/>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qFormat/>
    <w:uiPriority w:val="1"/>
    <w:rPr>
      <w:rFonts w:asciiTheme="minorHAnsi" w:hAnsiTheme="minorEastAsia" w:eastAsiaTheme="minorEastAsia" w:cstheme="minorBidi"/>
      <w:sz w:val="22"/>
      <w:szCs w:val="22"/>
      <w:lang w:eastAsia="zh-CN"/>
    </w:rPr>
  </w:style>
  <w:style w:type="character" w:customStyle="1" w:styleId="23">
    <w:name w:val="Style3"/>
    <w:basedOn w:val="13"/>
    <w:qFormat/>
    <w:uiPriority w:val="1"/>
    <w:rPr>
      <w:rFonts w:asciiTheme="minorHAnsi" w:hAnsiTheme="minorEastAsia" w:eastAsiaTheme="minorEastAsia" w:cstheme="minorBidi"/>
      <w:szCs w:val="22"/>
      <w:lang w:eastAsia="zh-CN"/>
    </w:rPr>
  </w:style>
  <w:style w:type="character" w:customStyle="1" w:styleId="24">
    <w:name w:val="Style4"/>
    <w:basedOn w:val="13"/>
    <w:qFormat/>
    <w:uiPriority w:val="1"/>
    <w:rPr>
      <w:rFonts w:asciiTheme="minorHAnsi" w:hAnsiTheme="minorEastAsia" w:eastAsiaTheme="minorEastAsia" w:cstheme="minorBidi"/>
      <w:szCs w:val="22"/>
      <w:lang w:eastAsia="zh-CN"/>
    </w:rPr>
  </w:style>
  <w:style w:type="character" w:customStyle="1" w:styleId="25">
    <w:name w:val="Style5"/>
    <w:basedOn w:val="13"/>
    <w:qFormat/>
    <w:uiPriority w:val="1"/>
    <w:rPr>
      <w:rFonts w:asciiTheme="minorHAnsi" w:hAnsiTheme="minorEastAsia" w:eastAsiaTheme="minorEastAsia" w:cstheme="minorBidi"/>
      <w:sz w:val="22"/>
      <w:szCs w:val="22"/>
      <w:lang w:eastAsia="zh-CN"/>
    </w:rPr>
  </w:style>
  <w:style w:type="character" w:customStyle="1" w:styleId="26">
    <w:name w:val="标题 1 Char"/>
    <w:basedOn w:val="13"/>
    <w:link w:val="2"/>
    <w:qFormat/>
    <w:uiPriority w:val="9"/>
    <w:rPr>
      <w:rFonts w:ascii="Times New Roman" w:hAnsi="Times New Roman" w:eastAsia="宋体" w:cs="Times New Roman"/>
      <w:b/>
      <w:bCs/>
      <w:kern w:val="44"/>
      <w:sz w:val="44"/>
      <w:szCs w:val="44"/>
    </w:rPr>
  </w:style>
  <w:style w:type="character" w:customStyle="1" w:styleId="27">
    <w:name w:val="标题 2 Char"/>
    <w:basedOn w:val="13"/>
    <w:link w:val="3"/>
    <w:qFormat/>
    <w:uiPriority w:val="9"/>
    <w:rPr>
      <w:rFonts w:asciiTheme="majorHAnsi" w:hAnsiTheme="majorHAnsi" w:eastAsiaTheme="majorEastAsia" w:cstheme="majorBidi"/>
      <w:b/>
      <w:bCs/>
      <w:sz w:val="32"/>
      <w:szCs w:val="32"/>
    </w:rPr>
  </w:style>
  <w:style w:type="character" w:customStyle="1" w:styleId="28">
    <w:name w:val="标题 3 Char"/>
    <w:basedOn w:val="13"/>
    <w:link w:val="4"/>
    <w:qFormat/>
    <w:uiPriority w:val="9"/>
    <w:rPr>
      <w:rFonts w:ascii="Times New Roman" w:hAnsi="Times New Roman" w:eastAsia="宋体" w:cs="Times New Roman"/>
      <w:b/>
      <w:bCs/>
      <w:sz w:val="32"/>
      <w:szCs w:val="32"/>
    </w:rPr>
  </w:style>
  <w:style w:type="character" w:customStyle="1" w:styleId="29">
    <w:name w:val="标题 4 Char"/>
    <w:basedOn w:val="13"/>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123\AppData\Local\Packages\Microsoft.MicrosoftEdge_8wekyb3d8bbwe\TempState\Downloads\2018092710460970970%20(1).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123\AppData\Local\Packages\Microsoft.MicrosoftEdge_8wekyb3d8bbwe\TempState\Downloads\2018092710460970970%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'[2018092710460970970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'[2018092710460970970 (1).xls]Z03 收入决算表(公开02表)'!$F$9:$K$9</c:f>
              <c:numCache>
                <c:formatCode>#,##0.00</c:formatCode>
                <c:ptCount val="6"/>
                <c:pt idx="0">
                  <c:v>427.65</c:v>
                </c:pt>
                <c:pt idx="1">
                  <c:v>0</c:v>
                </c:pt>
                <c:pt idx="2">
                  <c:v>0</c:v>
                </c:pt>
                <c:pt idx="3">
                  <c:v>0</c:v>
                </c:pt>
                <c:pt idx="4">
                  <c:v>0</c:v>
                </c:pt>
                <c:pt idx="5">
                  <c:v>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'[2018092710460970970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'[2018092710460970970 (1).xls]Z04 支出决算表(公开03表)'!$F$9:$J$9</c:f>
              <c:numCache>
                <c:formatCode>#,##0.00</c:formatCode>
                <c:ptCount val="5"/>
                <c:pt idx="0">
                  <c:v>340.31</c:v>
                </c:pt>
                <c:pt idx="1">
                  <c:v>113.34</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220A9E-AFFA-4E45-A39B-FD5CE0670C1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695</Words>
  <Characters>3963</Characters>
  <Lines>33</Lines>
  <Paragraphs>9</Paragraphs>
  <TotalTime>1</TotalTime>
  <ScaleCrop>false</ScaleCrop>
  <LinksUpToDate>false</LinksUpToDate>
  <CharactersWithSpaces>4649</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123</cp:lastModifiedBy>
  <dcterms:modified xsi:type="dcterms:W3CDTF">2019-02-14T01:19:34Z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