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rPr>
      </w:pPr>
    </w:p>
    <w:p>
      <w:pPr>
        <w:widowControl/>
        <w:jc w:val="center"/>
        <w:rPr>
          <w:rFonts w:hAnsi="宋体" w:asciiTheme="minorEastAsia" w:eastAsiaTheme="minorEastAsia"/>
          <w:color w:val="002060"/>
          <w:sz w:val="84"/>
          <w:szCs w:val="84"/>
        </w:rPr>
      </w:pPr>
      <w:r>
        <w:rPr>
          <w:rFonts w:hint="eastAsia" w:hAnsi="宋体" w:asciiTheme="minorEastAsia" w:eastAsiaTheme="minorEastAsia"/>
          <w:color w:val="002060"/>
          <w:sz w:val="84"/>
          <w:szCs w:val="84"/>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宋体" w:hAnsi="宋体"/>
          <w:b/>
          <w:sz w:val="44"/>
          <w:szCs w:val="44"/>
        </w:rPr>
      </w:pPr>
      <w:r>
        <w:rPr>
          <w:rFonts w:hint="eastAsia" w:ascii="宋体" w:hAnsi="宋体"/>
          <w:b/>
          <w:sz w:val="44"/>
          <w:szCs w:val="44"/>
        </w:rPr>
        <w:t>无极县工商行政管理局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无极县工商行政管理</w:t>
      </w:r>
      <w:r>
        <w:rPr>
          <w:rFonts w:eastAsia="黑体"/>
          <w:sz w:val="32"/>
          <w:szCs w:val="32"/>
        </w:rPr>
        <w:t>部门概况</w:t>
      </w:r>
      <w:r>
        <w:rPr>
          <w:rFonts w:hint="eastAsia" w:eastAsia="仿宋_GB2312"/>
          <w:sz w:val="24"/>
          <w:szCs w:val="32"/>
        </w:rPr>
        <w:t xml:space="preserve">   </w:t>
      </w:r>
    </w:p>
    <w:p>
      <w:pPr>
        <w:widowControl/>
        <w:spacing w:line="580" w:lineRule="exact"/>
        <w:ind w:firstLine="640" w:firstLineChars="200"/>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640" w:firstLineChars="200"/>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无极县工商行政管理</w:t>
      </w:r>
      <w:r>
        <w:rPr>
          <w:rFonts w:eastAsia="黑体"/>
          <w:sz w:val="32"/>
          <w:szCs w:val="32"/>
        </w:rPr>
        <w:t>部门2017年度部门决算报表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r>
        <w:rPr>
          <w:rFonts w:hint="eastAsia" w:eastAsia="仿宋_GB2312"/>
          <w:sz w:val="32"/>
          <w:szCs w:val="32"/>
        </w:rPr>
        <w:t xml:space="preserve"> </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无极县工商行政管理部门</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仿宋_GB2312" w:eastAsia="仿宋_GB2312" w:cs="黑体" w:hAnsiTheme="minorHAnsi"/>
          <w:kern w:val="0"/>
        </w:rPr>
      </w:pPr>
      <w:r>
        <w:rPr>
          <w:rFonts w:hint="eastAsia" w:ascii="仿宋_GB2312" w:eastAsia="仿宋_GB2312" w:cs="黑体" w:hAnsiTheme="minorHAnsi"/>
          <w:kern w:val="0"/>
        </w:rPr>
        <w:t>一、部门职责</w:t>
      </w:r>
    </w:p>
    <w:p>
      <w:pPr>
        <w:ind w:firstLine="660"/>
        <w:rPr>
          <w:rFonts w:ascii="仿宋_GB2312" w:hAnsi="仿宋" w:eastAsia="仿宋_GB2312"/>
          <w:sz w:val="32"/>
          <w:szCs w:val="32"/>
        </w:rPr>
      </w:pPr>
      <w:r>
        <w:rPr>
          <w:rFonts w:hint="eastAsia" w:ascii="仿宋_GB2312" w:hAnsi="仿宋" w:eastAsia="仿宋_GB2312"/>
          <w:sz w:val="32"/>
          <w:szCs w:val="32"/>
        </w:rPr>
        <w:t>1、依法负责全县各类市场监督管理和行政执法工作。贯彻执行国家和省关于工商行政管理的方针政策和法律法规;落实省、市工商行政管理局工作部署;拟定全县工商行政管理措施办法。</w:t>
      </w:r>
    </w:p>
    <w:p>
      <w:pPr>
        <w:ind w:firstLine="660"/>
        <w:rPr>
          <w:rFonts w:ascii="仿宋_GB2312" w:hAnsi="仿宋" w:eastAsia="仿宋_GB2312"/>
          <w:sz w:val="32"/>
          <w:szCs w:val="32"/>
        </w:rPr>
      </w:pPr>
      <w:r>
        <w:rPr>
          <w:rFonts w:hint="eastAsia" w:ascii="仿宋_GB2312" w:hAnsi="仿宋" w:eastAsia="仿宋_GB2312"/>
          <w:sz w:val="32"/>
          <w:szCs w:val="32"/>
        </w:rPr>
        <w:t>2、按照业务权限负责全县各类企业、农民专业合作社和从事经营活动的单位、个人以及外国（地区）企业驻辖区代表机构等市场主体的登记注册和监督管理。在县政府领导下，按照职责分工依法查处取缔无照经营。负责工商行政管理业务信息库建设。</w:t>
      </w:r>
    </w:p>
    <w:p>
      <w:pPr>
        <w:ind w:firstLine="660"/>
        <w:rPr>
          <w:rFonts w:ascii="仿宋_GB2312" w:hAnsi="仿宋" w:eastAsia="仿宋_GB2312"/>
          <w:sz w:val="32"/>
          <w:szCs w:val="32"/>
        </w:rPr>
      </w:pPr>
      <w:r>
        <w:rPr>
          <w:rFonts w:hint="eastAsia" w:ascii="仿宋_GB2312" w:hAnsi="仿宋" w:eastAsia="仿宋_GB2312"/>
          <w:sz w:val="32"/>
          <w:szCs w:val="32"/>
        </w:rPr>
        <w:t>3、负责依法规范和维护辖区各类市场经营秩序，监督管理市场交易行为和网络商品交易及有关服务的行为。</w:t>
      </w:r>
    </w:p>
    <w:p>
      <w:pPr>
        <w:ind w:firstLine="660"/>
        <w:rPr>
          <w:rFonts w:ascii="仿宋_GB2312" w:hAnsi="仿宋" w:eastAsia="仿宋_GB2312"/>
          <w:sz w:val="32"/>
          <w:szCs w:val="32"/>
        </w:rPr>
      </w:pPr>
      <w:r>
        <w:rPr>
          <w:rFonts w:hint="eastAsia" w:ascii="仿宋_GB2312" w:hAnsi="仿宋" w:eastAsia="仿宋_GB2312"/>
          <w:sz w:val="32"/>
          <w:szCs w:val="32"/>
        </w:rPr>
        <w:t>4、在县政府的领导下，监督管理流通领域商品质量，组织开展有关服务领域消费维权工作，按分工查处假冒伪劣等违法行为，指导消费者咨询、申诉、举报受理、处理和网络体系建设等工作，保护消费者、经营者合法权益。</w:t>
      </w:r>
    </w:p>
    <w:p>
      <w:pPr>
        <w:ind w:firstLine="660"/>
        <w:rPr>
          <w:rFonts w:ascii="仿宋_GB2312" w:hAnsi="仿宋" w:eastAsia="仿宋_GB2312"/>
          <w:sz w:val="32"/>
          <w:szCs w:val="32"/>
        </w:rPr>
      </w:pPr>
      <w:r>
        <w:rPr>
          <w:rFonts w:hint="eastAsia" w:ascii="仿宋_GB2312" w:hAnsi="仿宋" w:eastAsia="仿宋_GB2312"/>
          <w:sz w:val="32"/>
          <w:szCs w:val="32"/>
        </w:rPr>
        <w:t>5、在县政府领导下，按照职责分工依法查处违法直销和传销行为，依法监督管理直销企业和直销员及其直销活动。</w:t>
      </w:r>
    </w:p>
    <w:p>
      <w:pPr>
        <w:ind w:firstLine="660"/>
        <w:rPr>
          <w:rFonts w:ascii="仿宋_GB2312" w:hAnsi="仿宋" w:eastAsia="仿宋_GB2312"/>
          <w:sz w:val="32"/>
          <w:szCs w:val="32"/>
        </w:rPr>
      </w:pPr>
      <w:r>
        <w:rPr>
          <w:rFonts w:hint="eastAsia" w:ascii="仿宋_GB2312" w:hAnsi="仿宋" w:eastAsia="仿宋_GB2312"/>
          <w:sz w:val="32"/>
          <w:szCs w:val="32"/>
        </w:rPr>
        <w:t>6、根据授权依法负责垄断协议、滥用市场支配地位、滥用行政权力排除限制竞争方面的反垄断执法工作（价格垄断行为除外）。依法查处不正当竞争、商业贿赂、走私贩私等经济违法行为。</w:t>
      </w:r>
    </w:p>
    <w:p>
      <w:pPr>
        <w:ind w:firstLine="660"/>
        <w:rPr>
          <w:rFonts w:ascii="仿宋_GB2312" w:hAnsi="仿宋" w:eastAsia="仿宋_GB2312"/>
          <w:sz w:val="32"/>
          <w:szCs w:val="32"/>
        </w:rPr>
      </w:pPr>
      <w:r>
        <w:rPr>
          <w:rFonts w:hint="eastAsia" w:ascii="仿宋_GB2312" w:hAnsi="仿宋" w:eastAsia="仿宋_GB2312"/>
          <w:sz w:val="32"/>
          <w:szCs w:val="32"/>
        </w:rPr>
        <w:t>7、依法监督管理经纪人、经纪机构及经纪活动。</w:t>
      </w:r>
    </w:p>
    <w:p>
      <w:pPr>
        <w:ind w:firstLine="660"/>
        <w:rPr>
          <w:rFonts w:ascii="仿宋_GB2312" w:hAnsi="仿宋" w:eastAsia="仿宋_GB2312"/>
          <w:sz w:val="32"/>
          <w:szCs w:val="32"/>
        </w:rPr>
      </w:pPr>
      <w:r>
        <w:rPr>
          <w:rFonts w:hint="eastAsia" w:ascii="仿宋_GB2312" w:hAnsi="仿宋" w:eastAsia="仿宋_GB2312"/>
          <w:sz w:val="32"/>
          <w:szCs w:val="32"/>
        </w:rPr>
        <w:t>8、依法实施合同行政监督管理，负责管理动产抵押物登记，组织监督管理拍卖行为，依法查处合同欺诈等违法行为。</w:t>
      </w:r>
    </w:p>
    <w:p>
      <w:pPr>
        <w:ind w:firstLine="660"/>
        <w:rPr>
          <w:rFonts w:ascii="仿宋_GB2312" w:hAnsi="仿宋" w:eastAsia="仿宋_GB2312"/>
          <w:sz w:val="32"/>
          <w:szCs w:val="32"/>
        </w:rPr>
      </w:pPr>
      <w:r>
        <w:rPr>
          <w:rFonts w:hint="eastAsia" w:ascii="仿宋_GB2312" w:hAnsi="仿宋" w:eastAsia="仿宋_GB2312"/>
          <w:sz w:val="32"/>
          <w:szCs w:val="32"/>
        </w:rPr>
        <w:t>9、指导广告业发展，负责广告活动的监督管理工作。</w:t>
      </w:r>
    </w:p>
    <w:p>
      <w:pPr>
        <w:ind w:firstLine="660"/>
        <w:rPr>
          <w:rFonts w:ascii="仿宋_GB2312" w:hAnsi="仿宋" w:eastAsia="仿宋_GB2312"/>
          <w:sz w:val="32"/>
          <w:szCs w:val="32"/>
        </w:rPr>
      </w:pPr>
      <w:r>
        <w:rPr>
          <w:rFonts w:hint="eastAsia" w:ascii="仿宋_GB2312" w:hAnsi="仿宋" w:eastAsia="仿宋_GB2312"/>
          <w:sz w:val="32"/>
          <w:szCs w:val="32"/>
        </w:rPr>
        <w:t>10、组织指导商标管理工作，依法保护商标专用权和查处商标侵权行为，负责驰名商标、著名商标的培</w:t>
      </w:r>
      <w:r>
        <w:rPr>
          <w:rFonts w:hint="eastAsia" w:ascii="仿宋_GB2312" w:hAnsi="仿宋" w:eastAsia="仿宋"/>
          <w:sz w:val="32"/>
          <w:szCs w:val="32"/>
        </w:rPr>
        <w:t>堉</w:t>
      </w:r>
      <w:r>
        <w:rPr>
          <w:rFonts w:hint="eastAsia" w:ascii="仿宋_GB2312" w:hAnsi="仿宋" w:eastAsia="仿宋_GB2312"/>
          <w:sz w:val="32"/>
          <w:szCs w:val="32"/>
        </w:rPr>
        <w:t>推荐保护工作。负责特殊标志、官方标志的保护。</w:t>
      </w:r>
    </w:p>
    <w:p>
      <w:pPr>
        <w:ind w:firstLine="660"/>
        <w:rPr>
          <w:rFonts w:ascii="仿宋_GB2312" w:hAnsi="仿宋" w:eastAsia="仿宋_GB2312"/>
          <w:sz w:val="32"/>
          <w:szCs w:val="32"/>
        </w:rPr>
      </w:pPr>
      <w:r>
        <w:rPr>
          <w:rFonts w:hint="eastAsia" w:ascii="仿宋_GB2312" w:hAnsi="仿宋" w:eastAsia="仿宋_GB2312"/>
          <w:sz w:val="32"/>
          <w:szCs w:val="32"/>
        </w:rPr>
        <w:t>11、组织指导企业、个体工商户、商品交易市场信用分类管理，研究分析并依法发布市场主体登记注册基础信息等相关信息，为政府决策和社会公众提供信息服务。</w:t>
      </w:r>
    </w:p>
    <w:p>
      <w:pPr>
        <w:ind w:firstLine="660"/>
        <w:rPr>
          <w:rFonts w:ascii="仿宋_GB2312" w:hAnsi="仿宋" w:eastAsia="仿宋_GB2312"/>
          <w:sz w:val="32"/>
          <w:szCs w:val="32"/>
        </w:rPr>
      </w:pPr>
      <w:r>
        <w:rPr>
          <w:rFonts w:hint="eastAsia" w:ascii="仿宋_GB2312" w:hAnsi="仿宋" w:eastAsia="仿宋_GB2312"/>
          <w:sz w:val="32"/>
          <w:szCs w:val="32"/>
        </w:rPr>
        <w:t>12、负责个体工商户、私营企业经营行为的服务和监督管理。</w:t>
      </w:r>
    </w:p>
    <w:p>
      <w:pPr>
        <w:ind w:firstLine="660"/>
        <w:rPr>
          <w:rFonts w:ascii="仿宋_GB2312" w:hAnsi="仿宋" w:eastAsia="仿宋_GB2312"/>
          <w:sz w:val="32"/>
          <w:szCs w:val="32"/>
        </w:rPr>
      </w:pPr>
      <w:r>
        <w:rPr>
          <w:rFonts w:hint="eastAsia" w:ascii="仿宋_GB2312" w:hAnsi="仿宋" w:eastAsia="仿宋_GB2312"/>
          <w:sz w:val="32"/>
          <w:szCs w:val="32"/>
        </w:rPr>
        <w:t>13、按照规定管理所辖机关及直属单位的人事、财务、审计、监察、离退休干部、基层队伍建设、培训工作。</w:t>
      </w:r>
    </w:p>
    <w:p>
      <w:pPr>
        <w:ind w:firstLine="660"/>
        <w:rPr>
          <w:rFonts w:ascii="仿宋_GB2312" w:hAnsi="仿宋" w:eastAsia="仿宋_GB2312"/>
          <w:sz w:val="32"/>
          <w:szCs w:val="32"/>
        </w:rPr>
      </w:pPr>
      <w:r>
        <w:rPr>
          <w:rFonts w:hint="eastAsia" w:ascii="仿宋_GB2312" w:hAnsi="仿宋" w:eastAsia="仿宋_GB2312"/>
          <w:sz w:val="32"/>
          <w:szCs w:val="32"/>
        </w:rPr>
        <w:t>14组织指导消费者协会、私营企业协会、个体劳动者协会、民用品维修行业协会、商标协会、广告协会等有关社团的工作。</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hAnsi="仿宋" w:eastAsia="仿宋_GB2312"/>
          <w:sz w:val="32"/>
          <w:szCs w:val="32"/>
        </w:rPr>
        <w:t>15、承办上级交办的其他事项。</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年度，纳入本部门决算汇编范围的独立核算单位</w:t>
      </w:r>
    </w:p>
    <w:p>
      <w:pPr>
        <w:autoSpaceDE w:val="0"/>
        <w:autoSpaceDN w:val="0"/>
        <w:adjustRightInd w:val="0"/>
        <w:spacing w:after="0" w:line="560" w:lineRule="exact"/>
        <w:jc w:val="left"/>
        <w:rPr>
          <w:rFonts w:ascii="仿宋_GB2312" w:eastAsia="仿宋_GB2312" w:cs="ArialUnicodeMS" w:hAnsiTheme="minorHAnsi"/>
          <w:kern w:val="0"/>
          <w:sz w:val="32"/>
          <w:szCs w:val="32"/>
        </w:rPr>
        <w:sectPr>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（以下简称“单位”）共 1个，是无极县工商行政管理局 ，单位基本性质为行政单位，预算管理级次为一级预算单位，执行行政单位会计制度，与上年无变化。</w:t>
      </w:r>
    </w:p>
    <w:p>
      <w:pPr>
        <w:spacing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pStyle w:val="2"/>
        <w:spacing w:line="560" w:lineRule="exact"/>
        <w:jc w:val="center"/>
        <w:rPr>
          <w:rFonts w:cs="MS-UIGothic,Bold" w:asciiTheme="majorEastAsia" w:hAnsiTheme="majorEastAsia" w:eastAsiaTheme="majorEastAsia"/>
          <w:kern w:val="0"/>
        </w:rPr>
      </w:pPr>
      <w:r>
        <w:rPr>
          <w:rFonts w:hint="eastAsia" w:ascii="宋体" w:hAnsi="宋体" w:cs="ArialUnicodeMS"/>
          <w:color w:val="000000"/>
          <w:kern w:val="0"/>
        </w:rPr>
        <w:t>第二部分 2017年度部门决算报表</w:t>
      </w:r>
    </w:p>
    <w:p>
      <w:pPr>
        <w:widowControl/>
        <w:spacing w:after="0" w:line="560" w:lineRule="exact"/>
        <w:ind w:firstLine="640" w:firstLineChars="200"/>
        <w:jc w:val="center"/>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（见附件）</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1、收入支出决算总表</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2、收入决算表</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3、支出决算表</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4、财政拨款收入支出决算总表</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5、一般公共预算财政拨款收入支出决算表</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6、一般公共预算财政拨款基本支出决算表</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7、政府性基金预算财政拨款收入支出决算表</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8、国有资本经营预算财政拨款收入支出决算表</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9、“三公”经费及相关信息统计表</w:t>
      </w:r>
    </w:p>
    <w:p>
      <w:pPr>
        <w:widowControl/>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10、政府采购情况表</w:t>
      </w: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w:t>
      </w:r>
      <w:r>
        <w:rPr>
          <w:rFonts w:cs="ArialUnicodeMS" w:asciiTheme="majorEastAsia" w:hAnsiTheme="majorEastAsia" w:eastAsiaTheme="majorEastAsia"/>
          <w:color w:val="000000"/>
          <w:kern w:val="0"/>
        </w:rPr>
        <w:t xml:space="preserve"> </w:t>
      </w:r>
      <w:r>
        <w:rPr>
          <w:rFonts w:hint="eastAsia" w:cs="ArialUnicodeMS" w:asciiTheme="majorEastAsia" w:hAnsiTheme="majorEastAsia" w:eastAsiaTheme="majorEastAsia"/>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pStyle w:val="3"/>
        <w:spacing w:before="0" w:after="0" w:line="560" w:lineRule="exact"/>
        <w:ind w:firstLine="640" w:firstLineChars="200"/>
        <w:rPr>
          <w:rFonts w:hint="eastAsia" w:ascii="仿宋_GB2312" w:eastAsia="仿宋_GB2312" w:cs="DengXian-Regular"/>
          <w:b w:val="0"/>
          <w:bCs w:val="0"/>
        </w:rPr>
      </w:pPr>
      <w:r>
        <w:rPr>
          <w:rFonts w:hint="eastAsia" w:ascii="仿宋_GB2312" w:eastAsia="仿宋_GB2312" w:cs="DengXian-Regular"/>
          <w:b w:val="0"/>
          <w:bCs w:val="0"/>
        </w:rPr>
        <w:t>本部门2017年度年初结转和结余37.68万元，本年收入1655.66万元；本年支出1636.65万元、年末结转和结余56.69万元。与2016年度决算相比，本年收入增加173.81万元，增长11.73%，主要是人员工资经费和项目经费财政拨款增加；本年支出增加146.92万元，增长10.06%，主要是人员经费和项目经费支出增加。</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b w:val="0"/>
          <w:bCs w:val="0"/>
          <w:sz w:val="32"/>
          <w:szCs w:val="32"/>
          <w:lang w:val="en-US" w:eastAsia="zh-CN"/>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本部门2017年度本年收入合计1655.66万元，其中：财政拨款收入1655.63万元，占近100%；其他收入0.03万元，占0%。</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drawing>
          <wp:inline distT="0" distB="0" distL="114300" distR="114300">
            <wp:extent cx="4572000" cy="2743200"/>
            <wp:effectExtent l="4445" t="4445" r="14605"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本部门2017年度本年支出合计1636.65万元，其中：基本支出1340.19万元，占81.89%；项目支出296.46万元，占18.11%。</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drawing>
          <wp:inline distT="0" distB="0" distL="114300" distR="114300">
            <wp:extent cx="4572000" cy="2743200"/>
            <wp:effectExtent l="4445" t="4445" r="1460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37.68万元、本年收入1655.63万元；本年支出1636.62万元、年末结转和结余56.69万元。与2016年度决算相比，一般公共预算财政拨款本年收入增加179.89万元，增长12.19%，主要是人员经费和项目经费收入增加；本年支出增加140.45万元，增长9.39%，主要是人员工资和社会保障缴费支出增加。</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本部门2017年度一般公共预算财政拨款本年收入较2017年初预算增加51.37万元，增长3.20%，主要是项目支出资金增加；本年支出增加32.36万元，增长2.02%，主要是项目资金支出增加。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本部门2017年度“三公”经费支出共计0.25万元，较年初预算减少0.25万元，降低50%，主要是严格控制接待次数和标准；较2016年度决算减少1.63万元，降低86.70%，主要是减少培训费的开支。具体情况如下：</w:t>
      </w:r>
    </w:p>
    <w:p>
      <w:pPr>
        <w:keepNext w:val="0"/>
        <w:keepLines w:val="0"/>
        <w:pageBreakBefore w:val="0"/>
        <w:widowControl w:val="0"/>
        <w:numPr>
          <w:ilvl w:val="0"/>
          <w:numId w:val="1"/>
        </w:numPr>
        <w:kinsoku/>
        <w:wordWrap/>
        <w:overflowPunct/>
        <w:topLinePunct w:val="0"/>
        <w:autoSpaceDE/>
        <w:autoSpaceDN/>
        <w:bidi w:val="0"/>
        <w:adjustRightInd w:val="0"/>
        <w:snapToGrid w:val="0"/>
        <w:spacing w:after="0" w:line="560" w:lineRule="exact"/>
        <w:ind w:firstLine="643" w:firstLineChars="200"/>
        <w:textAlignment w:val="auto"/>
        <w:rPr>
          <w:rFonts w:hint="eastAsia" w:ascii="仿宋_GB2312" w:eastAsia="仿宋_GB2312" w:cs="DengXian-Regular"/>
          <w:sz w:val="32"/>
          <w:szCs w:val="32"/>
          <w:lang w:val="en-US" w:eastAsia="zh-CN"/>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本单位</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出国（境）团组。</w:t>
      </w:r>
      <w:r>
        <w:rPr>
          <w:rFonts w:hint="eastAsia" w:ascii="仿宋_GB2312" w:eastAsia="仿宋_GB2312" w:cs="DengXian-Regular"/>
          <w:sz w:val="32"/>
          <w:szCs w:val="32"/>
          <w:lang w:eastAsia="zh-CN"/>
        </w:rPr>
        <w:t>较年初预算无增减变化；较</w:t>
      </w:r>
      <w:r>
        <w:rPr>
          <w:rFonts w:hint="eastAsia" w:ascii="仿宋_GB2312" w:eastAsia="仿宋_GB2312" w:cs="DengXian-Regular"/>
          <w:sz w:val="32"/>
          <w:szCs w:val="32"/>
          <w:lang w:val="en-US" w:eastAsia="zh-CN"/>
        </w:rPr>
        <w:t>2016年度决算无增减变化。</w:t>
      </w:r>
    </w:p>
    <w:p>
      <w:pPr>
        <w:keepNext w:val="0"/>
        <w:keepLines w:val="0"/>
        <w:pageBreakBefore w:val="0"/>
        <w:widowControl w:val="0"/>
        <w:numPr>
          <w:ilvl w:val="0"/>
          <w:numId w:val="1"/>
        </w:numPr>
        <w:kinsoku/>
        <w:wordWrap/>
        <w:overflowPunct/>
        <w:topLinePunct w:val="0"/>
        <w:autoSpaceDE/>
        <w:autoSpaceDN/>
        <w:bidi w:val="0"/>
        <w:adjustRightInd w:val="0"/>
        <w:snapToGrid w:val="0"/>
        <w:spacing w:after="0" w:line="560" w:lineRule="exact"/>
        <w:ind w:firstLine="643" w:firstLineChars="200"/>
        <w:textAlignment w:val="auto"/>
        <w:rPr>
          <w:rFonts w:ascii="仿宋_GB2312" w:eastAsia="仿宋_GB2312" w:cs="DengXian-Bold"/>
          <w:b/>
          <w:bCs/>
          <w:sz w:val="32"/>
          <w:szCs w:val="32"/>
        </w:rPr>
      </w:pPr>
      <w:r>
        <w:rPr>
          <w:rFonts w:hint="eastAsia" w:ascii="楷体_GB2312" w:eastAsia="楷体_GB2312" w:cs="DengXian-Bold"/>
          <w:b/>
          <w:bCs/>
          <w:sz w:val="32"/>
          <w:szCs w:val="32"/>
        </w:rPr>
        <w:t>公务用车购置及运行维护费支出0万元。</w:t>
      </w:r>
      <w:r>
        <w:rPr>
          <w:rFonts w:hint="eastAsia" w:ascii="仿宋_GB2312" w:eastAsia="仿宋_GB2312" w:cs="DengXian-Regular"/>
          <w:sz w:val="32"/>
          <w:szCs w:val="32"/>
        </w:rPr>
        <w:t>本部门2017年度未发生公务用车购置及运行维护费。</w:t>
      </w:r>
      <w:r>
        <w:rPr>
          <w:rFonts w:hint="eastAsia" w:ascii="仿宋_GB2312" w:eastAsia="仿宋_GB2312" w:cs="DengXian-Regular"/>
          <w:sz w:val="32"/>
          <w:szCs w:val="32"/>
          <w:lang w:eastAsia="zh-CN"/>
        </w:rPr>
        <w:t>较年初预算无增减变化；较</w:t>
      </w:r>
      <w:r>
        <w:rPr>
          <w:rFonts w:hint="eastAsia" w:ascii="仿宋_GB2312" w:eastAsia="仿宋_GB2312" w:cs="DengXian-Regular"/>
          <w:sz w:val="32"/>
          <w:szCs w:val="32"/>
          <w:lang w:val="en-US" w:eastAsia="zh-CN"/>
        </w:rPr>
        <w:t>2016年度决算无增减变化。</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hint="eastAsia" w:ascii="仿宋_GB2312" w:eastAsia="仿宋_GB2312" w:cs="DengXian-Regular"/>
          <w:sz w:val="32"/>
          <w:szCs w:val="32"/>
          <w:lang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未</w:t>
      </w:r>
      <w:r>
        <w:rPr>
          <w:rFonts w:hint="eastAsia" w:ascii="仿宋_GB2312" w:eastAsia="仿宋_GB2312" w:cs="DengXian-Regular"/>
          <w:sz w:val="32"/>
          <w:szCs w:val="32"/>
        </w:rPr>
        <w:t>发生“公务用车购置”经费支出。公务用车购置费支出较年初预算</w:t>
      </w:r>
      <w:r>
        <w:rPr>
          <w:rFonts w:hint="eastAsia" w:ascii="仿宋_GB2312" w:eastAsia="仿宋_GB2312" w:cs="DengXian-Regular"/>
          <w:sz w:val="32"/>
          <w:szCs w:val="32"/>
          <w:lang w:eastAsia="zh-CN"/>
        </w:rPr>
        <w:t>无增减；较</w:t>
      </w:r>
      <w:r>
        <w:rPr>
          <w:rFonts w:hint="eastAsia" w:ascii="仿宋_GB2312" w:eastAsia="仿宋_GB2312" w:cs="DengXian-Regular"/>
          <w:sz w:val="32"/>
          <w:szCs w:val="32"/>
          <w:lang w:val="en-US" w:eastAsia="zh-CN"/>
        </w:rPr>
        <w:t>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辆。公车运行维护费支出较年初预算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hint="eastAsia" w:ascii="仿宋_GB2312" w:eastAsia="仿宋_GB2312" w:cs="DengXian-Bold"/>
          <w:b/>
          <w:bCs/>
          <w:sz w:val="32"/>
          <w:szCs w:val="32"/>
          <w:lang w:val="en-US" w:eastAsia="zh-CN"/>
        </w:rPr>
      </w:pP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（三）公务接待费支出0.25万元。</w:t>
      </w:r>
      <w:r>
        <w:rPr>
          <w:rFonts w:hint="eastAsia" w:ascii="仿宋_GB2312" w:eastAsia="仿宋_GB2312" w:cs="DengXian-Regular"/>
          <w:sz w:val="32"/>
          <w:szCs w:val="32"/>
        </w:rPr>
        <w:t>本部门2017年度公务接待共9批次、84人次。公务接待费支出较年初预算减少0.25万元，降低50%,主要是严格控制接待次数和标准；较2016年度决算减少1.63万元，降低86.70%，主要是减少培训费的开支。</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根据预算绩效管理要求，本单位组织对2017年度一般公共预算项目支出全面开展绩效自评</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涉及工商专项经费、市场监管经费、执法办案经费、工商综合事务经费、工商综合业务经费等项目，涉及资金296.46万元，考核为良好。</w:t>
      </w:r>
    </w:p>
    <w:p>
      <w:pPr>
        <w:numPr>
          <w:ilvl w:val="0"/>
          <w:numId w:val="2"/>
        </w:num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预算项目绩效自评选例</w:t>
      </w:r>
    </w:p>
    <w:p>
      <w:pPr>
        <w:widowControl w:val="0"/>
        <w:numPr>
          <w:ilvl w:val="0"/>
          <w:numId w:val="0"/>
        </w:numPr>
        <w:wordWrap/>
        <w:adjustRightInd w:val="0"/>
        <w:snapToGrid w:val="0"/>
        <w:spacing w:before="0" w:after="0" w:line="560" w:lineRule="exact"/>
        <w:ind w:left="0" w:leftChars="0" w:right="0" w:firstLine="640" w:firstLineChars="200"/>
        <w:jc w:val="both"/>
        <w:textAlignment w:val="auto"/>
        <w:outlineLvl w:val="9"/>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工商专项经费、市场监管经费、执法办案经费、工商综合事务经费、工商综合业务经费等项目绩效自评：根据年初设定的绩效目标，工商专项经费、市场监管经费、执法办案经费、工商综合事务经费、工商综合业务经费等项目自评结果为良好。项目全年预算数为296.46万元。完成预算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本部门2017年度机关运行经费支出110.62万元，比2016年度增加45.62万元，增长70.18%。主要原因是统计口径变化。</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本部门2017年度政府无采购支出。</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截至2017年12月31日，本部门共有车辆7辆，一般执法执勤用车6辆、特种专业技术用车1辆；单位价值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0台</w:t>
      </w:r>
      <w:bookmarkStart w:id="0" w:name="_GoBack"/>
      <w:bookmarkEnd w:id="0"/>
      <w:r>
        <w:rPr>
          <w:rFonts w:hint="eastAsia" w:ascii="仿宋_GB2312" w:eastAsia="仿宋_GB2312" w:cs="DengXian-Regular"/>
          <w:sz w:val="32"/>
          <w:szCs w:val="32"/>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无政府性基金预算财政拨款收入支出、无国有资本经营预算财政拨款收入支出、无政府采购情况，故政府性基金预算财政拨款收入支出表、无国有资本经营预算财政拨款收入支出表、无政府采购情况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w:t>
      </w:r>
      <w:r>
        <w:rPr>
          <w:rFonts w:hint="eastAsia" w:cs="SimSun,Bold" w:asciiTheme="majorEastAsia" w:hAnsiTheme="majorEastAsia" w:eastAsiaTheme="majorEastAsia"/>
          <w:bCs w:val="0"/>
        </w:rPr>
        <w:t xml:space="preserve"> </w:t>
      </w:r>
      <w:r>
        <w:rPr>
          <w:rFonts w:hint="eastAsia" w:cs="SimSun,Bold" w:asciiTheme="majorEastAsia" w:hAnsiTheme="majorEastAsia" w:eastAsiaTheme="majorEastAsia"/>
        </w:rPr>
        <w:t>名词解释</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C72C141"/>
    <w:multiLevelType w:val="singleLevel"/>
    <w:tmpl w:val="FC72C141"/>
    <w:lvl w:ilvl="0" w:tentative="0">
      <w:start w:val="1"/>
      <w:numFmt w:val="chineseCounting"/>
      <w:suff w:val="nothing"/>
      <w:lvlText w:val="（%1）"/>
      <w:lvlJc w:val="left"/>
      <w:rPr>
        <w:rFonts w:hint="eastAsia"/>
      </w:rPr>
    </w:lvl>
  </w:abstractNum>
  <w:abstractNum w:abstractNumId="1">
    <w:nsid w:val="00000001"/>
    <w:multiLevelType w:val="singleLevel"/>
    <w:tmpl w:val="00000001"/>
    <w:lvl w:ilvl="0" w:tentative="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A05AF"/>
    <w:rsid w:val="000E2F81"/>
    <w:rsid w:val="00152FB8"/>
    <w:rsid w:val="001B3410"/>
    <w:rsid w:val="001C030D"/>
    <w:rsid w:val="002557B8"/>
    <w:rsid w:val="002C04C4"/>
    <w:rsid w:val="002D08B0"/>
    <w:rsid w:val="00341C8F"/>
    <w:rsid w:val="00391D9D"/>
    <w:rsid w:val="003B6C51"/>
    <w:rsid w:val="003C1413"/>
    <w:rsid w:val="003C549F"/>
    <w:rsid w:val="003D5A16"/>
    <w:rsid w:val="005F4B66"/>
    <w:rsid w:val="00641318"/>
    <w:rsid w:val="0070664B"/>
    <w:rsid w:val="007071B8"/>
    <w:rsid w:val="007414DE"/>
    <w:rsid w:val="007905A9"/>
    <w:rsid w:val="007C573C"/>
    <w:rsid w:val="007E5500"/>
    <w:rsid w:val="00840A97"/>
    <w:rsid w:val="008C0149"/>
    <w:rsid w:val="0090697E"/>
    <w:rsid w:val="009A1ABE"/>
    <w:rsid w:val="009C2FEA"/>
    <w:rsid w:val="009C6165"/>
    <w:rsid w:val="00A35CE0"/>
    <w:rsid w:val="00A44AA4"/>
    <w:rsid w:val="00A61623"/>
    <w:rsid w:val="00A84687"/>
    <w:rsid w:val="00AD3B6E"/>
    <w:rsid w:val="00B51200"/>
    <w:rsid w:val="00B56722"/>
    <w:rsid w:val="00C3774E"/>
    <w:rsid w:val="00C87FAB"/>
    <w:rsid w:val="00C91FF7"/>
    <w:rsid w:val="00C94E53"/>
    <w:rsid w:val="00DB35AF"/>
    <w:rsid w:val="00DF5B88"/>
    <w:rsid w:val="00E2595E"/>
    <w:rsid w:val="00E35374"/>
    <w:rsid w:val="00E50C19"/>
    <w:rsid w:val="00E856C9"/>
    <w:rsid w:val="00EB6A8B"/>
    <w:rsid w:val="00EF38C6"/>
    <w:rsid w:val="00FE3DC8"/>
    <w:rsid w:val="054014D6"/>
    <w:rsid w:val="05CB3F76"/>
    <w:rsid w:val="07FF020B"/>
    <w:rsid w:val="09DD7329"/>
    <w:rsid w:val="0A025923"/>
    <w:rsid w:val="0D3861D0"/>
    <w:rsid w:val="0F78009A"/>
    <w:rsid w:val="10B8313F"/>
    <w:rsid w:val="16F1251B"/>
    <w:rsid w:val="172D46D9"/>
    <w:rsid w:val="220324AB"/>
    <w:rsid w:val="22A01623"/>
    <w:rsid w:val="22E509BF"/>
    <w:rsid w:val="25502ECA"/>
    <w:rsid w:val="2728182A"/>
    <w:rsid w:val="27721B91"/>
    <w:rsid w:val="2D5F3875"/>
    <w:rsid w:val="2ED115D1"/>
    <w:rsid w:val="32A51187"/>
    <w:rsid w:val="3F426AAE"/>
    <w:rsid w:val="412A2BF4"/>
    <w:rsid w:val="41FC5FA1"/>
    <w:rsid w:val="42D70B8D"/>
    <w:rsid w:val="45FF50D7"/>
    <w:rsid w:val="48210541"/>
    <w:rsid w:val="4A1B12F0"/>
    <w:rsid w:val="4C84784A"/>
    <w:rsid w:val="4CEC314F"/>
    <w:rsid w:val="529F56AC"/>
    <w:rsid w:val="546F7D53"/>
    <w:rsid w:val="566F3572"/>
    <w:rsid w:val="56AF7823"/>
    <w:rsid w:val="56ED74B2"/>
    <w:rsid w:val="56FD1A43"/>
    <w:rsid w:val="57132893"/>
    <w:rsid w:val="588A6B2C"/>
    <w:rsid w:val="5AFC5CD7"/>
    <w:rsid w:val="5F353316"/>
    <w:rsid w:val="67C81FEB"/>
    <w:rsid w:val="67F43652"/>
    <w:rsid w:val="699445A4"/>
    <w:rsid w:val="6ADF08CC"/>
    <w:rsid w:val="6BB4152B"/>
    <w:rsid w:val="6C581BA7"/>
    <w:rsid w:val="74893FCC"/>
    <w:rsid w:val="7A1878C2"/>
    <w:rsid w:val="7C3348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9"/>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Balloon Text"/>
    <w:basedOn w:val="1"/>
    <w:link w:val="18"/>
    <w:semiHidden/>
    <w:unhideWhenUsed/>
    <w:qFormat/>
    <w:uiPriority w:val="99"/>
    <w:rPr>
      <w:sz w:val="18"/>
      <w:szCs w:val="18"/>
    </w:rPr>
  </w:style>
  <w:style w:type="paragraph" w:styleId="7">
    <w:name w:val="footer"/>
    <w:basedOn w:val="1"/>
    <w:link w:val="15"/>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0"/>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0">
    <w:name w:val="Title"/>
    <w:basedOn w:val="1"/>
    <w:next w:val="1"/>
    <w:link w:val="19"/>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2">
    <w:name w:val="Table Grid"/>
    <w:basedOn w:val="11"/>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4">
    <w:name w:val="页眉 Char"/>
    <w:basedOn w:val="13"/>
    <w:link w:val="8"/>
    <w:qFormat/>
    <w:uiPriority w:val="99"/>
    <w:rPr>
      <w:sz w:val="18"/>
      <w:szCs w:val="18"/>
    </w:rPr>
  </w:style>
  <w:style w:type="character" w:customStyle="1" w:styleId="15">
    <w:name w:val="页脚 Char"/>
    <w:basedOn w:val="13"/>
    <w:link w:val="7"/>
    <w:qFormat/>
    <w:uiPriority w:val="99"/>
    <w:rPr>
      <w:sz w:val="18"/>
      <w:szCs w:val="18"/>
    </w:rPr>
  </w:style>
  <w:style w:type="paragraph" w:styleId="16">
    <w:name w:val="No Spacing"/>
    <w:link w:val="17"/>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7">
    <w:name w:val="无间隔 Char"/>
    <w:basedOn w:val="13"/>
    <w:link w:val="16"/>
    <w:qFormat/>
    <w:uiPriority w:val="1"/>
    <w:rPr>
      <w:kern w:val="0"/>
      <w:sz w:val="22"/>
    </w:rPr>
  </w:style>
  <w:style w:type="character" w:customStyle="1" w:styleId="18">
    <w:name w:val="批注框文本 Char"/>
    <w:basedOn w:val="13"/>
    <w:link w:val="6"/>
    <w:semiHidden/>
    <w:qFormat/>
    <w:uiPriority w:val="99"/>
    <w:rPr>
      <w:rFonts w:ascii="Times New Roman" w:hAnsi="Times New Roman" w:eastAsia="宋体" w:cs="Times New Roman"/>
      <w:sz w:val="18"/>
      <w:szCs w:val="18"/>
    </w:rPr>
  </w:style>
  <w:style w:type="character" w:customStyle="1" w:styleId="19">
    <w:name w:val="标题 Char"/>
    <w:basedOn w:val="13"/>
    <w:link w:val="10"/>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0">
    <w:name w:val="副标题 Char"/>
    <w:basedOn w:val="13"/>
    <w:link w:val="9"/>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1">
    <w:name w:val="Style1"/>
    <w:basedOn w:val="13"/>
    <w:qFormat/>
    <w:uiPriority w:val="1"/>
    <w:rPr>
      <w:rFonts w:asciiTheme="minorHAnsi" w:hAnsiTheme="minorEastAsia" w:eastAsiaTheme="minorEastAsia" w:cstheme="minorBidi"/>
      <w:sz w:val="22"/>
      <w:szCs w:val="22"/>
      <w:lang w:eastAsia="zh-CN"/>
    </w:rPr>
  </w:style>
  <w:style w:type="character" w:customStyle="1" w:styleId="22">
    <w:name w:val="Style2"/>
    <w:basedOn w:val="13"/>
    <w:qFormat/>
    <w:uiPriority w:val="1"/>
    <w:rPr>
      <w:rFonts w:asciiTheme="minorHAnsi" w:hAnsiTheme="minorEastAsia" w:eastAsiaTheme="minorEastAsia" w:cstheme="minorBidi"/>
      <w:sz w:val="22"/>
      <w:szCs w:val="22"/>
      <w:lang w:eastAsia="zh-CN"/>
    </w:rPr>
  </w:style>
  <w:style w:type="character" w:customStyle="1" w:styleId="23">
    <w:name w:val="Style3"/>
    <w:basedOn w:val="13"/>
    <w:qFormat/>
    <w:uiPriority w:val="1"/>
    <w:rPr>
      <w:rFonts w:asciiTheme="minorHAnsi" w:hAnsiTheme="minorEastAsia" w:eastAsiaTheme="minorEastAsia" w:cstheme="minorBidi"/>
      <w:szCs w:val="22"/>
      <w:lang w:eastAsia="zh-CN"/>
    </w:rPr>
  </w:style>
  <w:style w:type="character" w:customStyle="1" w:styleId="24">
    <w:name w:val="Style4"/>
    <w:basedOn w:val="13"/>
    <w:qFormat/>
    <w:uiPriority w:val="1"/>
    <w:rPr>
      <w:rFonts w:asciiTheme="minorHAnsi" w:hAnsiTheme="minorEastAsia" w:eastAsiaTheme="minorEastAsia" w:cstheme="minorBidi"/>
      <w:szCs w:val="22"/>
      <w:lang w:eastAsia="zh-CN"/>
    </w:rPr>
  </w:style>
  <w:style w:type="character" w:customStyle="1" w:styleId="25">
    <w:name w:val="Style5"/>
    <w:basedOn w:val="13"/>
    <w:qFormat/>
    <w:uiPriority w:val="1"/>
    <w:rPr>
      <w:rFonts w:asciiTheme="minorHAnsi" w:hAnsiTheme="minorEastAsia" w:eastAsiaTheme="minorEastAsia" w:cstheme="minorBidi"/>
      <w:sz w:val="22"/>
      <w:szCs w:val="22"/>
      <w:lang w:eastAsia="zh-CN"/>
    </w:rPr>
  </w:style>
  <w:style w:type="character" w:customStyle="1" w:styleId="26">
    <w:name w:val="标题 1 Char"/>
    <w:basedOn w:val="13"/>
    <w:link w:val="2"/>
    <w:qFormat/>
    <w:uiPriority w:val="9"/>
    <w:rPr>
      <w:rFonts w:ascii="Times New Roman" w:hAnsi="Times New Roman" w:eastAsia="宋体" w:cs="Times New Roman"/>
      <w:b/>
      <w:bCs/>
      <w:kern w:val="44"/>
      <w:sz w:val="44"/>
      <w:szCs w:val="44"/>
    </w:rPr>
  </w:style>
  <w:style w:type="character" w:customStyle="1" w:styleId="27">
    <w:name w:val="标题 2 Char"/>
    <w:basedOn w:val="13"/>
    <w:link w:val="3"/>
    <w:qFormat/>
    <w:uiPriority w:val="9"/>
    <w:rPr>
      <w:rFonts w:asciiTheme="majorHAnsi" w:hAnsiTheme="majorHAnsi" w:eastAsiaTheme="majorEastAsia" w:cstheme="majorBidi"/>
      <w:b/>
      <w:bCs/>
      <w:sz w:val="32"/>
      <w:szCs w:val="32"/>
    </w:rPr>
  </w:style>
  <w:style w:type="character" w:customStyle="1" w:styleId="28">
    <w:name w:val="标题 3 Char"/>
    <w:basedOn w:val="13"/>
    <w:link w:val="4"/>
    <w:qFormat/>
    <w:uiPriority w:val="9"/>
    <w:rPr>
      <w:rFonts w:ascii="Times New Roman" w:hAnsi="Times New Roman" w:eastAsia="宋体" w:cs="Times New Roman"/>
      <w:b/>
      <w:bCs/>
      <w:sz w:val="32"/>
      <w:szCs w:val="32"/>
    </w:rPr>
  </w:style>
  <w:style w:type="character" w:customStyle="1" w:styleId="29">
    <w:name w:val="标题 4 Char"/>
    <w:basedOn w:val="13"/>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123\AppData\Local\Packages\Microsoft.MicrosoftEdge_8wekyb3d8bbwe\TempState\Downloads\20180926172857825782%20(2).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123\AppData\Local\Packages\Microsoft.MicrosoftEdge_8wekyb3d8bbwe\TempState\Downloads\20180926172857825782%20(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multiLvlStrRef>
              <c:f>'[20180926172857825782 (2).xls]Z03 收入决算表(公开02表)'!$F$4:$K$8</c:f>
              <c:multiLvlStrCache>
                <c:ptCount val="6"/>
                <c:lvl>
                  <c:pt idx="0">
                    <c:v>2</c:v>
                  </c:pt>
                  <c:pt idx="1">
                    <c:v>3</c:v>
                  </c:pt>
                  <c:pt idx="2">
                    <c:v>4</c:v>
                  </c:pt>
                  <c:pt idx="3">
                    <c:v>5</c:v>
                  </c:pt>
                  <c:pt idx="4">
                    <c:v>6</c:v>
                  </c:pt>
                  <c:pt idx="5">
                    <c:v>7</c:v>
                  </c:pt>
                </c:lvl>
                <c:lvl/>
                <c:lvl/>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'[20180926172857825782 (2).xls]Z03 收入决算表(公开02表)'!$F$9:$K$9</c:f>
              <c:numCache>
                <c:formatCode>#,##0.00</c:formatCode>
                <c:ptCount val="6"/>
                <c:pt idx="0">
                  <c:v>1655.63</c:v>
                </c:pt>
                <c:pt idx="1">
                  <c:v>0</c:v>
                </c:pt>
                <c:pt idx="2">
                  <c:v>0</c:v>
                </c:pt>
                <c:pt idx="3">
                  <c:v>0</c:v>
                </c:pt>
                <c:pt idx="4">
                  <c:v>0</c:v>
                </c:pt>
                <c:pt idx="5">
                  <c:v>0.03</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multiLvlStrRef>
              <c:f>'[20180926172857825782 (2).xls]Z04 支出决算表(公开03表)'!$F$4:$J$8</c:f>
              <c:multiLvlStrCache>
                <c:ptCount val="5"/>
                <c:lvl>
                  <c:pt idx="0">
                    <c:v>2</c:v>
                  </c:pt>
                  <c:pt idx="1">
                    <c:v>3</c:v>
                  </c:pt>
                  <c:pt idx="2">
                    <c:v>4</c:v>
                  </c:pt>
                  <c:pt idx="3">
                    <c:v>5</c:v>
                  </c:pt>
                  <c:pt idx="4">
                    <c:v>6</c:v>
                  </c:pt>
                </c:lvl>
                <c:lvl/>
                <c:lvl/>
                <c:lvl/>
                <c:lvl>
                  <c:pt idx="0">
                    <c:v>基本支出</c:v>
                  </c:pt>
                  <c:pt idx="1">
                    <c:v>项目支出</c:v>
                  </c:pt>
                  <c:pt idx="2">
                    <c:v>上缴上级支出</c:v>
                  </c:pt>
                  <c:pt idx="3">
                    <c:v>经营支出</c:v>
                  </c:pt>
                  <c:pt idx="4">
                    <c:v>对附属单位补助支出</c:v>
                  </c:pt>
                </c:lvl>
              </c:multiLvlStrCache>
            </c:multiLvlStrRef>
          </c:cat>
          <c:val>
            <c:numRef>
              <c:f>'[20180926172857825782 (2).xls]Z04 支出决算表(公开03表)'!$F$9:$J$9</c:f>
              <c:numCache>
                <c:formatCode>#,##0.00</c:formatCode>
                <c:ptCount val="5"/>
                <c:pt idx="0">
                  <c:v>1340.19</c:v>
                </c:pt>
                <c:pt idx="1">
                  <c:v>296.46</c:v>
                </c:pt>
                <c:pt idx="2">
                  <c:v>0</c:v>
                </c:pt>
                <c:pt idx="3">
                  <c:v>0</c:v>
                </c:pt>
                <c:pt idx="4">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370AD8B-E1DA-4F45-BCA9-6462375A6E1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681</Words>
  <Characters>3885</Characters>
  <Lines>32</Lines>
  <Paragraphs>9</Paragraphs>
  <TotalTime>3</TotalTime>
  <ScaleCrop>false</ScaleCrop>
  <LinksUpToDate>false</LinksUpToDate>
  <CharactersWithSpaces>4557</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123</cp:lastModifiedBy>
  <dcterms:modified xsi:type="dcterms:W3CDTF">2019-02-14T01:03:12Z</dcterms:modified>
  <dc:subject>石家庄市xxx部门</dc:subject>
  <dc:title>2017年度部门决算</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