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Default ContentType="image/png" Extension="pn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ascii="黑体" w:hAnsi="宋体" w:eastAsia="黑体"/>
          <w:color w:val="002060"/>
          <w:sz w:val="84"/>
          <w:szCs w:val="84"/>
        </w:rPr>
        <w:t>2017</w:t>
      </w:r>
      <w:r>
        <w:rPr>
          <w:rFonts w:hint="eastAsia" w:ascii="黑体" w:hAnsi="宋体" w:eastAsia="黑体"/>
          <w:color w:val="002060"/>
          <w:sz w:val="84"/>
          <w:szCs w:val="84"/>
        </w:rPr>
        <w:t>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b/>
          <w:sz w:val="44"/>
          <w:szCs w:val="44"/>
        </w:rPr>
      </w:pPr>
      <w:r>
        <w:rPr>
          <w:rFonts w:hint="eastAsia" w:ascii="宋体" w:hAnsi="宋体"/>
          <w:b/>
          <w:sz w:val="44"/>
          <w:szCs w:val="44"/>
        </w:rPr>
        <w:t>石家庄市无极县卫生和计划生育局</w:t>
      </w:r>
    </w:p>
    <w:p>
      <w:pPr>
        <w:widowControl/>
        <w:jc w:val="center"/>
        <w:rPr>
          <w:rFonts w:ascii="宋体"/>
          <w:b/>
          <w:sz w:val="44"/>
          <w:szCs w:val="44"/>
        </w:rPr>
      </w:pPr>
      <w:r>
        <w:rPr>
          <w:rFonts w:ascii="宋体" w:hAnsi="宋体"/>
          <w:b/>
          <w:sz w:val="44"/>
          <w:szCs w:val="44"/>
        </w:rPr>
        <w:t>2018</w:t>
      </w:r>
      <w:r>
        <w:rPr>
          <w:rFonts w:hint="eastAsia" w:ascii="宋体" w:hAnsi="宋体"/>
          <w:b/>
          <w:sz w:val="44"/>
          <w:szCs w:val="44"/>
        </w:rPr>
        <w:t>年</w:t>
      </w:r>
      <w:r>
        <w:rPr>
          <w:rFonts w:ascii="宋体" w:hAnsi="宋体"/>
          <w:b/>
          <w:sz w:val="44"/>
          <w:szCs w:val="44"/>
        </w:rPr>
        <w:t>9</w:t>
      </w:r>
      <w:r>
        <w:rPr>
          <w:rFonts w:hint="eastAsia" w:ascii="宋体" w:hAnsi="宋体"/>
          <w:b/>
          <w:sz w:val="44"/>
          <w:szCs w:val="44"/>
        </w:rPr>
        <w:t>月</w:t>
      </w:r>
      <w:r>
        <w:rPr>
          <w:rFonts w:ascii="宋体" w:hAnsi="宋体"/>
          <w:b/>
          <w:sz w:val="44"/>
          <w:szCs w:val="44"/>
        </w:rPr>
        <w:t>18</w:t>
      </w:r>
      <w:r>
        <w:rPr>
          <w:rFonts w:hint="eastAsia" w:ascii="宋体" w:hAnsi="宋体"/>
          <w:b/>
          <w:sz w:val="44"/>
          <w:szCs w:val="44"/>
        </w:rPr>
        <w:t>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31680" w:firstLineChars="200"/>
        <w:rPr>
          <w:rFonts w:eastAsia="黑体"/>
          <w:sz w:val="32"/>
          <w:szCs w:val="32"/>
        </w:rPr>
      </w:pPr>
    </w:p>
    <w:p>
      <w:pPr>
        <w:widowControl/>
        <w:spacing w:line="580" w:lineRule="exact"/>
        <w:ind w:firstLine="31680" w:firstLineChars="200"/>
        <w:rPr>
          <w:rFonts w:eastAsia="仿宋_GB2312"/>
          <w:sz w:val="24"/>
          <w:szCs w:val="32"/>
        </w:rPr>
      </w:pPr>
      <w:r>
        <w:rPr>
          <w:rFonts w:hint="eastAsia" w:eastAsia="黑体"/>
          <w:sz w:val="32"/>
          <w:szCs w:val="32"/>
        </w:rPr>
        <w:t>第一部分无极县卫生和计划生育局概况</w:t>
      </w:r>
    </w:p>
    <w:p>
      <w:pPr>
        <w:widowControl/>
        <w:spacing w:line="580" w:lineRule="exact"/>
        <w:ind w:firstLine="31680" w:firstLineChars="398"/>
        <w:rPr>
          <w:rFonts w:eastAsia="仿宋_GB2312"/>
          <w:sz w:val="32"/>
          <w:szCs w:val="32"/>
        </w:rPr>
      </w:pPr>
      <w:r>
        <w:rPr>
          <w:rFonts w:hint="eastAsia" w:eastAsia="仿宋_GB2312"/>
          <w:sz w:val="32"/>
          <w:szCs w:val="32"/>
        </w:rPr>
        <w:t>一、部门职责</w:t>
      </w:r>
    </w:p>
    <w:p>
      <w:pPr>
        <w:widowControl/>
        <w:spacing w:line="580" w:lineRule="exact"/>
        <w:ind w:firstLine="31680" w:firstLineChars="398"/>
        <w:rPr>
          <w:rFonts w:eastAsia="仿宋_GB2312"/>
          <w:sz w:val="32"/>
          <w:szCs w:val="32"/>
        </w:rPr>
      </w:pPr>
      <w:r>
        <w:rPr>
          <w:rFonts w:hint="eastAsia" w:eastAsia="仿宋_GB2312"/>
          <w:sz w:val="32"/>
          <w:szCs w:val="32"/>
        </w:rPr>
        <w:t>二、部门决算单位构成</w:t>
      </w:r>
    </w:p>
    <w:p>
      <w:pPr>
        <w:widowControl/>
        <w:spacing w:line="580" w:lineRule="exact"/>
        <w:ind w:firstLine="31680" w:firstLineChars="200"/>
        <w:rPr>
          <w:rFonts w:eastAsia="仿宋_GB2312"/>
          <w:sz w:val="20"/>
          <w:szCs w:val="32"/>
        </w:rPr>
      </w:pPr>
      <w:r>
        <w:rPr>
          <w:rFonts w:hint="eastAsia" w:eastAsia="黑体"/>
          <w:sz w:val="32"/>
          <w:szCs w:val="32"/>
        </w:rPr>
        <w:t>第二部分无极县卫生和计划生育局</w:t>
      </w:r>
      <w:r>
        <w:rPr>
          <w:rFonts w:eastAsia="黑体"/>
          <w:sz w:val="32"/>
          <w:szCs w:val="32"/>
        </w:rPr>
        <w:t>2017</w:t>
      </w:r>
      <w:r>
        <w:rPr>
          <w:rFonts w:hint="eastAsia" w:eastAsia="黑体"/>
          <w:sz w:val="32"/>
          <w:szCs w:val="32"/>
        </w:rPr>
        <w:t>年度部门决算报表</w:t>
      </w:r>
    </w:p>
    <w:p>
      <w:pPr>
        <w:widowControl/>
        <w:spacing w:line="580" w:lineRule="exact"/>
        <w:ind w:left="640" w:firstLine="31680" w:firstLineChars="200"/>
        <w:rPr>
          <w:rFonts w:eastAsia="仿宋_GB2312"/>
          <w:sz w:val="32"/>
          <w:szCs w:val="32"/>
        </w:rPr>
      </w:pPr>
      <w:r>
        <w:rPr>
          <w:rFonts w:hint="eastAsia" w:eastAsia="仿宋_GB2312"/>
          <w:sz w:val="32"/>
          <w:szCs w:val="32"/>
        </w:rPr>
        <w:t>一、收入支出决算总表</w:t>
      </w:r>
    </w:p>
    <w:p>
      <w:pPr>
        <w:widowControl/>
        <w:spacing w:line="580" w:lineRule="exact"/>
        <w:ind w:left="640" w:firstLine="31680" w:firstLineChars="200"/>
        <w:rPr>
          <w:rFonts w:eastAsia="仿宋_GB2312"/>
          <w:sz w:val="32"/>
          <w:szCs w:val="32"/>
        </w:rPr>
      </w:pPr>
      <w:r>
        <w:rPr>
          <w:rFonts w:hint="eastAsia" w:eastAsia="仿宋_GB2312"/>
          <w:sz w:val="32"/>
          <w:szCs w:val="32"/>
        </w:rPr>
        <w:t>二、收入决算表</w:t>
      </w:r>
    </w:p>
    <w:p>
      <w:pPr>
        <w:widowControl/>
        <w:spacing w:line="580" w:lineRule="exact"/>
        <w:ind w:left="640" w:firstLine="31680" w:firstLineChars="200"/>
        <w:rPr>
          <w:rFonts w:eastAsia="仿宋_GB2312"/>
          <w:sz w:val="32"/>
          <w:szCs w:val="32"/>
        </w:rPr>
      </w:pPr>
      <w:r>
        <w:rPr>
          <w:rFonts w:hint="eastAsia" w:eastAsia="仿宋_GB2312"/>
          <w:sz w:val="32"/>
          <w:szCs w:val="32"/>
        </w:rPr>
        <w:t>三、支出决算表</w:t>
      </w:r>
    </w:p>
    <w:p>
      <w:pPr>
        <w:widowControl/>
        <w:spacing w:line="580" w:lineRule="exact"/>
        <w:ind w:left="640" w:firstLine="31680" w:firstLineChars="200"/>
        <w:rPr>
          <w:rFonts w:eastAsia="仿宋_GB2312"/>
          <w:sz w:val="32"/>
          <w:szCs w:val="32"/>
        </w:rPr>
      </w:pPr>
      <w:r>
        <w:rPr>
          <w:rFonts w:hint="eastAsia" w:eastAsia="仿宋_GB2312"/>
          <w:sz w:val="32"/>
          <w:szCs w:val="32"/>
        </w:rPr>
        <w:t>四、财政拨款收入支出决算总表</w:t>
      </w:r>
    </w:p>
    <w:p>
      <w:pPr>
        <w:widowControl/>
        <w:spacing w:line="580" w:lineRule="exact"/>
        <w:ind w:left="640" w:firstLine="31680" w:firstLineChars="200"/>
        <w:rPr>
          <w:rFonts w:eastAsia="仿宋_GB2312"/>
          <w:sz w:val="32"/>
          <w:szCs w:val="32"/>
        </w:rPr>
      </w:pPr>
      <w:r>
        <w:rPr>
          <w:rFonts w:hint="eastAsia" w:eastAsia="仿宋_GB2312"/>
          <w:sz w:val="32"/>
          <w:szCs w:val="32"/>
        </w:rPr>
        <w:t>五、一般公共预算财政拨款收入支出决算表</w:t>
      </w:r>
    </w:p>
    <w:p>
      <w:pPr>
        <w:widowControl/>
        <w:spacing w:line="580" w:lineRule="exact"/>
        <w:ind w:left="640" w:firstLine="31680" w:firstLineChars="200"/>
        <w:rPr>
          <w:rFonts w:eastAsia="仿宋_GB2312"/>
          <w:sz w:val="32"/>
          <w:szCs w:val="32"/>
        </w:rPr>
      </w:pPr>
      <w:r>
        <w:rPr>
          <w:rFonts w:hint="eastAsia" w:eastAsia="仿宋_GB2312"/>
          <w:sz w:val="32"/>
          <w:szCs w:val="32"/>
        </w:rPr>
        <w:t>六、一般公共预算财政拨款基本支出决算经济分类表</w:t>
      </w:r>
    </w:p>
    <w:p>
      <w:pPr>
        <w:widowControl/>
        <w:spacing w:line="580" w:lineRule="exact"/>
        <w:ind w:left="640" w:firstLine="31680" w:firstLineChars="200"/>
        <w:rPr>
          <w:rFonts w:eastAsia="仿宋_GB2312"/>
          <w:sz w:val="32"/>
          <w:szCs w:val="32"/>
        </w:rPr>
      </w:pPr>
      <w:r>
        <w:rPr>
          <w:rFonts w:hint="eastAsia" w:eastAsia="仿宋_GB2312"/>
          <w:sz w:val="32"/>
          <w:szCs w:val="32"/>
        </w:rPr>
        <w:t>七、政府性基金预算财政拨款收入支出决算表</w:t>
      </w:r>
    </w:p>
    <w:p>
      <w:pPr>
        <w:widowControl/>
        <w:spacing w:line="580" w:lineRule="exact"/>
        <w:ind w:left="640" w:firstLine="31680" w:firstLineChars="200"/>
        <w:rPr>
          <w:rFonts w:eastAsia="仿宋_GB2312"/>
          <w:sz w:val="32"/>
          <w:szCs w:val="32"/>
        </w:rPr>
      </w:pPr>
      <w:r>
        <w:rPr>
          <w:rFonts w:hint="eastAsia" w:eastAsia="仿宋_GB2312"/>
          <w:sz w:val="32"/>
          <w:szCs w:val="32"/>
        </w:rPr>
        <w:t>八、国有资本经营预算财政拨款收入支出决算表</w:t>
      </w:r>
    </w:p>
    <w:p>
      <w:pPr>
        <w:widowControl/>
        <w:spacing w:line="580" w:lineRule="exact"/>
        <w:ind w:left="640" w:firstLine="31680" w:firstLineChars="200"/>
        <w:rPr>
          <w:rFonts w:eastAsia="仿宋_GB2312"/>
          <w:sz w:val="32"/>
          <w:szCs w:val="32"/>
        </w:rPr>
      </w:pPr>
      <w:r>
        <w:rPr>
          <w:rFonts w:hint="eastAsia" w:eastAsia="仿宋_GB2312"/>
          <w:sz w:val="32"/>
          <w:szCs w:val="32"/>
        </w:rPr>
        <w:t>九、</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经费等相关信息统计表</w:t>
      </w:r>
    </w:p>
    <w:p>
      <w:pPr>
        <w:widowControl/>
        <w:spacing w:line="580" w:lineRule="exact"/>
        <w:ind w:left="640" w:firstLine="31680" w:firstLineChars="200"/>
        <w:rPr>
          <w:rFonts w:eastAsia="仿宋_GB2312"/>
          <w:sz w:val="32"/>
          <w:szCs w:val="32"/>
        </w:rPr>
      </w:pPr>
      <w:r>
        <w:rPr>
          <w:rFonts w:hint="eastAsia" w:eastAsia="仿宋_GB2312"/>
          <w:sz w:val="32"/>
          <w:szCs w:val="32"/>
        </w:rPr>
        <w:t>十、政府采购情况表</w:t>
      </w:r>
    </w:p>
    <w:p>
      <w:pPr>
        <w:widowControl/>
        <w:spacing w:line="580" w:lineRule="exact"/>
        <w:ind w:firstLine="31680" w:firstLineChars="200"/>
        <w:rPr>
          <w:rFonts w:eastAsia="黑体"/>
          <w:sz w:val="32"/>
          <w:szCs w:val="32"/>
        </w:rPr>
      </w:pPr>
      <w:r>
        <w:rPr>
          <w:rFonts w:hint="eastAsia" w:eastAsia="黑体"/>
          <w:sz w:val="32"/>
          <w:szCs w:val="32"/>
        </w:rPr>
        <w:t>第三部分无极县卫生和计划生育局</w:t>
      </w:r>
      <w:r>
        <w:rPr>
          <w:rFonts w:eastAsia="黑体"/>
          <w:sz w:val="32"/>
          <w:szCs w:val="32"/>
        </w:rPr>
        <w:t>2017</w:t>
      </w:r>
      <w:r>
        <w:rPr>
          <w:rFonts w:hint="eastAsia" w:eastAsia="黑体"/>
          <w:sz w:val="32"/>
          <w:szCs w:val="32"/>
        </w:rPr>
        <w:t>年部门决算情况说明</w:t>
      </w:r>
    </w:p>
    <w:p>
      <w:pPr>
        <w:widowControl/>
        <w:spacing w:line="580" w:lineRule="exact"/>
        <w:ind w:left="640" w:firstLine="31680" w:firstLineChars="200"/>
        <w:rPr>
          <w:rFonts w:eastAsia="仿宋_GB2312"/>
          <w:sz w:val="32"/>
          <w:szCs w:val="32"/>
        </w:rPr>
      </w:pPr>
      <w:r>
        <w:rPr>
          <w:rFonts w:hint="eastAsia" w:eastAsia="仿宋_GB2312"/>
          <w:sz w:val="32"/>
          <w:szCs w:val="32"/>
        </w:rPr>
        <w:t>一、收入支出决算总体情况说明</w:t>
      </w:r>
    </w:p>
    <w:p>
      <w:pPr>
        <w:widowControl/>
        <w:spacing w:line="580" w:lineRule="exact"/>
        <w:ind w:left="640" w:firstLine="31680" w:firstLineChars="200"/>
        <w:rPr>
          <w:rFonts w:eastAsia="仿宋_GB2312"/>
          <w:sz w:val="32"/>
          <w:szCs w:val="32"/>
        </w:rPr>
      </w:pPr>
      <w:r>
        <w:rPr>
          <w:rFonts w:hint="eastAsia" w:eastAsia="仿宋_GB2312"/>
          <w:sz w:val="32"/>
          <w:szCs w:val="32"/>
        </w:rPr>
        <w:t>二、收入决算情况说明</w:t>
      </w:r>
    </w:p>
    <w:p>
      <w:pPr>
        <w:widowControl/>
        <w:spacing w:line="580" w:lineRule="exact"/>
        <w:ind w:left="640" w:firstLine="31680" w:firstLineChars="200"/>
        <w:rPr>
          <w:rFonts w:eastAsia="仿宋_GB2312"/>
          <w:sz w:val="32"/>
          <w:szCs w:val="32"/>
        </w:rPr>
      </w:pPr>
      <w:r>
        <w:rPr>
          <w:rFonts w:hint="eastAsia" w:eastAsia="仿宋_GB2312"/>
          <w:sz w:val="32"/>
          <w:szCs w:val="32"/>
        </w:rPr>
        <w:t>三、支出决算情况说明</w:t>
      </w:r>
    </w:p>
    <w:p>
      <w:pPr>
        <w:widowControl/>
        <w:spacing w:line="580" w:lineRule="exact"/>
        <w:ind w:left="640" w:firstLine="31680" w:firstLineChars="200"/>
        <w:rPr>
          <w:rFonts w:eastAsia="仿宋_GB2312"/>
          <w:sz w:val="32"/>
          <w:szCs w:val="32"/>
        </w:rPr>
      </w:pPr>
      <w:r>
        <w:rPr>
          <w:rFonts w:hint="eastAsia" w:eastAsia="仿宋_GB2312"/>
          <w:sz w:val="32"/>
          <w:szCs w:val="32"/>
        </w:rPr>
        <w:t>四、财政拨款收入支出决算总体情况说明</w:t>
      </w:r>
    </w:p>
    <w:p>
      <w:pPr>
        <w:widowControl/>
        <w:spacing w:line="580" w:lineRule="exact"/>
        <w:ind w:left="640" w:firstLine="31680" w:firstLineChars="200"/>
        <w:rPr>
          <w:rFonts w:eastAsia="仿宋_GB2312"/>
          <w:sz w:val="32"/>
          <w:szCs w:val="32"/>
        </w:rPr>
      </w:pPr>
      <w:r>
        <w:rPr>
          <w:rFonts w:hint="eastAsia" w:eastAsia="仿宋_GB2312"/>
          <w:sz w:val="32"/>
          <w:szCs w:val="32"/>
        </w:rPr>
        <w:t>五、</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经费支出决算情况说明</w:t>
      </w:r>
    </w:p>
    <w:p>
      <w:pPr>
        <w:widowControl/>
        <w:spacing w:line="580" w:lineRule="exact"/>
        <w:ind w:left="640" w:firstLine="31680" w:firstLineChars="200"/>
        <w:rPr>
          <w:rFonts w:eastAsia="仿宋_GB2312"/>
          <w:sz w:val="32"/>
          <w:szCs w:val="32"/>
        </w:rPr>
      </w:pPr>
      <w:r>
        <w:rPr>
          <w:rFonts w:hint="eastAsia" w:eastAsia="仿宋_GB2312"/>
          <w:sz w:val="32"/>
          <w:szCs w:val="32"/>
        </w:rPr>
        <w:t>六、预算绩效管理工作开展情况说明</w:t>
      </w:r>
    </w:p>
    <w:p>
      <w:pPr>
        <w:widowControl/>
        <w:spacing w:line="580" w:lineRule="exact"/>
        <w:ind w:left="640" w:firstLine="31680" w:firstLineChars="200"/>
        <w:rPr>
          <w:rFonts w:eastAsia="仿宋_GB2312"/>
          <w:sz w:val="32"/>
          <w:szCs w:val="32"/>
        </w:rPr>
      </w:pPr>
      <w:r>
        <w:rPr>
          <w:rFonts w:hint="eastAsia" w:eastAsia="仿宋_GB2312"/>
          <w:sz w:val="32"/>
          <w:szCs w:val="32"/>
        </w:rPr>
        <w:t>七、其他重要事项的说明</w:t>
      </w:r>
    </w:p>
    <w:p>
      <w:pPr>
        <w:widowControl/>
        <w:spacing w:line="580" w:lineRule="exact"/>
        <w:ind w:left="640" w:firstLine="31680" w:firstLineChars="420"/>
        <w:rPr>
          <w:rFonts w:eastAsia="仿宋_GB2312"/>
          <w:sz w:val="32"/>
          <w:szCs w:val="32"/>
        </w:rPr>
      </w:pPr>
      <w:r>
        <w:rPr>
          <w:rFonts w:eastAsia="仿宋_GB2312"/>
          <w:sz w:val="32"/>
          <w:szCs w:val="32"/>
        </w:rPr>
        <w:t>1.</w:t>
      </w:r>
      <w:r>
        <w:rPr>
          <w:rFonts w:hint="eastAsia" w:eastAsia="仿宋_GB2312"/>
          <w:sz w:val="32"/>
          <w:szCs w:val="32"/>
        </w:rPr>
        <w:t>机关运行经费情况</w:t>
      </w:r>
    </w:p>
    <w:p>
      <w:pPr>
        <w:widowControl/>
        <w:spacing w:line="580" w:lineRule="exact"/>
        <w:ind w:left="640" w:firstLine="31680" w:firstLineChars="420"/>
        <w:rPr>
          <w:rFonts w:eastAsia="仿宋_GB2312"/>
          <w:sz w:val="32"/>
          <w:szCs w:val="32"/>
        </w:rPr>
      </w:pPr>
      <w:r>
        <w:rPr>
          <w:rFonts w:eastAsia="仿宋_GB2312"/>
          <w:sz w:val="32"/>
          <w:szCs w:val="32"/>
        </w:rPr>
        <w:t>2.</w:t>
      </w:r>
      <w:r>
        <w:rPr>
          <w:rFonts w:hint="eastAsia" w:eastAsia="仿宋_GB2312"/>
          <w:sz w:val="32"/>
          <w:szCs w:val="32"/>
        </w:rPr>
        <w:t>政府采购情况</w:t>
      </w:r>
    </w:p>
    <w:p>
      <w:pPr>
        <w:widowControl/>
        <w:spacing w:line="580" w:lineRule="exact"/>
        <w:ind w:left="640" w:firstLine="31680" w:firstLineChars="420"/>
        <w:rPr>
          <w:rFonts w:eastAsia="仿宋_GB2312"/>
          <w:sz w:val="32"/>
          <w:szCs w:val="32"/>
        </w:rPr>
      </w:pPr>
      <w:r>
        <w:rPr>
          <w:rFonts w:eastAsia="仿宋_GB2312"/>
          <w:sz w:val="32"/>
          <w:szCs w:val="32"/>
        </w:rPr>
        <w:t>3.</w:t>
      </w:r>
      <w:r>
        <w:rPr>
          <w:rFonts w:hint="eastAsia" w:eastAsia="仿宋_GB2312"/>
          <w:sz w:val="32"/>
          <w:szCs w:val="32"/>
        </w:rPr>
        <w:t>国有资产占用情况</w:t>
      </w:r>
    </w:p>
    <w:p>
      <w:pPr>
        <w:widowControl/>
        <w:spacing w:line="580" w:lineRule="exact"/>
        <w:ind w:left="640" w:firstLine="31680" w:firstLineChars="420"/>
        <w:rPr>
          <w:rFonts w:eastAsia="仿宋_GB2312"/>
          <w:sz w:val="32"/>
          <w:szCs w:val="32"/>
        </w:rPr>
      </w:pPr>
      <w:r>
        <w:rPr>
          <w:rFonts w:eastAsia="仿宋_GB2312"/>
          <w:sz w:val="32"/>
          <w:szCs w:val="32"/>
        </w:rPr>
        <w:t>4.</w:t>
      </w:r>
      <w:r>
        <w:rPr>
          <w:rFonts w:hint="eastAsia" w:eastAsia="仿宋_GB2312"/>
          <w:sz w:val="32"/>
          <w:szCs w:val="32"/>
        </w:rPr>
        <w:t>其他需要说明的情况</w:t>
      </w:r>
    </w:p>
    <w:p>
      <w:pPr>
        <w:widowControl/>
        <w:spacing w:line="580" w:lineRule="exact"/>
        <w:ind w:firstLine="31680" w:firstLineChars="200"/>
        <w:rPr>
          <w:rFonts w:eastAsia="黑体"/>
          <w:sz w:val="32"/>
          <w:szCs w:val="32"/>
        </w:rPr>
      </w:pPr>
      <w:r>
        <w:rPr>
          <w:rFonts w:hint="eastAsia" w:eastAsia="黑体"/>
          <w:sz w:val="32"/>
          <w:szCs w:val="32"/>
        </w:rPr>
        <w:t>第四部分名词解释</w:t>
      </w:r>
    </w:p>
    <w:p/>
    <w:p/>
    <w:p/>
    <w:p>
      <w:pPr>
        <w:pStyle w:val="2"/>
        <w:spacing w:line="560" w:lineRule="exact"/>
        <w:jc w:val="center"/>
        <w:rPr>
          <w:rFonts w:ascii="宋体" w:cs="ArialUnicodeMS"/>
          <w:color w:val="000000"/>
          <w:kern w:val="0"/>
        </w:rPr>
      </w:pPr>
      <w:r>
        <w:rPr>
          <w:rFonts w:hint="eastAsia" w:ascii="宋体" w:hAnsi="宋体" w:cs="ArialUnicodeMS"/>
          <w:color w:val="000000"/>
          <w:kern w:val="0"/>
        </w:rPr>
        <w:t>第一部分</w:t>
      </w:r>
      <w:r>
        <w:rPr>
          <w:rFonts w:ascii="宋体" w:hAnsi="宋体" w:cs="ArialUnicodeMS"/>
          <w:color w:val="000000"/>
          <w:kern w:val="0"/>
        </w:rPr>
        <w:t xml:space="preserve">  </w:t>
      </w:r>
      <w:r>
        <w:rPr>
          <w:rFonts w:hint="eastAsia" w:ascii="宋体" w:hAnsi="宋体" w:cs="ArialUnicodeMS"/>
          <w:color w:val="000000"/>
          <w:kern w:val="0"/>
        </w:rPr>
        <w:t>部门概况</w:t>
      </w:r>
    </w:p>
    <w:p>
      <w:pPr>
        <w:pStyle w:val="3"/>
        <w:spacing w:before="0" w:after="0" w:line="560" w:lineRule="exact"/>
        <w:ind w:firstLine="31680" w:firstLineChars="200"/>
        <w:rPr>
          <w:rFonts w:ascii="仿宋_GB2312" w:hAnsi="Cambria" w:eastAsia="仿宋_GB2312" w:cs="ArialUnicodeMS"/>
          <w:kern w:val="0"/>
          <w:highlight w:val="yellow"/>
        </w:rPr>
      </w:pPr>
      <w:r>
        <w:rPr>
          <w:rFonts w:hint="eastAsia" w:ascii="黑体" w:hAnsi="Cambria" w:eastAsia="黑体" w:cs="黑体"/>
          <w:kern w:val="0"/>
        </w:rPr>
        <w:t>一、部门职责</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（一</w:t>
      </w:r>
      <w:r>
        <w:rPr>
          <w:rFonts w:ascii="仿宋_GB2312" w:hAnsi="Cambria" w:eastAsia="仿宋_GB2312" w:cs="ArialUnicodeMS"/>
          <w:kern w:val="0"/>
          <w:sz w:val="32"/>
          <w:szCs w:val="32"/>
        </w:rPr>
        <w:t xml:space="preserve">) </w:t>
      </w:r>
      <w:r>
        <w:rPr>
          <w:rFonts w:hint="eastAsia" w:ascii="仿宋_GB2312" w:hAnsi="Cambria" w:eastAsia="仿宋_GB2312" w:cs="ArialUnicodeMS"/>
          <w:kern w:val="0"/>
          <w:sz w:val="32"/>
          <w:szCs w:val="32"/>
        </w:rPr>
        <w:t>贯彻执行国家、省和市有关卫生和计划生育、中医药工作的法律法规和方针政策，拟订全县卫生和计划生育以及促进中医药事业发展的规划，组织实施有关技术标准和技术规范。负责协调推进医药卫生体制改革和医疗保障，统筹规划卫生和计划生育服务资源配置，指导区域卫生和计划生育规划的编制和实施。</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（二</w:t>
      </w:r>
      <w:r>
        <w:rPr>
          <w:rFonts w:ascii="仿宋_GB2312" w:hAnsi="Cambria" w:eastAsia="仿宋_GB2312" w:cs="ArialUnicodeMS"/>
          <w:kern w:val="0"/>
          <w:sz w:val="32"/>
          <w:szCs w:val="32"/>
        </w:rPr>
        <w:t xml:space="preserve">) </w:t>
      </w:r>
      <w:r>
        <w:rPr>
          <w:rFonts w:hint="eastAsia" w:ascii="仿宋_GB2312" w:hAnsi="Cambria" w:eastAsia="仿宋_GB2312" w:cs="ArialUnicodeMS"/>
          <w:kern w:val="0"/>
          <w:sz w:val="32"/>
          <w:szCs w:val="32"/>
        </w:rPr>
        <w:t>负责制定全县疾病预防控制规划、免疫规划、严重危害人民健康的公共卫生问题的干预措施并组织落实，制定全县卫生应急和紧急医学救援预案、突发公共卫生事件监测和风险评估计划，组织和指导全县突发公共卫生事件预防控制和各类突发公共事件的医疗卫生救援，发布突发公共卫生事件应急处置信息。</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（三</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负责制定实施职责范围内的职业卫生、放射卫生、环境卫生、学校卫生、公共场所卫生、饮用水卫生管理规范和政策措施，组织开展相关监测、调查和监督，负责传染病防治监督。组织开展食品安全风险监测、评估工作。</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（四</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（五</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负责制定全县医疗机构和医疗服务全行业管理办法并监督实施。制定医疗机构及其医疗服务、医疗技术、医疗质量、医疗安全的规范并组织实施。会同有关部门组织实施卫生专业技术人员资格准入，实施卫生专业技术人员执业规则和服务规范，建立医疗服务评价和监督管理体系。</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（六</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负责组织推进公立医院改革，建立公益性为导向的绩效考核和评价运行机制，建设和谐医患关系，提出医疗服务和药品价格政策的建议。</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（七）组织实施国家基本药物制度，拟订基本药物采购、配送、使用的管理措施，监督和规范各级医疗机构基本药物使用。</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（八</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贯彻落实人口与计划生育工作的方针、政策，组织监测计划生育发展动态，提出发布计划生育安全预警预报信息建议，负责出生人口性别比的综合治理工作，组织、指导、协调开展打击非医学需要鉴定胎儿性别和选择性别人工终止妊娠行为。制定计划生育技术服务管理制度并监督实施，依法规范计划生育技术和药具管理工作，负责节育手术并发症和独生子女病残儿医学鉴定的管理工作</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负责再生育审批工作</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拟订优生优育和提高出生人口素质的政策措施并组织实施，推动实施计划生育生殖健康促进计划，降低出生缺陷人口数量。</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（九</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组织建立全县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制定本行政区划内流动人口计划生育服务管理制度并组织落实。负责流动人口计划生育区域协作，推动建立流动人口卫生和计划生育信息共享和公共服务工作机制。</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（十一</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组织拟订全县卫生和计划生育人才发展规划，指导卫生和计划生育人才队伍建设。加强全科医生等急需紧缺专业人才培养，建立完善住院医师和专科医师规范化培训制度并指导实施。</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（十二</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组织拟订全县卫生和计划生育科技发展规划，组织实施卫生和计划生育相关科研项目。参与制定医学教育发展规划，组织实施毕业后医学教育和继续医学教育。</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（十三</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指导全县卫生和计划生育工作，完善综合监督执法体系，规范执法行为，监督检查法律法规和政策措施的落实，组织查处重大违法行为。坚持计划生育目标管理责任制，负责对计划生育规划执行情况及目标管理责任制进行监督和考核评估，监督落实计划生育一票否决制，稳定低生育水平。</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（十四</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负责卫生和计划生育宣传、健康教育、健康促进、交流合作和信息化建设等工作，依法组织实施统计调查。</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（十五</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制定全县中医药中长期发展规划并组织实施。加强全县中医药监管。</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（十六</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承担县爱国卫生运动委员会、县深化医药卫生体制改革领导小组、县防治艾滋病工作委员会和县计划生育领导小组的日常工作。</w:t>
      </w:r>
    </w:p>
    <w:p>
      <w:pPr>
        <w:autoSpaceDE w:val="0"/>
        <w:autoSpaceDN w:val="0"/>
        <w:adjustRightInd w:val="0"/>
        <w:spacing w:after="0" w:line="560" w:lineRule="exact"/>
        <w:ind w:firstLine="31680" w:firstLineChars="200"/>
        <w:jc w:val="left"/>
        <w:rPr>
          <w:rFonts w:ascii="仿宋_GB2312" w:hAnsi="Cambria" w:eastAsia="仿宋_GB2312" w:cs="ArialUnicodeMS"/>
          <w:kern w:val="0"/>
          <w:sz w:val="32"/>
          <w:szCs w:val="32"/>
          <w:highlight w:val="yellow"/>
        </w:rPr>
      </w:pPr>
      <w:r>
        <w:rPr>
          <w:rFonts w:hint="eastAsia" w:ascii="仿宋_GB2312" w:hAnsi="Cambria" w:eastAsia="仿宋_GB2312" w:cs="ArialUnicodeMS"/>
          <w:kern w:val="0"/>
          <w:sz w:val="32"/>
          <w:szCs w:val="32"/>
        </w:rPr>
        <w:t>（十七</w:t>
      </w:r>
      <w:r>
        <w:rPr>
          <w:rFonts w:ascii="仿宋_GB2312" w:hAnsi="Cambria" w:eastAsia="仿宋_GB2312" w:cs="ArialUnicodeMS"/>
          <w:kern w:val="0"/>
          <w:sz w:val="32"/>
          <w:szCs w:val="32"/>
        </w:rPr>
        <w:t>)</w:t>
      </w:r>
      <w:r>
        <w:rPr>
          <w:rFonts w:hint="eastAsia" w:ascii="仿宋_GB2312" w:hAnsi="Cambria" w:eastAsia="仿宋_GB2312" w:cs="ArialUnicodeMS"/>
          <w:kern w:val="0"/>
          <w:sz w:val="32"/>
          <w:szCs w:val="32"/>
        </w:rPr>
        <w:t>承办县政府交办的其他事项。</w:t>
      </w:r>
    </w:p>
    <w:p>
      <w:pPr>
        <w:pStyle w:val="3"/>
        <w:numPr>
          <w:ilvl w:val="0"/>
          <w:numId w:val="1"/>
        </w:numPr>
        <w:spacing w:before="0" w:after="0" w:line="560" w:lineRule="exact"/>
        <w:ind w:firstLine="31680" w:firstLineChars="200"/>
      </w:pPr>
      <w:r>
        <w:rPr>
          <w:rFonts w:hint="eastAsia" w:ascii="黑体" w:hAnsi="Cambria" w:eastAsia="黑体" w:cs="黑体"/>
          <w:kern w:val="0"/>
        </w:rPr>
        <w:t>部门决算单位构成</w:t>
      </w:r>
    </w:p>
    <w:p>
      <w:pPr>
        <w:autoSpaceDE w:val="0"/>
        <w:autoSpaceDN w:val="0"/>
        <w:adjustRightInd w:val="0"/>
        <w:spacing w:after="0" w:line="560" w:lineRule="exact"/>
        <w:ind w:firstLine="31680" w:firstLineChars="200"/>
        <w:jc w:val="left"/>
        <w:sectPr>
          <w:headerReference r:id="rId6" w:type="first"/>
          <w:footerReference r:id="rId9" w:type="first"/>
          <w:headerReference r:id="rId4" w:type="default"/>
          <w:footerReference r:id="rId7" w:type="default"/>
          <w:headerReference r:id="rId5" w:type="even"/>
          <w:footerReference r:id="rId8" w:type="even"/>
          <w:pgSz w:w="11906" w:h="16838"/>
          <w:pgMar w:top="2098" w:right="1474" w:bottom="1985" w:left="1588" w:header="851" w:footer="992" w:gutter="0"/>
          <w:pgNumType w:start="0"/>
          <w:cols w:space="425" w:num="1"/>
          <w:titlePg/>
          <w:docGrid w:type="lines" w:linePitch="312"/>
        </w:sectPr>
      </w:pPr>
      <w:r>
        <w:rPr>
          <w:rFonts w:ascii="仿宋_GB2312" w:hAnsi="Cambria" w:eastAsia="仿宋_GB2312" w:cs="ArialUnicodeMS"/>
          <w:kern w:val="0"/>
          <w:sz w:val="32"/>
          <w:szCs w:val="32"/>
        </w:rPr>
        <w:t xml:space="preserve">2017 </w:t>
      </w:r>
      <w:r>
        <w:rPr>
          <w:rFonts w:hint="eastAsia" w:ascii="仿宋_GB2312" w:hAnsi="Cambria" w:eastAsia="仿宋_GB2312" w:cs="ArialUnicodeMS"/>
          <w:kern w:val="0"/>
          <w:sz w:val="32"/>
          <w:szCs w:val="32"/>
        </w:rPr>
        <w:t>年度，纳入本部门决算汇编范围的独立核算单位（以下简称“单位”）共</w:t>
      </w:r>
      <w:r>
        <w:rPr>
          <w:rFonts w:ascii="仿宋_GB2312" w:hAnsi="Cambria" w:eastAsia="仿宋_GB2312" w:cs="ArialUnicodeMS"/>
          <w:kern w:val="0"/>
          <w:sz w:val="32"/>
          <w:szCs w:val="32"/>
        </w:rPr>
        <w:t>6</w:t>
      </w:r>
      <w:r>
        <w:rPr>
          <w:rFonts w:hint="eastAsia" w:ascii="仿宋_GB2312" w:hAnsi="Cambria" w:eastAsia="仿宋_GB2312" w:cs="ArialUnicodeMS"/>
          <w:kern w:val="0"/>
          <w:sz w:val="32"/>
          <w:szCs w:val="32"/>
        </w:rPr>
        <w:t>个，分别是无极县卫生和计划生育局本级、无极县妇幼保健院、无极县预防疾病控制中心、无极县卫生监督所、无极县医院、无极县中医院。单位基本性质为行政单位，预算管理级次为</w:t>
      </w:r>
      <w:r>
        <w:rPr>
          <w:rFonts w:ascii="仿宋_GB2312" w:hAnsi="Cambria" w:eastAsia="仿宋_GB2312" w:cs="ArialUnicodeMS"/>
          <w:kern w:val="0"/>
          <w:sz w:val="32"/>
          <w:szCs w:val="32"/>
        </w:rPr>
        <w:t>1</w:t>
      </w:r>
      <w:r>
        <w:rPr>
          <w:rFonts w:hint="eastAsia" w:ascii="仿宋_GB2312" w:hAnsi="Cambria" w:eastAsia="仿宋_GB2312" w:cs="ArialUnicodeMS"/>
          <w:kern w:val="0"/>
          <w:sz w:val="32"/>
          <w:szCs w:val="32"/>
        </w:rPr>
        <w:t>级预算单位，执行行政单位会计制度，较上年减少</w:t>
      </w:r>
      <w:r>
        <w:rPr>
          <w:rFonts w:ascii="仿宋_GB2312" w:hAnsi="Cambria" w:eastAsia="仿宋_GB2312" w:cs="ArialUnicodeMS"/>
          <w:kern w:val="0"/>
          <w:sz w:val="32"/>
          <w:szCs w:val="32"/>
        </w:rPr>
        <w:t>2</w:t>
      </w:r>
      <w:r>
        <w:rPr>
          <w:rFonts w:hint="eastAsia" w:ascii="仿宋_GB2312" w:hAnsi="Cambria" w:eastAsia="仿宋_GB2312" w:cs="ArialUnicodeMS"/>
          <w:kern w:val="0"/>
          <w:sz w:val="32"/>
          <w:szCs w:val="32"/>
        </w:rPr>
        <w:t>个单位，分别是无极县卫生学校、无极县新型农村合作医疗管理中心。</w:t>
      </w:r>
    </w:p>
    <w:p>
      <w:pPr>
        <w:spacing w:line="560" w:lineRule="exact"/>
        <w:rPr>
          <w:rFonts w:ascii="仿宋_GB2312" w:hAnsi="Cambria" w:eastAsia="仿宋_GB2312" w:cs="ArialUnicodeMS"/>
          <w:kern w:val="0"/>
          <w:sz w:val="32"/>
          <w:szCs w:val="32"/>
        </w:rPr>
      </w:pPr>
    </w:p>
    <w:p>
      <w:pPr>
        <w:pStyle w:val="2"/>
        <w:spacing w:line="560" w:lineRule="exact"/>
        <w:jc w:val="center"/>
        <w:rPr>
          <w:rFonts w:ascii="宋体" w:cs="ArialUnicodeMS"/>
          <w:color w:val="000000"/>
          <w:kern w:val="0"/>
        </w:rPr>
      </w:pPr>
      <w:r>
        <w:rPr>
          <w:rFonts w:hint="eastAsia" w:ascii="宋体" w:hAnsi="宋体" w:cs="ArialUnicodeMS"/>
          <w:color w:val="000000"/>
          <w:kern w:val="0"/>
        </w:rPr>
        <w:t>第二部分</w:t>
      </w:r>
      <w:r>
        <w:rPr>
          <w:rFonts w:ascii="宋体" w:hAnsi="宋体" w:cs="ArialUnicodeMS"/>
          <w:color w:val="000000"/>
          <w:kern w:val="0"/>
        </w:rPr>
        <w:t xml:space="preserve"> 2017</w:t>
      </w:r>
      <w:r>
        <w:rPr>
          <w:rFonts w:hint="eastAsia" w:ascii="宋体" w:hAnsi="宋体" w:cs="ArialUnicodeMS"/>
          <w:color w:val="000000"/>
          <w:kern w:val="0"/>
        </w:rPr>
        <w:t>年度部门决算报表</w:t>
      </w:r>
    </w:p>
    <w:p>
      <w:pPr>
        <w:widowControl/>
        <w:spacing w:line="580" w:lineRule="exact"/>
        <w:ind w:left="640" w:firstLine="31680" w:firstLineChars="200"/>
        <w:rPr>
          <w:rFonts w:eastAsia="仿宋_GB2312"/>
          <w:sz w:val="32"/>
          <w:szCs w:val="32"/>
        </w:rPr>
      </w:pPr>
      <w:r>
        <w:rPr>
          <w:rFonts w:hint="eastAsia" w:eastAsia="仿宋_GB2312"/>
          <w:sz w:val="32"/>
          <w:szCs w:val="32"/>
        </w:rPr>
        <w:t>一、收入支出决算总表</w:t>
      </w:r>
    </w:p>
    <w:p>
      <w:pPr>
        <w:widowControl/>
        <w:spacing w:line="580" w:lineRule="exact"/>
        <w:ind w:left="640" w:firstLine="31680" w:firstLineChars="200"/>
        <w:rPr>
          <w:rFonts w:eastAsia="仿宋_GB2312"/>
          <w:sz w:val="32"/>
          <w:szCs w:val="32"/>
        </w:rPr>
      </w:pPr>
      <w:r>
        <w:rPr>
          <w:rFonts w:hint="eastAsia" w:eastAsia="仿宋_GB2312"/>
          <w:sz w:val="32"/>
          <w:szCs w:val="32"/>
        </w:rPr>
        <w:t>二、收入决算表</w:t>
      </w:r>
    </w:p>
    <w:p>
      <w:pPr>
        <w:widowControl/>
        <w:spacing w:line="580" w:lineRule="exact"/>
        <w:ind w:left="640" w:firstLine="31680" w:firstLineChars="200"/>
        <w:rPr>
          <w:rFonts w:eastAsia="仿宋_GB2312"/>
          <w:sz w:val="32"/>
          <w:szCs w:val="32"/>
        </w:rPr>
      </w:pPr>
      <w:r>
        <w:rPr>
          <w:rFonts w:hint="eastAsia" w:eastAsia="仿宋_GB2312"/>
          <w:sz w:val="32"/>
          <w:szCs w:val="32"/>
        </w:rPr>
        <w:t>三、支出决算表</w:t>
      </w:r>
    </w:p>
    <w:p>
      <w:pPr>
        <w:widowControl/>
        <w:spacing w:line="580" w:lineRule="exact"/>
        <w:ind w:left="640" w:firstLine="31680" w:firstLineChars="200"/>
        <w:rPr>
          <w:rFonts w:eastAsia="仿宋_GB2312"/>
          <w:sz w:val="32"/>
          <w:szCs w:val="32"/>
        </w:rPr>
      </w:pPr>
      <w:r>
        <w:rPr>
          <w:rFonts w:hint="eastAsia" w:eastAsia="仿宋_GB2312"/>
          <w:sz w:val="32"/>
          <w:szCs w:val="32"/>
        </w:rPr>
        <w:t>四、财政拨款收入支出决算总表</w:t>
      </w:r>
    </w:p>
    <w:p>
      <w:pPr>
        <w:widowControl/>
        <w:spacing w:line="580" w:lineRule="exact"/>
        <w:ind w:left="640" w:firstLine="31680" w:firstLineChars="200"/>
        <w:rPr>
          <w:rFonts w:eastAsia="仿宋_GB2312"/>
          <w:sz w:val="32"/>
          <w:szCs w:val="32"/>
        </w:rPr>
      </w:pPr>
      <w:r>
        <w:rPr>
          <w:rFonts w:hint="eastAsia" w:eastAsia="仿宋_GB2312"/>
          <w:sz w:val="32"/>
          <w:szCs w:val="32"/>
        </w:rPr>
        <w:t>五、一般公共预算财政拨款收入支出决算表</w:t>
      </w:r>
    </w:p>
    <w:p>
      <w:pPr>
        <w:widowControl/>
        <w:spacing w:line="580" w:lineRule="exact"/>
        <w:ind w:left="640" w:firstLine="31680" w:firstLineChars="200"/>
        <w:rPr>
          <w:rFonts w:eastAsia="仿宋_GB2312"/>
          <w:sz w:val="32"/>
          <w:szCs w:val="32"/>
        </w:rPr>
      </w:pPr>
      <w:r>
        <w:rPr>
          <w:rFonts w:hint="eastAsia" w:eastAsia="仿宋_GB2312"/>
          <w:sz w:val="32"/>
          <w:szCs w:val="32"/>
        </w:rPr>
        <w:t>六、一般公共预算财政拨款基本支出决算经济分类表</w:t>
      </w:r>
    </w:p>
    <w:p>
      <w:pPr>
        <w:widowControl/>
        <w:spacing w:line="580" w:lineRule="exact"/>
        <w:ind w:left="640" w:firstLine="31680" w:firstLineChars="200"/>
        <w:rPr>
          <w:rFonts w:eastAsia="仿宋_GB2312"/>
          <w:sz w:val="32"/>
          <w:szCs w:val="32"/>
        </w:rPr>
      </w:pPr>
      <w:r>
        <w:rPr>
          <w:rFonts w:hint="eastAsia" w:eastAsia="仿宋_GB2312"/>
          <w:sz w:val="32"/>
          <w:szCs w:val="32"/>
        </w:rPr>
        <w:t>七、政府性基金预算财政拨款收入支出决算表</w:t>
      </w:r>
    </w:p>
    <w:p>
      <w:pPr>
        <w:widowControl/>
        <w:spacing w:line="580" w:lineRule="exact"/>
        <w:ind w:left="640" w:firstLine="31680" w:firstLineChars="200"/>
        <w:rPr>
          <w:rFonts w:eastAsia="仿宋_GB2312"/>
          <w:sz w:val="32"/>
          <w:szCs w:val="32"/>
        </w:rPr>
      </w:pPr>
      <w:r>
        <w:rPr>
          <w:rFonts w:hint="eastAsia" w:eastAsia="仿宋_GB2312"/>
          <w:sz w:val="32"/>
          <w:szCs w:val="32"/>
        </w:rPr>
        <w:t>八、国有资本经营预算财政拨款收入支出决算表</w:t>
      </w:r>
    </w:p>
    <w:p>
      <w:pPr>
        <w:widowControl/>
        <w:spacing w:line="580" w:lineRule="exact"/>
        <w:ind w:left="640" w:firstLine="31680" w:firstLineChars="200"/>
        <w:rPr>
          <w:rFonts w:eastAsia="仿宋_GB2312"/>
          <w:sz w:val="32"/>
          <w:szCs w:val="32"/>
        </w:rPr>
      </w:pPr>
      <w:r>
        <w:rPr>
          <w:rFonts w:hint="eastAsia" w:eastAsia="仿宋_GB2312"/>
          <w:sz w:val="32"/>
          <w:szCs w:val="32"/>
        </w:rPr>
        <w:t>九、</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经费等相关信息统计表</w:t>
      </w:r>
    </w:p>
    <w:p>
      <w:pPr>
        <w:widowControl/>
        <w:spacing w:line="580" w:lineRule="exact"/>
        <w:ind w:left="640" w:firstLine="31680" w:firstLineChars="200"/>
        <w:rPr>
          <w:rFonts w:eastAsia="仿宋_GB2312"/>
          <w:sz w:val="32"/>
          <w:szCs w:val="32"/>
        </w:rPr>
      </w:pPr>
      <w:r>
        <w:rPr>
          <w:rFonts w:hint="eastAsia" w:eastAsia="仿宋_GB2312"/>
          <w:sz w:val="32"/>
          <w:szCs w:val="32"/>
        </w:rPr>
        <w:t>十、政府采购情况表</w:t>
      </w:r>
    </w:p>
    <w:p>
      <w:pPr>
        <w:widowControl/>
        <w:spacing w:after="0" w:line="560" w:lineRule="exact"/>
        <w:ind w:firstLine="31680" w:firstLineChars="200"/>
        <w:jc w:val="left"/>
        <w:sectPr>
          <w:pgSz w:w="11906" w:h="16838"/>
          <w:pgMar w:top="2098" w:right="1474" w:bottom="1985" w:left="1588" w:header="851" w:footer="992" w:gutter="0"/>
          <w:cols w:space="425" w:num="1"/>
          <w:docGrid w:type="lines" w:linePitch="312"/>
        </w:sectPr>
      </w:pPr>
    </w:p>
    <w:p>
      <w:pPr>
        <w:pStyle w:val="2"/>
        <w:spacing w:line="560" w:lineRule="exact"/>
        <w:jc w:val="center"/>
        <w:rPr>
          <w:rFonts w:ascii="宋体" w:cs="ArialUnicodeMS"/>
          <w:color w:val="000000"/>
          <w:kern w:val="0"/>
        </w:rPr>
      </w:pPr>
      <w:r>
        <w:rPr>
          <w:rFonts w:hint="eastAsia" w:ascii="宋体" w:hAnsi="宋体" w:cs="ArialUnicodeMS"/>
          <w:color w:val="000000"/>
          <w:kern w:val="0"/>
        </w:rPr>
        <w:t>第三部分部门决算情况说明</w:t>
      </w:r>
    </w:p>
    <w:p>
      <w:pPr>
        <w:pStyle w:val="3"/>
        <w:spacing w:before="0" w:after="0" w:line="560" w:lineRule="exact"/>
        <w:ind w:firstLine="31680"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31680" w:firstLineChars="200"/>
        <w:rPr>
          <w:rFonts w:hint="eastAsia" w:ascii="仿宋" w:hAnsi="仿宋" w:eastAsia="仿宋" w:cs="仿宋"/>
          <w:sz w:val="32"/>
          <w:szCs w:val="32"/>
        </w:rPr>
      </w:pPr>
      <w:r>
        <w:rPr>
          <w:rFonts w:hint="eastAsia" w:ascii="仿宋" w:hAnsi="仿宋" w:eastAsia="仿宋" w:cs="仿宋"/>
          <w:sz w:val="32"/>
          <w:szCs w:val="32"/>
        </w:rPr>
        <w:t>本部门2017年度年初结转和结余2521.12万元，本年收入35781.23万元；本年支出36509.04万元、年末结转和结余1533.95万元。与2016年度决算相比，本年收入减少12688.5万元，降低26.17%，主要是新农合资金划归社保局，故财政拨款减少；本年支出减少10213.54万元，降低21.85%，主要是新农合资金划归社保局，故财政拨款减少。</w:t>
      </w:r>
    </w:p>
    <w:p>
      <w:pPr>
        <w:pStyle w:val="3"/>
        <w:spacing w:before="0" w:after="0" w:line="560" w:lineRule="exact"/>
        <w:ind w:firstLine="31680" w:firstLineChars="200"/>
        <w:rPr>
          <w:rFonts w:ascii="黑体" w:eastAsia="黑体"/>
        </w:rPr>
      </w:pPr>
      <w:r>
        <w:rPr>
          <w:rFonts w:hint="eastAsia" w:ascii="黑体" w:eastAsia="黑体"/>
        </w:rPr>
        <w:t>二、收入决算情况说明</w:t>
      </w:r>
    </w:p>
    <w:p>
      <w:pPr>
        <w:adjustRightInd w:val="0"/>
        <w:snapToGrid w:val="0"/>
        <w:spacing w:line="560" w:lineRule="exact"/>
        <w:ind w:firstLine="3168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年度本年收入合计</w:t>
      </w:r>
      <w:r>
        <w:rPr>
          <w:rFonts w:ascii="仿宋_GB2312" w:eastAsia="仿宋_GB2312" w:cs="DengXian-Regular"/>
          <w:sz w:val="32"/>
          <w:szCs w:val="32"/>
        </w:rPr>
        <w:t>35781.23</w:t>
      </w:r>
      <w:r>
        <w:rPr>
          <w:rFonts w:hint="eastAsia" w:ascii="仿宋_GB2312" w:eastAsia="仿宋_GB2312" w:cs="DengXian-Regular"/>
          <w:sz w:val="32"/>
          <w:szCs w:val="32"/>
        </w:rPr>
        <w:t>万元，其中：财政拨款收入</w:t>
      </w:r>
      <w:r>
        <w:rPr>
          <w:rFonts w:ascii="仿宋_GB2312" w:eastAsia="仿宋_GB2312" w:cs="DengXian-Regular"/>
          <w:sz w:val="32"/>
          <w:szCs w:val="32"/>
        </w:rPr>
        <w:t>10055.19</w:t>
      </w:r>
      <w:r>
        <w:rPr>
          <w:rFonts w:hint="eastAsia" w:ascii="仿宋_GB2312" w:eastAsia="仿宋_GB2312" w:cs="DengXian-Regular"/>
          <w:sz w:val="32"/>
          <w:szCs w:val="32"/>
        </w:rPr>
        <w:t>万元，占</w:t>
      </w:r>
      <w:r>
        <w:rPr>
          <w:rFonts w:ascii="仿宋_GB2312" w:eastAsia="仿宋_GB2312" w:cs="DengXian-Regular"/>
          <w:sz w:val="32"/>
          <w:szCs w:val="32"/>
        </w:rPr>
        <w:t>28.12%</w:t>
      </w:r>
      <w:r>
        <w:rPr>
          <w:rFonts w:hint="eastAsia" w:ascii="仿宋_GB2312" w:eastAsia="仿宋_GB2312" w:cs="DengXian-Regular"/>
          <w:sz w:val="32"/>
          <w:szCs w:val="32"/>
        </w:rPr>
        <w:t>；事业收入</w:t>
      </w:r>
      <w:r>
        <w:rPr>
          <w:rFonts w:ascii="仿宋_GB2312" w:eastAsia="仿宋_GB2312" w:cs="DengXian-Regular"/>
          <w:sz w:val="32"/>
          <w:szCs w:val="32"/>
        </w:rPr>
        <w:t>25236.75</w:t>
      </w:r>
      <w:r>
        <w:rPr>
          <w:rFonts w:hint="eastAsia" w:ascii="仿宋_GB2312" w:eastAsia="仿宋_GB2312" w:cs="DengXian-Regular"/>
          <w:sz w:val="32"/>
          <w:szCs w:val="32"/>
        </w:rPr>
        <w:t>万元，占</w:t>
      </w:r>
      <w:r>
        <w:rPr>
          <w:rFonts w:ascii="仿宋_GB2312" w:eastAsia="仿宋_GB2312" w:cs="DengXian-Regular"/>
          <w:sz w:val="32"/>
          <w:szCs w:val="32"/>
        </w:rPr>
        <w:t>70.53%</w:t>
      </w:r>
      <w:r>
        <w:rPr>
          <w:rFonts w:hint="eastAsia" w:ascii="仿宋_GB2312" w:eastAsia="仿宋_GB2312" w:cs="DengXian-Regular"/>
          <w:sz w:val="32"/>
          <w:szCs w:val="32"/>
        </w:rPr>
        <w:t>；上级补助收入</w:t>
      </w:r>
      <w:r>
        <w:rPr>
          <w:rFonts w:ascii="仿宋_GB2312" w:eastAsia="仿宋_GB2312" w:cs="DengXian-Regular"/>
          <w:sz w:val="32"/>
          <w:szCs w:val="32"/>
        </w:rPr>
        <w:t>403.85</w:t>
      </w:r>
      <w:r>
        <w:rPr>
          <w:rFonts w:hint="eastAsia" w:ascii="仿宋_GB2312" w:eastAsia="仿宋_GB2312" w:cs="DengXian-Regular"/>
          <w:sz w:val="32"/>
          <w:szCs w:val="32"/>
        </w:rPr>
        <w:t>万元，占</w:t>
      </w:r>
      <w:r>
        <w:rPr>
          <w:rFonts w:ascii="仿宋_GB2312" w:eastAsia="仿宋_GB2312" w:cs="DengXian-Regular"/>
          <w:sz w:val="32"/>
          <w:szCs w:val="32"/>
        </w:rPr>
        <w:t>1.12%</w:t>
      </w:r>
      <w:r>
        <w:rPr>
          <w:rFonts w:hint="eastAsia" w:ascii="仿宋_GB2312" w:eastAsia="仿宋_GB2312" w:cs="DengXian-Regular"/>
          <w:sz w:val="32"/>
          <w:szCs w:val="32"/>
        </w:rPr>
        <w:t>；其他收入</w:t>
      </w:r>
      <w:r>
        <w:rPr>
          <w:rFonts w:ascii="仿宋_GB2312" w:eastAsia="仿宋_GB2312" w:cs="DengXian-Regular"/>
          <w:sz w:val="32"/>
          <w:szCs w:val="32"/>
        </w:rPr>
        <w:t>85.44</w:t>
      </w:r>
      <w:r>
        <w:rPr>
          <w:rFonts w:hint="eastAsia" w:ascii="仿宋_GB2312" w:eastAsia="仿宋_GB2312" w:cs="DengXian-Regular"/>
          <w:sz w:val="32"/>
          <w:szCs w:val="32"/>
        </w:rPr>
        <w:t>万元，占</w:t>
      </w:r>
      <w:r>
        <w:rPr>
          <w:rFonts w:ascii="仿宋_GB2312" w:eastAsia="仿宋_GB2312" w:cs="DengXian-Regular"/>
          <w:sz w:val="32"/>
          <w:szCs w:val="32"/>
        </w:rPr>
        <w:t>0.23%</w:t>
      </w:r>
      <w:r>
        <w:rPr>
          <w:rFonts w:hint="eastAsia" w:ascii="仿宋_GB2312" w:eastAsia="仿宋_GB2312" w:cs="DengXian-Regular"/>
          <w:sz w:val="32"/>
          <w:szCs w:val="32"/>
        </w:rPr>
        <w:t>。如图所示：</w:t>
      </w:r>
    </w:p>
    <w:p>
      <w:pPr>
        <w:adjustRightInd w:val="0"/>
        <w:snapToGrid w:val="0"/>
        <w:spacing w:line="560" w:lineRule="exact"/>
        <w:ind w:firstLine="31680" w:firstLineChars="600"/>
        <w:rPr>
          <w:rFonts w:ascii="仿宋_GB2312" w:eastAsia="仿宋_GB2312" w:cs="DengXian-Regular"/>
          <w:sz w:val="32"/>
          <w:szCs w:val="32"/>
        </w:rPr>
      </w:pPr>
      <w:r>
        <w:rPr>
          <w:rFonts w:hint="eastAsia" w:ascii="仿宋_GB2312" w:eastAsia="仿宋_GB2312" w:cs="DengXian-Regular"/>
          <w:sz w:val="32"/>
          <w:szCs w:val="32"/>
        </w:rPr>
        <w:t>图</w:t>
      </w:r>
      <w:r>
        <w:rPr>
          <w:rFonts w:ascii="仿宋_GB2312" w:eastAsia="仿宋_GB2312" w:cs="DengXian-Regular"/>
          <w:sz w:val="32"/>
          <w:szCs w:val="32"/>
        </w:rPr>
        <w:t>1</w:t>
      </w:r>
      <w:r>
        <w:rPr>
          <w:rFonts w:hint="eastAsia" w:ascii="仿宋_GB2312" w:eastAsia="仿宋_GB2312" w:cs="DengXian-Regular"/>
          <w:sz w:val="32"/>
          <w:szCs w:val="32"/>
        </w:rPr>
        <w:t>：收入决算结构饼状图</w:t>
      </w:r>
    </w:p>
    <w:p>
      <w:pPr>
        <w:adjustRightInd w:val="0"/>
        <w:snapToGrid w:val="0"/>
        <w:spacing w:line="560" w:lineRule="exact"/>
        <w:ind w:firstLine="31680" w:firstLineChars="200"/>
        <w:rPr>
          <w:rFonts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图表 3" o:spid="_x0000_s1025" type="#_x0000_t75" style="position:absolute;left:0;margin-left:7.5pt;margin-top:36pt;height:217.5pt;width:361.5pt;mso-wrap-distance-bottom:0pt;mso-wrap-distance-top:0pt;rotation:0f;z-index:251658240;" o:ole="f" fillcolor="#FFFFFF" filled="f" o:preferrelative="t" stroked="f" coordorigin="0,0" coordsize="21600,21600">
            <v:fill on="f" color2="#FFFFFF" focus="0%"/>
            <v:imagedata gain="65536f" blacklevel="0f" gamma="0" o:title="" r:id="rId11"/>
            <o:lock v:ext="edit" position="f" selection="f" grouping="f" rotation="f" cropping="f" text="f" aspectratio="f"/>
            <w10:wrap type="topAndBottom"/>
          </v:shape>
        </w:pict>
      </w:r>
    </w:p>
    <w:p>
      <w:pPr>
        <w:pStyle w:val="3"/>
        <w:spacing w:before="0" w:after="0" w:line="560" w:lineRule="exact"/>
        <w:ind w:firstLine="31680" w:firstLineChars="200"/>
        <w:rPr>
          <w:rFonts w:ascii="黑体" w:eastAsia="黑体"/>
        </w:rPr>
      </w:pPr>
      <w:r>
        <w:rPr>
          <w:rFonts w:hint="eastAsia" w:ascii="黑体" w:eastAsia="黑体"/>
        </w:rPr>
        <w:t>三、支出决算情况说明</w:t>
      </w:r>
    </w:p>
    <w:p>
      <w:pPr>
        <w:adjustRightInd w:val="0"/>
        <w:snapToGrid w:val="0"/>
        <w:spacing w:line="560" w:lineRule="exact"/>
        <w:ind w:firstLine="3168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年度本年支出合计</w:t>
      </w:r>
      <w:r>
        <w:rPr>
          <w:rFonts w:ascii="仿宋_GB2312" w:eastAsia="仿宋_GB2312" w:cs="DengXian-Regular"/>
          <w:sz w:val="32"/>
          <w:szCs w:val="32"/>
        </w:rPr>
        <w:t>36509.04</w:t>
      </w:r>
      <w:r>
        <w:rPr>
          <w:rFonts w:hint="eastAsia" w:ascii="仿宋_GB2312" w:eastAsia="仿宋_GB2312" w:cs="DengXian-Regular"/>
          <w:sz w:val="32"/>
          <w:szCs w:val="32"/>
        </w:rPr>
        <w:t>万元，其中：基本支出</w:t>
      </w:r>
      <w:r>
        <w:rPr>
          <w:rFonts w:ascii="仿宋_GB2312" w:eastAsia="仿宋_GB2312" w:cs="DengXian-Regular"/>
          <w:sz w:val="32"/>
          <w:szCs w:val="32"/>
        </w:rPr>
        <w:t>33314.35</w:t>
      </w:r>
      <w:r>
        <w:rPr>
          <w:rFonts w:hint="eastAsia" w:ascii="仿宋_GB2312" w:eastAsia="仿宋_GB2312" w:cs="DengXian-Regular"/>
          <w:sz w:val="32"/>
          <w:szCs w:val="32"/>
        </w:rPr>
        <w:t>万元，占</w:t>
      </w:r>
      <w:r>
        <w:rPr>
          <w:rFonts w:ascii="仿宋_GB2312" w:eastAsia="仿宋_GB2312" w:cs="DengXian-Regular"/>
          <w:sz w:val="32"/>
          <w:szCs w:val="32"/>
        </w:rPr>
        <w:t>91.25%</w:t>
      </w:r>
      <w:r>
        <w:rPr>
          <w:rFonts w:hint="eastAsia" w:ascii="仿宋_GB2312" w:eastAsia="仿宋_GB2312" w:cs="DengXian-Regular"/>
          <w:sz w:val="32"/>
          <w:szCs w:val="32"/>
        </w:rPr>
        <w:t>；项目支出</w:t>
      </w:r>
      <w:r>
        <w:rPr>
          <w:rFonts w:ascii="仿宋_GB2312" w:eastAsia="仿宋_GB2312" w:cs="DengXian-Regular"/>
          <w:sz w:val="32"/>
          <w:szCs w:val="32"/>
        </w:rPr>
        <w:t>3194.69</w:t>
      </w:r>
      <w:r>
        <w:rPr>
          <w:rFonts w:hint="eastAsia" w:ascii="仿宋_GB2312" w:eastAsia="仿宋_GB2312" w:cs="DengXian-Regular"/>
          <w:sz w:val="32"/>
          <w:szCs w:val="32"/>
        </w:rPr>
        <w:t>万元，占</w:t>
      </w:r>
      <w:r>
        <w:rPr>
          <w:rFonts w:ascii="仿宋_GB2312" w:eastAsia="仿宋_GB2312" w:cs="DengXian-Regular"/>
          <w:sz w:val="32"/>
          <w:szCs w:val="32"/>
        </w:rPr>
        <w:t>8.75%</w:t>
      </w:r>
      <w:r>
        <w:rPr>
          <w:rFonts w:hint="eastAsia" w:ascii="仿宋_GB2312" w:eastAsia="仿宋_GB2312" w:cs="DengXian-Regular"/>
          <w:sz w:val="32"/>
          <w:szCs w:val="32"/>
        </w:rPr>
        <w:t>。如图所示：</w:t>
      </w:r>
    </w:p>
    <w:p>
      <w:pPr>
        <w:adjustRightInd w:val="0"/>
        <w:snapToGrid w:val="0"/>
        <w:spacing w:line="560" w:lineRule="exact"/>
        <w:ind w:firstLine="31680" w:firstLineChars="600"/>
        <w:rPr>
          <w:rFonts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图表 7" o:spid="_x0000_s1026" type="#_x0000_t75" style="position:absolute;left:0;margin-left:-2.95pt;margin-top:59.15pt;height:217.5pt;width:361.5pt;mso-wrap-distance-bottom:0pt;mso-wrap-distance-top:0pt;rotation:0f;z-index:251659264;" o:ole="f" fillcolor="#FFFFFF" filled="f" o:preferrelative="t" stroked="f" coordorigin="0,0" coordsize="21600,21600">
            <v:fill on="f" color2="#FFFFFF" focus="0%"/>
            <v:imagedata gain="65536f" blacklevel="0f" gamma="0" o:title="" r:id="rId12"/>
            <o:lock v:ext="edit" position="f" selection="f" grouping="f" rotation="f" cropping="f" text="f" aspectratio="f"/>
            <w10:wrap type="topAndBottom"/>
          </v:shape>
        </w:pict>
      </w:r>
      <w:r>
        <w:rPr>
          <w:rFonts w:hint="eastAsia" w:ascii="仿宋_GB2312" w:eastAsia="仿宋_GB2312" w:cs="DengXian-Regular"/>
          <w:sz w:val="32"/>
          <w:szCs w:val="32"/>
        </w:rPr>
        <w:t>图</w:t>
      </w:r>
      <w:r>
        <w:rPr>
          <w:rFonts w:ascii="仿宋_GB2312" w:eastAsia="仿宋_GB2312" w:cs="DengXian-Regular"/>
          <w:sz w:val="32"/>
          <w:szCs w:val="32"/>
        </w:rPr>
        <w:t>2</w:t>
      </w:r>
      <w:r>
        <w:rPr>
          <w:rFonts w:hint="eastAsia" w:ascii="仿宋_GB2312" w:eastAsia="仿宋_GB2312" w:cs="DengXian-Regular"/>
          <w:sz w:val="32"/>
          <w:szCs w:val="32"/>
        </w:rPr>
        <w:t>：支出决算结构饼状图</w:t>
      </w:r>
    </w:p>
    <w:p>
      <w:pPr>
        <w:adjustRightInd w:val="0"/>
        <w:snapToGrid w:val="0"/>
        <w:spacing w:after="0" w:line="560" w:lineRule="exact"/>
        <w:ind w:firstLine="31680" w:firstLineChars="200"/>
        <w:rPr>
          <w:rFonts w:ascii="仿宋_GB2312" w:eastAsia="仿宋_GB2312" w:cs="DengXian-Regular"/>
          <w:sz w:val="32"/>
          <w:szCs w:val="32"/>
        </w:rPr>
      </w:pPr>
    </w:p>
    <w:p>
      <w:pPr>
        <w:pStyle w:val="3"/>
        <w:spacing w:before="0" w:after="0" w:line="560" w:lineRule="exact"/>
        <w:ind w:firstLine="31680"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31680"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ascii="楷体_GB2312" w:eastAsia="楷体_GB2312" w:cs="DengXian-Bold"/>
          <w:b/>
          <w:bCs/>
          <w:sz w:val="32"/>
          <w:szCs w:val="32"/>
        </w:rPr>
        <w:t xml:space="preserve">2016 </w:t>
      </w:r>
      <w:r>
        <w:rPr>
          <w:rFonts w:hint="eastAsia" w:ascii="楷体_GB2312" w:eastAsia="楷体_GB2312" w:cs="DengXian-Bold"/>
          <w:b/>
          <w:bCs/>
          <w:sz w:val="32"/>
          <w:szCs w:val="32"/>
        </w:rPr>
        <w:t>年度决算对比情况</w:t>
      </w:r>
    </w:p>
    <w:p>
      <w:pPr>
        <w:adjustRightInd w:val="0"/>
        <w:snapToGrid w:val="0"/>
        <w:spacing w:after="0" w:line="560" w:lineRule="exact"/>
        <w:ind w:firstLine="3168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年度财政拨款收支全部为一般公共预算财政拨款收支。一般公共预算财政拨款年初结转和结余</w:t>
      </w:r>
      <w:r>
        <w:rPr>
          <w:rFonts w:ascii="仿宋_GB2312" w:eastAsia="仿宋_GB2312" w:cs="DengXian-Regular"/>
          <w:sz w:val="32"/>
          <w:szCs w:val="32"/>
        </w:rPr>
        <w:t>2521.12</w:t>
      </w:r>
      <w:r>
        <w:rPr>
          <w:rFonts w:hint="eastAsia" w:ascii="仿宋_GB2312" w:eastAsia="仿宋_GB2312" w:cs="DengXian-Regular"/>
          <w:sz w:val="32"/>
          <w:szCs w:val="32"/>
        </w:rPr>
        <w:t>万元、本年收入</w:t>
      </w:r>
      <w:r>
        <w:rPr>
          <w:rFonts w:ascii="仿宋_GB2312" w:eastAsia="仿宋_GB2312" w:cs="DengXian-Regular"/>
          <w:sz w:val="32"/>
          <w:szCs w:val="32"/>
        </w:rPr>
        <w:t>10055.19</w:t>
      </w:r>
      <w:r>
        <w:rPr>
          <w:rFonts w:hint="eastAsia" w:ascii="仿宋_GB2312" w:eastAsia="仿宋_GB2312" w:cs="DengXian-Regular"/>
          <w:sz w:val="32"/>
          <w:szCs w:val="32"/>
        </w:rPr>
        <w:t>万元；本年支出</w:t>
      </w:r>
      <w:r>
        <w:rPr>
          <w:rFonts w:ascii="仿宋_GB2312" w:eastAsia="仿宋_GB2312" w:cs="DengXian-Regular"/>
          <w:sz w:val="32"/>
          <w:szCs w:val="32"/>
        </w:rPr>
        <w:t>11042.37</w:t>
      </w:r>
      <w:r>
        <w:rPr>
          <w:rFonts w:hint="eastAsia" w:ascii="仿宋_GB2312" w:eastAsia="仿宋_GB2312" w:cs="DengXian-Regular"/>
          <w:sz w:val="32"/>
          <w:szCs w:val="32"/>
        </w:rPr>
        <w:t>万元、年末结转和结余</w:t>
      </w:r>
      <w:r>
        <w:rPr>
          <w:rFonts w:ascii="仿宋_GB2312" w:eastAsia="仿宋_GB2312" w:cs="DengXian-Regular"/>
          <w:sz w:val="32"/>
          <w:szCs w:val="32"/>
        </w:rPr>
        <w:t>1533.95</w:t>
      </w:r>
      <w:r>
        <w:rPr>
          <w:rFonts w:hint="eastAsia" w:ascii="仿宋_GB2312" w:eastAsia="仿宋_GB2312" w:cs="DengXian-Regular"/>
          <w:sz w:val="32"/>
          <w:szCs w:val="32"/>
        </w:rPr>
        <w:t>万元。与</w:t>
      </w:r>
      <w:r>
        <w:rPr>
          <w:rFonts w:ascii="仿宋_GB2312" w:eastAsia="仿宋_GB2312" w:cs="DengXian-Regular"/>
          <w:sz w:val="32"/>
          <w:szCs w:val="32"/>
        </w:rPr>
        <w:t>2016</w:t>
      </w:r>
      <w:r>
        <w:rPr>
          <w:rFonts w:hint="eastAsia" w:ascii="仿宋_GB2312" w:eastAsia="仿宋_GB2312" w:cs="DengXian-Regular"/>
          <w:sz w:val="32"/>
          <w:szCs w:val="32"/>
        </w:rPr>
        <w:t>年度决算相比，一般公共预算财政拨款本年收入减少</w:t>
      </w:r>
      <w:r>
        <w:rPr>
          <w:rFonts w:ascii="仿宋_GB2312" w:eastAsia="仿宋_GB2312" w:cs="DengXian-Regular"/>
          <w:sz w:val="32"/>
          <w:szCs w:val="32"/>
        </w:rPr>
        <w:t>13184.64</w:t>
      </w:r>
      <w:r>
        <w:rPr>
          <w:rFonts w:hint="eastAsia" w:ascii="仿宋_GB2312" w:eastAsia="仿宋_GB2312" w:cs="DengXian-Regular"/>
          <w:sz w:val="32"/>
          <w:szCs w:val="32"/>
        </w:rPr>
        <w:t>万元，降低</w:t>
      </w:r>
      <w:r>
        <w:rPr>
          <w:rFonts w:ascii="仿宋_GB2312" w:eastAsia="仿宋_GB2312" w:cs="DengXian-Regular"/>
          <w:sz w:val="32"/>
          <w:szCs w:val="32"/>
        </w:rPr>
        <w:t>56.73%</w:t>
      </w:r>
      <w:r>
        <w:rPr>
          <w:rFonts w:hint="eastAsia" w:ascii="仿宋_GB2312" w:eastAsia="仿宋_GB2312" w:cs="DengXian-Regular"/>
          <w:sz w:val="32"/>
          <w:szCs w:val="32"/>
        </w:rPr>
        <w:t>，主要是新农合资金划归社保局，故财政拨款收入减少；本年支出减少</w:t>
      </w:r>
      <w:r>
        <w:rPr>
          <w:rFonts w:ascii="仿宋_GB2312" w:eastAsia="仿宋_GB2312" w:cs="DengXian-Regular"/>
          <w:sz w:val="32"/>
          <w:szCs w:val="32"/>
        </w:rPr>
        <w:t>11443.27</w:t>
      </w:r>
      <w:r>
        <w:rPr>
          <w:rFonts w:hint="eastAsia" w:ascii="仿宋_GB2312" w:eastAsia="仿宋_GB2312" w:cs="DengXian-Regular"/>
          <w:sz w:val="32"/>
          <w:szCs w:val="32"/>
        </w:rPr>
        <w:t>万元，降低</w:t>
      </w:r>
      <w:r>
        <w:rPr>
          <w:rFonts w:ascii="仿宋_GB2312" w:eastAsia="仿宋_GB2312" w:cs="DengXian-Regular"/>
          <w:sz w:val="32"/>
          <w:szCs w:val="32"/>
        </w:rPr>
        <w:t>50.89%</w:t>
      </w:r>
      <w:r>
        <w:rPr>
          <w:rFonts w:hint="eastAsia" w:ascii="仿宋_GB2312" w:eastAsia="仿宋_GB2312" w:cs="DengXian-Regular"/>
          <w:sz w:val="32"/>
          <w:szCs w:val="32"/>
        </w:rPr>
        <w:t>，主要是新农合资金划归社保局，故财政拨款相应减少。</w:t>
      </w:r>
    </w:p>
    <w:p>
      <w:pPr>
        <w:spacing w:after="0" w:line="560" w:lineRule="exact"/>
        <w:ind w:firstLine="31680"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3168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年度一般公共预算财政拨款本年收入较</w:t>
      </w:r>
      <w:r>
        <w:rPr>
          <w:rFonts w:ascii="仿宋_GB2312" w:eastAsia="仿宋_GB2312" w:cs="DengXian-Regular"/>
          <w:sz w:val="32"/>
          <w:szCs w:val="32"/>
        </w:rPr>
        <w:t>2017</w:t>
      </w:r>
      <w:r>
        <w:rPr>
          <w:rFonts w:hint="eastAsia" w:ascii="仿宋_GB2312" w:eastAsia="仿宋_GB2312" w:cs="DengXian-Regular"/>
          <w:sz w:val="32"/>
          <w:szCs w:val="32"/>
        </w:rPr>
        <w:t>年初预算减少</w:t>
      </w:r>
      <w:r>
        <w:rPr>
          <w:rFonts w:ascii="仿宋_GB2312" w:eastAsia="仿宋_GB2312" w:cs="DengXian-Regular"/>
          <w:sz w:val="32"/>
          <w:szCs w:val="32"/>
        </w:rPr>
        <w:t>11115.09</w:t>
      </w:r>
      <w:r>
        <w:rPr>
          <w:rFonts w:hint="eastAsia" w:ascii="仿宋_GB2312" w:eastAsia="仿宋_GB2312" w:cs="DengXian-Regular"/>
          <w:sz w:val="32"/>
          <w:szCs w:val="32"/>
        </w:rPr>
        <w:t>万元，降低</w:t>
      </w:r>
      <w:r>
        <w:rPr>
          <w:rFonts w:ascii="仿宋_GB2312" w:eastAsia="仿宋_GB2312" w:cs="DengXian-Regular"/>
          <w:sz w:val="32"/>
          <w:szCs w:val="32"/>
        </w:rPr>
        <w:t>52.5%</w:t>
      </w:r>
      <w:r>
        <w:rPr>
          <w:rFonts w:hint="eastAsia" w:ascii="仿宋_GB2312" w:eastAsia="仿宋_GB2312" w:cs="DengXian-Regular"/>
          <w:sz w:val="32"/>
          <w:szCs w:val="32"/>
        </w:rPr>
        <w:t>，主要是新农合资金划归社保局，故财政拨款减少；本年支出减少</w:t>
      </w:r>
      <w:r>
        <w:rPr>
          <w:rFonts w:ascii="仿宋_GB2312" w:eastAsia="仿宋_GB2312" w:cs="DengXian-Regular"/>
          <w:sz w:val="32"/>
          <w:szCs w:val="32"/>
        </w:rPr>
        <w:t>10127.91</w:t>
      </w:r>
      <w:r>
        <w:rPr>
          <w:rFonts w:hint="eastAsia" w:ascii="仿宋_GB2312" w:eastAsia="仿宋_GB2312" w:cs="DengXian-Regular"/>
          <w:sz w:val="32"/>
          <w:szCs w:val="32"/>
        </w:rPr>
        <w:t>万元，降低）</w:t>
      </w:r>
      <w:r>
        <w:rPr>
          <w:rFonts w:ascii="仿宋_GB2312" w:eastAsia="仿宋_GB2312" w:cs="DengXian-Regular"/>
          <w:sz w:val="32"/>
          <w:szCs w:val="32"/>
        </w:rPr>
        <w:t>47.84%</w:t>
      </w:r>
      <w:r>
        <w:rPr>
          <w:rFonts w:hint="eastAsia" w:ascii="仿宋_GB2312" w:eastAsia="仿宋_GB2312" w:cs="DengXian-Regular"/>
          <w:sz w:val="32"/>
          <w:szCs w:val="32"/>
        </w:rPr>
        <w:t>，主要是新农合资金划归社保局，故财政拨款减少。</w:t>
      </w:r>
    </w:p>
    <w:p>
      <w:pPr>
        <w:adjustRightInd w:val="0"/>
        <w:snapToGrid w:val="0"/>
        <w:spacing w:after="0" w:line="560" w:lineRule="exact"/>
        <w:ind w:firstLine="31680" w:firstLineChars="200"/>
        <w:rPr>
          <w:rFonts w:ascii="仿宋_GB2312" w:eastAsia="仿宋_GB2312" w:cs="DengXian-Regular"/>
          <w:sz w:val="32"/>
          <w:szCs w:val="32"/>
        </w:rPr>
      </w:pPr>
      <w:r>
        <w:rPr>
          <w:rFonts w:hint="eastAsia" w:ascii="仿宋_GB2312" w:eastAsia="仿宋_GB2312" w:cs="DengXian-Regular"/>
          <w:sz w:val="32"/>
          <w:szCs w:val="32"/>
        </w:rPr>
        <w:t>其中，本部门</w:t>
      </w:r>
      <w:r>
        <w:rPr>
          <w:rFonts w:ascii="仿宋_GB2312" w:eastAsia="仿宋_GB2312" w:cs="DengXian-Regular"/>
          <w:sz w:val="32"/>
          <w:szCs w:val="32"/>
        </w:rPr>
        <w:t>2017</w:t>
      </w:r>
      <w:r>
        <w:rPr>
          <w:rFonts w:hint="eastAsia" w:ascii="仿宋_GB2312" w:eastAsia="仿宋_GB2312" w:cs="DengXian-Regular"/>
          <w:sz w:val="32"/>
          <w:szCs w:val="32"/>
        </w:rPr>
        <w:t>年度一般公共预算财政拨款本年收入较</w:t>
      </w:r>
      <w:r>
        <w:rPr>
          <w:rFonts w:ascii="仿宋_GB2312" w:eastAsia="仿宋_GB2312" w:cs="DengXian-Regular"/>
          <w:sz w:val="32"/>
          <w:szCs w:val="32"/>
        </w:rPr>
        <w:t>2017</w:t>
      </w:r>
      <w:r>
        <w:rPr>
          <w:rFonts w:hint="eastAsia" w:ascii="仿宋_GB2312" w:eastAsia="仿宋_GB2312" w:cs="DengXian-Regular"/>
          <w:sz w:val="32"/>
          <w:szCs w:val="32"/>
        </w:rPr>
        <w:t>年初预算减少</w:t>
      </w:r>
      <w:r>
        <w:rPr>
          <w:rFonts w:ascii="仿宋_GB2312" w:eastAsia="仿宋_GB2312" w:cs="DengXian-Regular"/>
          <w:sz w:val="32"/>
          <w:szCs w:val="32"/>
        </w:rPr>
        <w:t>11115.09</w:t>
      </w:r>
      <w:r>
        <w:rPr>
          <w:rFonts w:hint="eastAsia" w:ascii="仿宋_GB2312" w:eastAsia="仿宋_GB2312" w:cs="DengXian-Regular"/>
          <w:sz w:val="32"/>
          <w:szCs w:val="32"/>
        </w:rPr>
        <w:t>万元，降低</w:t>
      </w:r>
      <w:r>
        <w:rPr>
          <w:rFonts w:ascii="仿宋_GB2312" w:eastAsia="仿宋_GB2312" w:cs="DengXian-Regular"/>
          <w:sz w:val="32"/>
          <w:szCs w:val="32"/>
        </w:rPr>
        <w:t>52.5%</w:t>
      </w:r>
      <w:r>
        <w:rPr>
          <w:rFonts w:hint="eastAsia" w:ascii="仿宋_GB2312" w:eastAsia="仿宋_GB2312" w:cs="DengXian-Regular"/>
          <w:sz w:val="32"/>
          <w:szCs w:val="32"/>
        </w:rPr>
        <w:t>，主要是新农合资金划归社保局，故财政拨款减少；本年支出减少</w:t>
      </w:r>
      <w:r>
        <w:rPr>
          <w:rFonts w:ascii="仿宋_GB2312" w:eastAsia="仿宋_GB2312" w:cs="DengXian-Regular"/>
          <w:sz w:val="32"/>
          <w:szCs w:val="32"/>
        </w:rPr>
        <w:t>10127.91</w:t>
      </w:r>
      <w:r>
        <w:rPr>
          <w:rFonts w:hint="eastAsia" w:ascii="仿宋_GB2312" w:eastAsia="仿宋_GB2312" w:cs="DengXian-Regular"/>
          <w:sz w:val="32"/>
          <w:szCs w:val="32"/>
        </w:rPr>
        <w:t>万元，降低</w:t>
      </w:r>
      <w:r>
        <w:rPr>
          <w:rFonts w:ascii="仿宋_GB2312" w:eastAsia="仿宋_GB2312" w:cs="DengXian-Regular"/>
          <w:sz w:val="32"/>
          <w:szCs w:val="32"/>
        </w:rPr>
        <w:t>47.84%</w:t>
      </w:r>
      <w:r>
        <w:rPr>
          <w:rFonts w:hint="eastAsia" w:ascii="仿宋_GB2312" w:eastAsia="仿宋_GB2312" w:cs="DengXian-Regular"/>
          <w:sz w:val="32"/>
          <w:szCs w:val="32"/>
        </w:rPr>
        <w:t>，主要是新农合资金划归社保局，故财政拨款减少。</w:t>
      </w:r>
    </w:p>
    <w:p>
      <w:pPr>
        <w:adjustRightInd w:val="0"/>
        <w:snapToGrid w:val="0"/>
        <w:spacing w:after="0" w:line="560" w:lineRule="exact"/>
        <w:ind w:firstLine="3168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年度无政府性基金预算财政拨款。</w:t>
      </w:r>
    </w:p>
    <w:p>
      <w:pPr>
        <w:pStyle w:val="3"/>
        <w:spacing w:before="0" w:after="0" w:line="560" w:lineRule="exact"/>
        <w:ind w:firstLine="31680" w:firstLineChars="200"/>
        <w:rPr>
          <w:rFonts w:ascii="黑体" w:eastAsia="黑体"/>
        </w:rPr>
      </w:pPr>
      <w:r>
        <w:rPr>
          <w:rFonts w:hint="eastAsia" w:ascii="黑体" w:eastAsia="黑体"/>
        </w:rPr>
        <w:t>五、“三公”经费支出决算情况说明</w:t>
      </w:r>
    </w:p>
    <w:p>
      <w:pPr>
        <w:adjustRightInd w:val="0"/>
        <w:snapToGrid w:val="0"/>
        <w:spacing w:after="0" w:line="560" w:lineRule="exact"/>
        <w:ind w:firstLine="3168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年度“三公”经费支出共计</w:t>
      </w:r>
      <w:r>
        <w:rPr>
          <w:rFonts w:ascii="仿宋_GB2312" w:eastAsia="仿宋_GB2312" w:cs="DengXian-Regular"/>
          <w:sz w:val="32"/>
          <w:szCs w:val="32"/>
        </w:rPr>
        <w:t>3.07</w:t>
      </w:r>
      <w:r>
        <w:rPr>
          <w:rFonts w:hint="eastAsia" w:ascii="仿宋_GB2312" w:eastAsia="仿宋_GB2312" w:cs="DengXian-Regular"/>
          <w:sz w:val="32"/>
          <w:szCs w:val="32"/>
        </w:rPr>
        <w:t>万元，较年初预算减少</w:t>
      </w:r>
      <w:r>
        <w:rPr>
          <w:rFonts w:ascii="仿宋_GB2312" w:eastAsia="仿宋_GB2312" w:cs="DengXian-Regular"/>
          <w:sz w:val="32"/>
          <w:szCs w:val="32"/>
        </w:rPr>
        <w:t>0.5</w:t>
      </w:r>
      <w:r>
        <w:rPr>
          <w:rFonts w:hint="eastAsia" w:ascii="仿宋_GB2312" w:eastAsia="仿宋_GB2312" w:cs="DengXian-Regular"/>
          <w:sz w:val="32"/>
          <w:szCs w:val="32"/>
        </w:rPr>
        <w:t>万元，降低</w:t>
      </w:r>
      <w:r>
        <w:rPr>
          <w:rFonts w:ascii="仿宋_GB2312" w:eastAsia="仿宋_GB2312" w:cs="DengXian-Regular"/>
          <w:sz w:val="32"/>
          <w:szCs w:val="32"/>
        </w:rPr>
        <w:t>14%</w:t>
      </w:r>
      <w:r>
        <w:rPr>
          <w:rFonts w:hint="eastAsia" w:ascii="仿宋_GB2312" w:eastAsia="仿宋_GB2312" w:cs="DengXian-Regular"/>
          <w:sz w:val="32"/>
          <w:szCs w:val="32"/>
        </w:rPr>
        <w:t>，主要是减低开支，减少费用；较</w:t>
      </w:r>
      <w:r>
        <w:rPr>
          <w:rFonts w:ascii="仿宋_GB2312" w:eastAsia="仿宋_GB2312" w:cs="DengXian-Regular"/>
          <w:sz w:val="32"/>
          <w:szCs w:val="32"/>
        </w:rPr>
        <w:t>2016</w:t>
      </w:r>
      <w:r>
        <w:rPr>
          <w:rFonts w:hint="eastAsia" w:ascii="仿宋_GB2312" w:eastAsia="仿宋_GB2312" w:cs="DengXian-Regular"/>
          <w:sz w:val="32"/>
          <w:szCs w:val="32"/>
        </w:rPr>
        <w:t>年度决算减少</w:t>
      </w:r>
      <w:r>
        <w:rPr>
          <w:rFonts w:ascii="仿宋_GB2312" w:eastAsia="仿宋_GB2312" w:cs="DengXian-Regular"/>
          <w:sz w:val="32"/>
          <w:szCs w:val="32"/>
        </w:rPr>
        <w:t>35.73</w:t>
      </w:r>
      <w:r>
        <w:rPr>
          <w:rFonts w:hint="eastAsia" w:ascii="仿宋_GB2312" w:eastAsia="仿宋_GB2312" w:cs="DengXian-Regular"/>
          <w:sz w:val="32"/>
          <w:szCs w:val="32"/>
        </w:rPr>
        <w:t>万元，降低</w:t>
      </w:r>
      <w:r>
        <w:rPr>
          <w:rFonts w:ascii="仿宋_GB2312" w:eastAsia="仿宋_GB2312" w:cs="DengXian-Regular"/>
          <w:sz w:val="32"/>
          <w:szCs w:val="32"/>
        </w:rPr>
        <w:t>92 %</w:t>
      </w:r>
      <w:r>
        <w:rPr>
          <w:rFonts w:hint="eastAsia" w:ascii="仿宋_GB2312" w:eastAsia="仿宋_GB2312" w:cs="DengXian-Regular"/>
          <w:sz w:val="32"/>
          <w:szCs w:val="32"/>
        </w:rPr>
        <w:t>，主要是减低开支、减少费用。具体情况如下：</w:t>
      </w:r>
    </w:p>
    <w:p>
      <w:pPr>
        <w:numPr>
          <w:ilvl w:val="0"/>
          <w:numId w:val="2"/>
        </w:numPr>
        <w:adjustRightInd w:val="0"/>
        <w:snapToGrid w:val="0"/>
        <w:spacing w:after="0" w:line="560" w:lineRule="exact"/>
        <w:ind w:firstLine="31680" w:firstLineChars="200"/>
        <w:rPr>
          <w:rFonts w:hint="eastAsia" w:ascii="仿宋_GB2312" w:eastAsia="仿宋_GB2312" w:cs="DengXian-Regular"/>
          <w:sz w:val="32"/>
          <w:szCs w:val="32"/>
          <w:lang w:val="en-US" w:eastAsia="zh-CN"/>
        </w:rPr>
      </w:pPr>
      <w:r>
        <w:rPr>
          <w:rFonts w:hint="eastAsia" w:ascii="楷体_GB2312" w:eastAsia="楷体_GB2312" w:cs="DengXian-Bold"/>
          <w:b/>
          <w:bCs/>
          <w:sz w:val="32"/>
          <w:szCs w:val="32"/>
        </w:rPr>
        <w:t>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w:t>
      </w:r>
      <w:r>
        <w:rPr>
          <w:rFonts w:hint="eastAsia" w:ascii="仿宋_GB2312" w:eastAsia="仿宋_GB2312" w:cs="DengXian-Regular"/>
          <w:sz w:val="32"/>
          <w:szCs w:val="32"/>
          <w:lang w:eastAsia="zh-CN"/>
        </w:rPr>
        <w:t>，</w:t>
      </w:r>
      <w:r>
        <w:rPr>
          <w:rFonts w:hint="eastAsia" w:ascii="仿宋_GB2312" w:eastAsia="仿宋_GB2312" w:cs="DengXian-Regular"/>
          <w:sz w:val="32"/>
          <w:szCs w:val="32"/>
        </w:rPr>
        <w:t>本单位</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出国（境）团组。</w:t>
      </w:r>
      <w:r>
        <w:rPr>
          <w:rFonts w:hint="eastAsia" w:ascii="仿宋_GB2312" w:eastAsia="仿宋_GB2312" w:cs="DengXian-Regular"/>
          <w:sz w:val="32"/>
          <w:szCs w:val="32"/>
          <w:lang w:eastAsia="zh-CN"/>
        </w:rPr>
        <w:t>较年初预算无增减变化；较</w:t>
      </w:r>
      <w:r>
        <w:rPr>
          <w:rFonts w:hint="eastAsia" w:ascii="仿宋_GB2312" w:eastAsia="仿宋_GB2312" w:cs="DengXian-Regular"/>
          <w:sz w:val="32"/>
          <w:szCs w:val="32"/>
          <w:lang w:val="en-US" w:eastAsia="zh-CN"/>
        </w:rPr>
        <w:t>2016年度决算无增减变化。</w:t>
      </w:r>
    </w:p>
    <w:p>
      <w:pPr>
        <w:numPr>
          <w:ilvl w:val="0"/>
          <w:numId w:val="2"/>
        </w:numPr>
        <w:adjustRightInd w:val="0"/>
        <w:snapToGrid w:val="0"/>
        <w:spacing w:after="0" w:line="560" w:lineRule="exact"/>
        <w:ind w:firstLine="31680" w:firstLineChars="200"/>
        <w:rPr>
          <w:rFonts w:ascii="仿宋_GB2312" w:eastAsia="仿宋_GB2312" w:cs="DengXian-Bold"/>
          <w:b/>
          <w:bCs/>
          <w:sz w:val="32"/>
          <w:szCs w:val="32"/>
        </w:rPr>
      </w:pPr>
      <w:r>
        <w:rPr>
          <w:rFonts w:hint="eastAsia" w:ascii="楷体_GB2312" w:eastAsia="楷体_GB2312" w:cs="DengXian-Bold"/>
          <w:b/>
          <w:bCs/>
          <w:sz w:val="32"/>
          <w:szCs w:val="32"/>
        </w:rPr>
        <w:t>公务用车购置及运行维护费支出</w:t>
      </w:r>
      <w:r>
        <w:rPr>
          <w:rFonts w:ascii="楷体_GB2312" w:eastAsia="楷体_GB2312" w:cs="DengXian-Bold"/>
          <w:b/>
          <w:bCs/>
          <w:sz w:val="32"/>
          <w:szCs w:val="32"/>
        </w:rPr>
        <w:t>2.5</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年度公务用车购置及运行维护费较年初预算减少</w:t>
      </w:r>
      <w:r>
        <w:rPr>
          <w:rFonts w:ascii="仿宋_GB2312" w:eastAsia="仿宋_GB2312" w:cs="DengXian-Regular"/>
          <w:sz w:val="32"/>
          <w:szCs w:val="32"/>
        </w:rPr>
        <w:t>0.5</w:t>
      </w:r>
      <w:r>
        <w:rPr>
          <w:rFonts w:hint="eastAsia" w:ascii="仿宋_GB2312" w:eastAsia="仿宋_GB2312" w:cs="DengXian-Regular"/>
          <w:sz w:val="32"/>
          <w:szCs w:val="32"/>
        </w:rPr>
        <w:t>万元，降低</w:t>
      </w:r>
      <w:r>
        <w:rPr>
          <w:rFonts w:ascii="仿宋_GB2312" w:eastAsia="仿宋_GB2312" w:cs="DengXian-Regular"/>
          <w:sz w:val="32"/>
          <w:szCs w:val="32"/>
        </w:rPr>
        <w:t>16%,</w:t>
      </w:r>
      <w:r>
        <w:rPr>
          <w:rFonts w:hint="eastAsia" w:ascii="仿宋_GB2312" w:eastAsia="仿宋_GB2312" w:cs="DengXian-Regular"/>
          <w:sz w:val="32"/>
          <w:szCs w:val="32"/>
        </w:rPr>
        <w:t>主要是压减开支，减低费用。三公经费；较</w:t>
      </w:r>
      <w:r>
        <w:rPr>
          <w:rFonts w:ascii="仿宋_GB2312" w:eastAsia="仿宋_GB2312" w:cs="DengXian-Regular"/>
          <w:sz w:val="32"/>
          <w:szCs w:val="32"/>
        </w:rPr>
        <w:t>2016</w:t>
      </w:r>
      <w:r>
        <w:rPr>
          <w:rFonts w:hint="eastAsia" w:ascii="仿宋_GB2312" w:eastAsia="仿宋_GB2312" w:cs="DengXian-Regular"/>
          <w:sz w:val="32"/>
          <w:szCs w:val="32"/>
        </w:rPr>
        <w:t>年度决算减少</w:t>
      </w:r>
      <w:r>
        <w:rPr>
          <w:rFonts w:ascii="仿宋_GB2312" w:eastAsia="仿宋_GB2312" w:cs="DengXian-Regular"/>
          <w:sz w:val="32"/>
          <w:szCs w:val="32"/>
        </w:rPr>
        <w:t>36.16</w:t>
      </w:r>
      <w:r>
        <w:rPr>
          <w:rFonts w:hint="eastAsia" w:ascii="仿宋_GB2312" w:eastAsia="仿宋_GB2312" w:cs="DengXian-Regular"/>
          <w:sz w:val="32"/>
          <w:szCs w:val="32"/>
        </w:rPr>
        <w:t>万元，降低</w:t>
      </w:r>
      <w:r>
        <w:rPr>
          <w:rFonts w:ascii="仿宋_GB2312" w:eastAsia="仿宋_GB2312" w:cs="DengXian-Regular"/>
          <w:sz w:val="32"/>
          <w:szCs w:val="32"/>
        </w:rPr>
        <w:t>93 %,</w:t>
      </w:r>
      <w:r>
        <w:rPr>
          <w:rFonts w:hint="eastAsia" w:ascii="仿宋_GB2312" w:eastAsia="仿宋_GB2312" w:cs="DengXian-Regular"/>
          <w:sz w:val="32"/>
          <w:szCs w:val="32"/>
        </w:rPr>
        <w:t>主要是压减开支降低费用。</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年度公务用车购置量</w:t>
      </w:r>
      <w:r>
        <w:rPr>
          <w:rFonts w:ascii="仿宋_GB2312" w:eastAsia="仿宋_GB2312" w:cs="DengXian-Regular"/>
          <w:sz w:val="32"/>
          <w:szCs w:val="32"/>
        </w:rPr>
        <w:t>0</w:t>
      </w:r>
      <w:r>
        <w:rPr>
          <w:rFonts w:hint="eastAsia" w:ascii="仿宋_GB2312" w:eastAsia="仿宋_GB2312" w:cs="DengXian-Regular"/>
          <w:sz w:val="32"/>
          <w:szCs w:val="32"/>
        </w:rPr>
        <w:t>辆，未发生“公务用车购置”经费支出”。公务用车购置费支出较年初预算</w:t>
      </w:r>
      <w:r>
        <w:rPr>
          <w:rFonts w:hint="eastAsia" w:ascii="仿宋_GB2312" w:eastAsia="仿宋_GB2312" w:cs="DengXian-Regular"/>
          <w:sz w:val="32"/>
          <w:szCs w:val="32"/>
          <w:lang w:eastAsia="zh-CN"/>
        </w:rPr>
        <w:t>无增减；较</w:t>
      </w:r>
      <w:r>
        <w:rPr>
          <w:rFonts w:hint="eastAsia" w:ascii="仿宋_GB2312" w:eastAsia="仿宋_GB2312" w:cs="DengXian-Regular"/>
          <w:sz w:val="32"/>
          <w:szCs w:val="32"/>
          <w:lang w:val="en-US" w:eastAsia="zh-CN"/>
        </w:rPr>
        <w:t>2016年度决算无增减变化。</w:t>
      </w:r>
    </w:p>
    <w:p>
      <w:pPr>
        <w:adjustRightInd w:val="0"/>
        <w:snapToGrid w:val="0"/>
        <w:spacing w:after="0" w:line="560" w:lineRule="exact"/>
        <w:ind w:firstLine="31680"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年度单位公务用车保有量</w:t>
      </w:r>
      <w:r>
        <w:rPr>
          <w:rFonts w:ascii="仿宋_GB2312" w:eastAsia="仿宋_GB2312" w:cs="DengXian-Regular"/>
          <w:sz w:val="32"/>
          <w:szCs w:val="32"/>
        </w:rPr>
        <w:t>1</w:t>
      </w:r>
      <w:r>
        <w:rPr>
          <w:rFonts w:hint="eastAsia" w:ascii="仿宋_GB2312" w:eastAsia="仿宋_GB2312" w:cs="DengXian-Regular"/>
          <w:sz w:val="32"/>
          <w:szCs w:val="32"/>
        </w:rPr>
        <w:t>辆。公车运行维护费支出较年初预算减少</w:t>
      </w:r>
      <w:r>
        <w:rPr>
          <w:rFonts w:ascii="仿宋_GB2312" w:eastAsia="仿宋_GB2312" w:cs="DengXian-Regular"/>
          <w:sz w:val="32"/>
          <w:szCs w:val="32"/>
        </w:rPr>
        <w:t>0.5</w:t>
      </w:r>
      <w:r>
        <w:rPr>
          <w:rFonts w:hint="eastAsia" w:ascii="仿宋_GB2312" w:eastAsia="仿宋_GB2312" w:cs="DengXian-Regular"/>
          <w:sz w:val="32"/>
          <w:szCs w:val="32"/>
        </w:rPr>
        <w:t>万元，降低</w:t>
      </w:r>
      <w:r>
        <w:rPr>
          <w:rFonts w:ascii="仿宋_GB2312" w:eastAsia="仿宋_GB2312" w:cs="DengXian-Regular"/>
          <w:sz w:val="32"/>
          <w:szCs w:val="32"/>
        </w:rPr>
        <w:t>16%,</w:t>
      </w:r>
      <w:r>
        <w:rPr>
          <w:rFonts w:hint="eastAsia" w:ascii="仿宋_GB2312" w:eastAsia="仿宋_GB2312" w:cs="DengXian-Regular"/>
          <w:sz w:val="32"/>
          <w:szCs w:val="32"/>
        </w:rPr>
        <w:t>主要是压减开支、减低费用；较</w:t>
      </w:r>
      <w:r>
        <w:rPr>
          <w:rFonts w:ascii="仿宋_GB2312" w:eastAsia="仿宋_GB2312" w:cs="DengXian-Regular"/>
          <w:sz w:val="32"/>
          <w:szCs w:val="32"/>
        </w:rPr>
        <w:t>2016</w:t>
      </w:r>
      <w:r>
        <w:rPr>
          <w:rFonts w:hint="eastAsia" w:ascii="仿宋_GB2312" w:eastAsia="仿宋_GB2312" w:cs="DengXian-Regular"/>
          <w:sz w:val="32"/>
          <w:szCs w:val="32"/>
        </w:rPr>
        <w:t>年度决算减少</w:t>
      </w:r>
      <w:r>
        <w:rPr>
          <w:rFonts w:ascii="仿宋_GB2312" w:eastAsia="仿宋_GB2312" w:cs="DengXian-Regular"/>
          <w:sz w:val="32"/>
          <w:szCs w:val="32"/>
        </w:rPr>
        <w:t>35.73</w:t>
      </w:r>
      <w:r>
        <w:rPr>
          <w:rFonts w:hint="eastAsia" w:ascii="仿宋_GB2312" w:eastAsia="仿宋_GB2312" w:cs="DengXian-Regular"/>
          <w:sz w:val="32"/>
          <w:szCs w:val="32"/>
        </w:rPr>
        <w:t>万元，降低</w:t>
      </w:r>
      <w:r>
        <w:rPr>
          <w:rFonts w:ascii="仿宋_GB2312" w:eastAsia="仿宋_GB2312" w:cs="DengXian-Regular"/>
          <w:sz w:val="32"/>
          <w:szCs w:val="32"/>
        </w:rPr>
        <w:t>92%</w:t>
      </w:r>
      <w:r>
        <w:rPr>
          <w:rFonts w:hint="eastAsia" w:ascii="仿宋_GB2312" w:eastAsia="仿宋_GB2312" w:cs="DengXian-Regular"/>
          <w:sz w:val="32"/>
          <w:szCs w:val="32"/>
        </w:rPr>
        <w:t>，主要是压减开支，降低费用。</w:t>
      </w:r>
    </w:p>
    <w:p>
      <w:pPr>
        <w:adjustRightInd w:val="0"/>
        <w:snapToGrid w:val="0"/>
        <w:spacing w:after="0" w:line="560" w:lineRule="exact"/>
        <w:ind w:firstLine="31680"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ascii="楷体_GB2312" w:eastAsia="楷体_GB2312" w:cs="DengXian-Bold"/>
          <w:b/>
          <w:bCs/>
          <w:sz w:val="32"/>
          <w:szCs w:val="32"/>
        </w:rPr>
        <w:t>0.57</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年度公务接待共</w:t>
      </w:r>
      <w:r>
        <w:rPr>
          <w:rFonts w:ascii="仿宋_GB2312" w:eastAsia="仿宋_GB2312" w:cs="DengXian-Regular"/>
          <w:sz w:val="32"/>
          <w:szCs w:val="32"/>
        </w:rPr>
        <w:t>25</w:t>
      </w:r>
      <w:r>
        <w:rPr>
          <w:rFonts w:hint="eastAsia" w:ascii="仿宋_GB2312" w:eastAsia="仿宋_GB2312" w:cs="DengXian-Regular"/>
          <w:sz w:val="32"/>
          <w:szCs w:val="32"/>
        </w:rPr>
        <w:t>批次、</w:t>
      </w:r>
      <w:r>
        <w:rPr>
          <w:rFonts w:ascii="仿宋_GB2312" w:eastAsia="仿宋_GB2312" w:cs="DengXian-Regular"/>
          <w:sz w:val="32"/>
          <w:szCs w:val="32"/>
        </w:rPr>
        <w:t>270</w:t>
      </w:r>
      <w:r>
        <w:rPr>
          <w:rFonts w:hint="eastAsia" w:ascii="仿宋_GB2312" w:eastAsia="仿宋_GB2312" w:cs="DengXian-Regular"/>
          <w:sz w:val="32"/>
          <w:szCs w:val="32"/>
        </w:rPr>
        <w:t>人次。公务接待费支出较年初预算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w:t>
      </w:r>
      <w:r>
        <w:rPr>
          <w:rFonts w:ascii="仿宋_GB2312" w:eastAsia="仿宋_GB2312" w:cs="DengXian-Regular"/>
          <w:sz w:val="32"/>
          <w:szCs w:val="32"/>
        </w:rPr>
        <w:t>2016</w:t>
      </w:r>
      <w:r>
        <w:rPr>
          <w:rFonts w:hint="eastAsia" w:ascii="仿宋_GB2312" w:eastAsia="仿宋_GB2312" w:cs="DengXian-Regular"/>
          <w:sz w:val="32"/>
          <w:szCs w:val="32"/>
        </w:rPr>
        <w:t>年度决算增加</w:t>
      </w:r>
      <w:r>
        <w:rPr>
          <w:rFonts w:ascii="仿宋_GB2312" w:eastAsia="仿宋_GB2312" w:cs="DengXian-Regular"/>
          <w:sz w:val="32"/>
          <w:szCs w:val="32"/>
        </w:rPr>
        <w:t>0.42</w:t>
      </w:r>
      <w:r>
        <w:rPr>
          <w:rFonts w:hint="eastAsia" w:ascii="仿宋_GB2312" w:eastAsia="仿宋_GB2312" w:cs="DengXian-Regular"/>
          <w:sz w:val="32"/>
          <w:szCs w:val="32"/>
        </w:rPr>
        <w:t>万元，增加</w:t>
      </w:r>
      <w:r>
        <w:rPr>
          <w:rFonts w:ascii="仿宋_GB2312" w:eastAsia="仿宋_GB2312" w:cs="DengXian-Regular"/>
          <w:sz w:val="32"/>
          <w:szCs w:val="32"/>
        </w:rPr>
        <w:t>280%,</w:t>
      </w:r>
      <w:r>
        <w:rPr>
          <w:rFonts w:hint="eastAsia" w:ascii="仿宋_GB2312" w:eastAsia="仿宋_GB2312" w:cs="DengXian-Regular"/>
          <w:sz w:val="32"/>
          <w:szCs w:val="32"/>
        </w:rPr>
        <w:t>主要是上级指导业务工作增加。</w:t>
      </w:r>
    </w:p>
    <w:p>
      <w:pPr>
        <w:pStyle w:val="3"/>
        <w:spacing w:before="0" w:after="0" w:line="560" w:lineRule="exact"/>
        <w:ind w:firstLine="31680" w:firstLineChars="200"/>
        <w:rPr>
          <w:rFonts w:ascii="黑体" w:eastAsia="黑体"/>
        </w:rPr>
      </w:pPr>
      <w:r>
        <w:rPr>
          <w:rFonts w:hint="eastAsia" w:ascii="黑体" w:eastAsia="黑体"/>
        </w:rPr>
        <w:t>六、绩效预算</w:t>
      </w:r>
      <w:r>
        <w:rPr>
          <w:rFonts w:hint="eastAsia" w:ascii="黑体" w:hAnsi="Cambria" w:eastAsia="黑体" w:cs="黑体"/>
          <w:kern w:val="0"/>
        </w:rPr>
        <w:t>管理</w:t>
      </w:r>
      <w:r>
        <w:rPr>
          <w:rFonts w:hint="eastAsia" w:ascii="黑体" w:eastAsia="黑体"/>
        </w:rPr>
        <w:t>工作开展情况说明</w:t>
      </w:r>
    </w:p>
    <w:p>
      <w:pPr>
        <w:adjustRightInd w:val="0"/>
        <w:snapToGrid w:val="0"/>
        <w:spacing w:after="0" w:line="560" w:lineRule="exact"/>
        <w:ind w:firstLine="31680" w:firstLineChars="200"/>
        <w:rPr>
          <w:rFonts w:ascii="仿宋_GB2312" w:eastAsia="仿宋_GB2312" w:cs="DengXian-Regular"/>
          <w:sz w:val="32"/>
          <w:szCs w:val="32"/>
        </w:rPr>
      </w:pPr>
      <w:r>
        <w:rPr>
          <w:rFonts w:hint="eastAsia" w:ascii="仿宋_GB2312" w:eastAsia="仿宋_GB2312" w:cs="DengXian-Regular"/>
          <w:sz w:val="32"/>
          <w:szCs w:val="32"/>
        </w:rPr>
        <w:t>（</w:t>
      </w:r>
      <w:r>
        <w:rPr>
          <w:rFonts w:hint="eastAsia" w:ascii="楷体_GB2312" w:eastAsia="楷体_GB2312" w:cs="DengXian-Bold"/>
          <w:b/>
          <w:bCs/>
          <w:sz w:val="32"/>
          <w:szCs w:val="32"/>
        </w:rPr>
        <w:t>一）绩效管理工作开展情况：</w:t>
      </w:r>
    </w:p>
    <w:p>
      <w:pPr>
        <w:adjustRightInd w:val="0"/>
        <w:snapToGrid w:val="0"/>
        <w:spacing w:after="0" w:line="560" w:lineRule="exact"/>
        <w:ind w:firstLine="31680" w:firstLineChars="200"/>
        <w:rPr>
          <w:rFonts w:ascii="仿宋_GB2312" w:eastAsia="仿宋_GB2312" w:cs="DengXian-Regular"/>
          <w:sz w:val="32"/>
          <w:szCs w:val="32"/>
        </w:rPr>
      </w:pPr>
      <w:r>
        <w:rPr>
          <w:rFonts w:hint="eastAsia" w:ascii="仿宋_GB2312" w:eastAsia="仿宋_GB2312" w:cs="DengXian-Regular"/>
          <w:sz w:val="32"/>
          <w:szCs w:val="32"/>
        </w:rPr>
        <w:t>根据绩效预算管理改革督查要求，本单位认真开展了预算绩效管理改革开展情况自查，对部门全面规范绩效预算编制，严格预算执行管理、推进绩效评价工作、推进预决算信息公开等方面进行了自评，考核结果为良好。</w:t>
      </w:r>
    </w:p>
    <w:p>
      <w:pPr>
        <w:pStyle w:val="4"/>
        <w:spacing w:before="0" w:after="0" w:line="560" w:lineRule="exact"/>
        <w:ind w:firstLine="31680" w:firstLineChars="200"/>
        <w:rPr>
          <w:rFonts w:ascii="楷体_GB2312" w:eastAsia="楷体_GB2312" w:cs="DengXian-Bold"/>
        </w:rPr>
      </w:pPr>
      <w:r>
        <w:rPr>
          <w:rFonts w:hint="eastAsia" w:ascii="楷体_GB2312" w:eastAsia="楷体_GB2312" w:cs="DengXian-Bold"/>
        </w:rPr>
        <w:t>（二）预算项目绩效评价开展情况</w:t>
      </w:r>
    </w:p>
    <w:p>
      <w:pPr>
        <w:ind w:firstLine="560"/>
        <w:rPr>
          <w:rFonts w:ascii="仿宋_GB2312" w:eastAsia="仿宋_GB2312" w:cs="DengXian-Regular"/>
          <w:sz w:val="32"/>
          <w:szCs w:val="32"/>
        </w:rPr>
      </w:pPr>
      <w:r>
        <w:rPr>
          <w:rFonts w:hint="eastAsia" w:ascii="仿宋_GB2312" w:eastAsia="仿宋_GB2312" w:cs="DengXian-Regular"/>
          <w:sz w:val="32"/>
          <w:szCs w:val="32"/>
        </w:rPr>
        <w:t>根据预算管理要求，本单位组织对</w:t>
      </w:r>
      <w:r>
        <w:rPr>
          <w:rFonts w:ascii="仿宋_GB2312" w:eastAsia="仿宋_GB2312" w:cs="DengXian-Regular"/>
          <w:sz w:val="32"/>
          <w:szCs w:val="32"/>
        </w:rPr>
        <w:t>2017</w:t>
      </w:r>
      <w:r>
        <w:rPr>
          <w:rFonts w:hint="eastAsia" w:ascii="仿宋_GB2312" w:eastAsia="仿宋_GB2312" w:cs="DengXian-Regular"/>
          <w:sz w:val="32"/>
          <w:szCs w:val="32"/>
        </w:rPr>
        <w:t>年度一般公共预算项目支出开展绩效自评，涉及基本公共卫生服务项目，计划生育奖励扶助、特别扶助项目、基层医疗机构基本药物制度补助项目等三个项目，涉及资金</w:t>
      </w:r>
      <w:r>
        <w:rPr>
          <w:rFonts w:ascii="仿宋_GB2312" w:eastAsia="仿宋_GB2312" w:cs="DengXian-Regular"/>
          <w:sz w:val="32"/>
          <w:szCs w:val="32"/>
        </w:rPr>
        <w:t>3842.202</w:t>
      </w:r>
      <w:r>
        <w:rPr>
          <w:rFonts w:hint="eastAsia" w:ascii="仿宋_GB2312" w:eastAsia="仿宋_GB2312" w:cs="DengXian-Regular"/>
          <w:sz w:val="32"/>
          <w:szCs w:val="32"/>
        </w:rPr>
        <w:t>万元，自评结果为良好的一个、优秀的两个。</w:t>
      </w:r>
    </w:p>
    <w:p>
      <w:pPr>
        <w:pStyle w:val="4"/>
        <w:spacing w:before="0" w:after="0" w:line="560" w:lineRule="exact"/>
        <w:ind w:firstLine="31680" w:firstLineChars="200"/>
        <w:rPr>
          <w:rFonts w:ascii="楷体_GB2312" w:eastAsia="楷体_GB2312" w:cs="DengXian-Bold"/>
        </w:rPr>
      </w:pPr>
      <w:r>
        <w:rPr>
          <w:rFonts w:hint="eastAsia" w:ascii="楷体_GB2312" w:eastAsia="楷体_GB2312" w:cs="DengXian-Bold"/>
        </w:rPr>
        <w:t>（三）预算项目</w:t>
      </w:r>
      <w:bookmarkStart w:id="0" w:name="_GoBack"/>
      <w:bookmarkEnd w:id="0"/>
      <w:r>
        <w:rPr>
          <w:rFonts w:hint="eastAsia" w:ascii="楷体_GB2312" w:eastAsia="楷体_GB2312" w:cs="DengXian-Bold"/>
        </w:rPr>
        <w:t>绩效自评选例</w:t>
      </w:r>
    </w:p>
    <w:p>
      <w:pPr>
        <w:ind w:firstLine="560"/>
        <w:rPr>
          <w:rFonts w:ascii="方正仿宋_GBK" w:eastAsia="方正仿宋_GBK"/>
          <w:sz w:val="28"/>
        </w:rPr>
      </w:pPr>
      <w:r>
        <w:rPr>
          <w:rFonts w:hint="eastAsia" w:ascii="仿宋_GB2312" w:eastAsia="仿宋_GB2312" w:cs="DengXian-Regular"/>
          <w:sz w:val="32"/>
          <w:szCs w:val="32"/>
        </w:rPr>
        <w:t>本单位基本公共卫生服务项目绩效自评：根据年初拟定的绩效目标，基本公共卫生服务项目自评结果为良好。项目全年预算资金</w:t>
      </w:r>
      <w:r>
        <w:rPr>
          <w:rFonts w:ascii="仿宋_GB2312" w:eastAsia="仿宋_GB2312" w:cs="DengXian-Regular"/>
          <w:sz w:val="32"/>
          <w:szCs w:val="32"/>
        </w:rPr>
        <w:t>2567.13</w:t>
      </w:r>
      <w:r>
        <w:rPr>
          <w:rFonts w:hint="eastAsia" w:ascii="仿宋_GB2312" w:eastAsia="仿宋_GB2312" w:cs="DengXian-Regular"/>
          <w:sz w:val="32"/>
          <w:szCs w:val="32"/>
        </w:rPr>
        <w:t>万元，预算完成率为</w:t>
      </w:r>
      <w:r>
        <w:rPr>
          <w:rFonts w:ascii="仿宋_GB2312" w:eastAsia="仿宋_GB2312" w:cs="DengXian-Regular"/>
          <w:sz w:val="32"/>
          <w:szCs w:val="32"/>
        </w:rPr>
        <w:t>100%</w:t>
      </w:r>
      <w:r>
        <w:rPr>
          <w:rFonts w:hint="eastAsia" w:ascii="仿宋_GB2312" w:eastAsia="仿宋_GB2312" w:cs="DengXian-Regular"/>
          <w:sz w:val="32"/>
          <w:szCs w:val="32"/>
        </w:rPr>
        <w:t>；计划生育奖励扶助、特别扶助项目绩效自评：根据年初拟定的绩效目标，计划生育奖励扶助、特别扶助项目自评结果为优秀。项目全年预算资金</w:t>
      </w:r>
      <w:r>
        <w:rPr>
          <w:rFonts w:ascii="仿宋_GB2312" w:eastAsia="仿宋_GB2312" w:cs="DengXian-Regular"/>
          <w:sz w:val="32"/>
          <w:szCs w:val="32"/>
        </w:rPr>
        <w:t>356.532</w:t>
      </w:r>
      <w:r>
        <w:rPr>
          <w:rFonts w:hint="eastAsia" w:ascii="仿宋_GB2312" w:eastAsia="仿宋_GB2312" w:cs="DengXian-Regular"/>
          <w:sz w:val="32"/>
          <w:szCs w:val="32"/>
        </w:rPr>
        <w:t>万元，预算完成率为</w:t>
      </w:r>
      <w:r>
        <w:rPr>
          <w:rFonts w:ascii="仿宋_GB2312" w:eastAsia="仿宋_GB2312" w:cs="DengXian-Regular"/>
          <w:sz w:val="32"/>
          <w:szCs w:val="32"/>
        </w:rPr>
        <w:t>100%</w:t>
      </w:r>
      <w:r>
        <w:rPr>
          <w:rFonts w:hint="eastAsia" w:ascii="仿宋_GB2312" w:eastAsia="仿宋_GB2312" w:cs="DengXian-Regular"/>
          <w:sz w:val="32"/>
          <w:szCs w:val="32"/>
        </w:rPr>
        <w:t>；基层医疗机构实施基本药物制度补助项目绩效自评：根据年初拟定的绩效目标，基层医疗机构实施基本药物制度补助项目自评结果为优秀。项目全年预算资金</w:t>
      </w:r>
      <w:r>
        <w:rPr>
          <w:rFonts w:ascii="仿宋_GB2312" w:eastAsia="仿宋_GB2312" w:cs="DengXian-Regular"/>
          <w:sz w:val="32"/>
          <w:szCs w:val="32"/>
        </w:rPr>
        <w:t>918.54</w:t>
      </w:r>
      <w:r>
        <w:rPr>
          <w:rFonts w:hint="eastAsia" w:ascii="仿宋_GB2312" w:eastAsia="仿宋_GB2312" w:cs="DengXian-Regular"/>
          <w:sz w:val="32"/>
          <w:szCs w:val="32"/>
        </w:rPr>
        <w:t>万元，预算完成率为</w:t>
      </w:r>
      <w:r>
        <w:rPr>
          <w:rFonts w:ascii="仿宋_GB2312" w:eastAsia="仿宋_GB2312" w:cs="DengXian-Regular"/>
          <w:sz w:val="32"/>
          <w:szCs w:val="32"/>
        </w:rPr>
        <w:t>100%</w:t>
      </w:r>
      <w:r>
        <w:rPr>
          <w:rFonts w:hint="eastAsia" w:ascii="仿宋_GB2312" w:eastAsia="仿宋_GB2312" w:cs="DengXian-Regular"/>
          <w:sz w:val="32"/>
          <w:szCs w:val="32"/>
        </w:rPr>
        <w:t>；</w:t>
      </w:r>
    </w:p>
    <w:p>
      <w:pPr>
        <w:pStyle w:val="3"/>
        <w:spacing w:before="0" w:after="0" w:line="560" w:lineRule="exact"/>
        <w:ind w:firstLine="31680" w:firstLineChars="200"/>
      </w:pPr>
      <w:r>
        <w:rPr>
          <w:rFonts w:hint="eastAsia"/>
        </w:rPr>
        <w:t>七、其他重要事项的说明</w:t>
      </w:r>
    </w:p>
    <w:p>
      <w:pPr>
        <w:pStyle w:val="4"/>
        <w:spacing w:before="0" w:after="0" w:line="560" w:lineRule="exact"/>
        <w:ind w:firstLine="31680" w:firstLineChars="200"/>
        <w:rPr>
          <w:rFonts w:ascii="仿宋_GB2312" w:eastAsia="仿宋_GB2312" w:cs="DengXian-Regular"/>
        </w:rPr>
      </w:pPr>
      <w:r>
        <w:tab/>
      </w:r>
      <w:r>
        <w:rPr>
          <w:rFonts w:hint="eastAsia" w:ascii="楷体_GB2312" w:eastAsia="楷体_GB2312" w:cs="DengXian-Bold"/>
        </w:rPr>
        <w:t>（一）机关运行经费情况</w:t>
      </w:r>
    </w:p>
    <w:p>
      <w:pPr>
        <w:adjustRightInd w:val="0"/>
        <w:snapToGrid w:val="0"/>
        <w:spacing w:after="0" w:line="560" w:lineRule="exact"/>
        <w:ind w:firstLine="3168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年度机关运行经费支出</w:t>
      </w:r>
      <w:r>
        <w:rPr>
          <w:rFonts w:ascii="仿宋_GB2312" w:eastAsia="仿宋_GB2312" w:cs="DengXian-Regular"/>
          <w:sz w:val="32"/>
          <w:szCs w:val="32"/>
        </w:rPr>
        <w:t>3984.5</w:t>
      </w:r>
      <w:r>
        <w:rPr>
          <w:rFonts w:hint="eastAsia" w:ascii="仿宋_GB2312" w:eastAsia="仿宋_GB2312" w:cs="DengXian-Regular"/>
          <w:sz w:val="32"/>
          <w:szCs w:val="32"/>
        </w:rPr>
        <w:t>万元，比</w:t>
      </w:r>
      <w:r>
        <w:rPr>
          <w:rFonts w:ascii="仿宋_GB2312" w:eastAsia="仿宋_GB2312" w:cs="DengXian-Regular"/>
          <w:sz w:val="32"/>
          <w:szCs w:val="32"/>
        </w:rPr>
        <w:t>2016</w:t>
      </w:r>
      <w:r>
        <w:rPr>
          <w:rFonts w:hint="eastAsia" w:ascii="仿宋_GB2312" w:eastAsia="仿宋_GB2312" w:cs="DengXian-Regular"/>
          <w:sz w:val="32"/>
          <w:szCs w:val="32"/>
        </w:rPr>
        <w:t>年度增加</w:t>
      </w:r>
      <w:r>
        <w:rPr>
          <w:rFonts w:ascii="仿宋_GB2312" w:eastAsia="仿宋_GB2312" w:cs="DengXian-Regular"/>
          <w:sz w:val="32"/>
          <w:szCs w:val="32"/>
        </w:rPr>
        <w:t>1637.46</w:t>
      </w:r>
      <w:r>
        <w:rPr>
          <w:rFonts w:hint="eastAsia" w:ascii="仿宋_GB2312" w:eastAsia="仿宋_GB2312" w:cs="DengXian-Regular"/>
          <w:sz w:val="32"/>
          <w:szCs w:val="32"/>
        </w:rPr>
        <w:t>万元，增长</w:t>
      </w:r>
      <w:r>
        <w:rPr>
          <w:rFonts w:ascii="仿宋_GB2312" w:eastAsia="仿宋_GB2312" w:cs="DengXian-Regular"/>
          <w:sz w:val="32"/>
          <w:szCs w:val="32"/>
        </w:rPr>
        <w:t>69.76%</w:t>
      </w:r>
      <w:r>
        <w:rPr>
          <w:rFonts w:hint="eastAsia" w:ascii="仿宋_GB2312" w:eastAsia="仿宋_GB2312" w:cs="DengXian-Regular"/>
          <w:sz w:val="32"/>
          <w:szCs w:val="32"/>
        </w:rPr>
        <w:t>。主要原因是公共卫生购专用材料增加。</w:t>
      </w:r>
    </w:p>
    <w:p>
      <w:pPr>
        <w:pStyle w:val="4"/>
        <w:spacing w:before="0" w:after="0" w:line="560" w:lineRule="exact"/>
        <w:ind w:firstLine="31680"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3168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年度政府采购支出总额</w:t>
      </w:r>
      <w:r>
        <w:rPr>
          <w:rFonts w:ascii="仿宋_GB2312" w:eastAsia="仿宋_GB2312" w:cs="DengXian-Regular"/>
          <w:sz w:val="32"/>
          <w:szCs w:val="32"/>
        </w:rPr>
        <w:t>2661.83</w:t>
      </w:r>
      <w:r>
        <w:rPr>
          <w:rFonts w:hint="eastAsia" w:ascii="仿宋_GB2312" w:eastAsia="仿宋_GB2312" w:cs="DengXian-Regular"/>
          <w:sz w:val="32"/>
          <w:szCs w:val="32"/>
        </w:rPr>
        <w:t>万元，其中：政府采购货物支出</w:t>
      </w:r>
      <w:r>
        <w:rPr>
          <w:rFonts w:ascii="仿宋_GB2312" w:eastAsia="仿宋_GB2312" w:cs="DengXian-Regular"/>
          <w:sz w:val="32"/>
          <w:szCs w:val="32"/>
        </w:rPr>
        <w:t>2661.83</w:t>
      </w:r>
      <w:r>
        <w:rPr>
          <w:rFonts w:hint="eastAsia" w:ascii="仿宋_GB2312" w:eastAsia="仿宋_GB2312" w:cs="DengXian-Regular"/>
          <w:sz w:val="32"/>
          <w:szCs w:val="32"/>
        </w:rPr>
        <w:t>万元、政府采购工程支出</w:t>
      </w:r>
      <w:r>
        <w:rPr>
          <w:rFonts w:ascii="仿宋_GB2312" w:eastAsia="仿宋_GB2312" w:cs="DengXian-Regular"/>
          <w:sz w:val="32"/>
          <w:szCs w:val="32"/>
        </w:rPr>
        <w:t>0</w:t>
      </w:r>
      <w:r>
        <w:rPr>
          <w:rFonts w:hint="eastAsia" w:ascii="仿宋_GB2312" w:eastAsia="仿宋_GB2312" w:cs="DengXian-Regular"/>
          <w:sz w:val="32"/>
          <w:szCs w:val="32"/>
        </w:rPr>
        <w:t>万元、政府采购服务支出</w:t>
      </w:r>
      <w:r>
        <w:rPr>
          <w:rFonts w:ascii="仿宋_GB2312" w:eastAsia="仿宋_GB2312" w:cs="DengXian-Regular"/>
          <w:sz w:val="32"/>
          <w:szCs w:val="32"/>
        </w:rPr>
        <w:t>0</w:t>
      </w:r>
      <w:r>
        <w:rPr>
          <w:rFonts w:hint="eastAsia" w:ascii="仿宋_GB2312" w:eastAsia="仿宋_GB2312" w:cs="DengXian-Regular"/>
          <w:sz w:val="32"/>
          <w:szCs w:val="32"/>
        </w:rPr>
        <w:t>万元。</w:t>
      </w:r>
    </w:p>
    <w:p>
      <w:pPr>
        <w:pStyle w:val="4"/>
        <w:spacing w:before="0" w:after="0" w:line="560" w:lineRule="exact"/>
        <w:ind w:firstLine="31680"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31680" w:firstLineChars="200"/>
        <w:rPr>
          <w:rFonts w:ascii="仿宋_GB2312" w:eastAsia="仿宋_GB2312" w:cs="DengXian-Regular"/>
          <w:sz w:val="32"/>
          <w:szCs w:val="32"/>
        </w:rPr>
      </w:pPr>
      <w:r>
        <w:rPr>
          <w:rFonts w:hint="eastAsia" w:ascii="仿宋_GB2312" w:eastAsia="仿宋_GB2312" w:cs="DengXian-Regular"/>
          <w:sz w:val="32"/>
          <w:szCs w:val="32"/>
        </w:rPr>
        <w:t>截至</w:t>
      </w:r>
      <w:r>
        <w:rPr>
          <w:rFonts w:ascii="仿宋_GB2312" w:eastAsia="仿宋_GB2312" w:cs="DengXian-Regular"/>
          <w:sz w:val="32"/>
          <w:szCs w:val="32"/>
        </w:rPr>
        <w:t>2017</w:t>
      </w:r>
      <w:r>
        <w:rPr>
          <w:rFonts w:hint="eastAsia" w:ascii="仿宋_GB2312" w:eastAsia="仿宋_GB2312" w:cs="DengXian-Regular"/>
          <w:sz w:val="32"/>
          <w:szCs w:val="32"/>
        </w:rPr>
        <w:t>年</w:t>
      </w:r>
      <w:r>
        <w:rPr>
          <w:rFonts w:ascii="仿宋_GB2312" w:eastAsia="仿宋_GB2312" w:cs="DengXian-Regular"/>
          <w:sz w:val="32"/>
          <w:szCs w:val="32"/>
        </w:rPr>
        <w:t>12</w:t>
      </w:r>
      <w:r>
        <w:rPr>
          <w:rFonts w:hint="eastAsia" w:ascii="仿宋_GB2312" w:eastAsia="仿宋_GB2312" w:cs="DengXian-Regular"/>
          <w:sz w:val="32"/>
          <w:szCs w:val="32"/>
        </w:rPr>
        <w:t>月</w:t>
      </w:r>
      <w:r>
        <w:rPr>
          <w:rFonts w:ascii="仿宋_GB2312" w:eastAsia="仿宋_GB2312" w:cs="DengXian-Regular"/>
          <w:sz w:val="32"/>
          <w:szCs w:val="32"/>
        </w:rPr>
        <w:t>31</w:t>
      </w:r>
      <w:r>
        <w:rPr>
          <w:rFonts w:hint="eastAsia" w:ascii="仿宋_GB2312" w:eastAsia="仿宋_GB2312" w:cs="DengXian-Regular"/>
          <w:sz w:val="32"/>
          <w:szCs w:val="32"/>
        </w:rPr>
        <w:t>日，本部门共有车辆</w:t>
      </w:r>
      <w:r>
        <w:rPr>
          <w:rFonts w:ascii="仿宋_GB2312" w:eastAsia="仿宋_GB2312" w:cs="DengXian-Regular"/>
          <w:sz w:val="32"/>
          <w:szCs w:val="32"/>
        </w:rPr>
        <w:t>35</w:t>
      </w:r>
      <w:r>
        <w:rPr>
          <w:rFonts w:hint="eastAsia" w:ascii="仿宋_GB2312" w:eastAsia="仿宋_GB2312" w:cs="DengXian-Regular"/>
          <w:sz w:val="32"/>
          <w:szCs w:val="32"/>
        </w:rPr>
        <w:t>辆，其中，一般公务用车</w:t>
      </w:r>
      <w:r>
        <w:rPr>
          <w:rFonts w:ascii="仿宋_GB2312" w:eastAsia="仿宋_GB2312" w:cs="DengXian-Regular"/>
          <w:sz w:val="32"/>
          <w:szCs w:val="32"/>
        </w:rPr>
        <w:t>1</w:t>
      </w:r>
      <w:r>
        <w:rPr>
          <w:rFonts w:hint="eastAsia" w:ascii="仿宋_GB2312" w:eastAsia="仿宋_GB2312" w:cs="DengXian-Regular"/>
          <w:sz w:val="32"/>
          <w:szCs w:val="32"/>
        </w:rPr>
        <w:t>辆、一般执法执勤用车</w:t>
      </w:r>
      <w:r>
        <w:rPr>
          <w:rFonts w:ascii="仿宋_GB2312" w:eastAsia="仿宋_GB2312" w:cs="DengXian-Regular"/>
          <w:sz w:val="32"/>
          <w:szCs w:val="32"/>
        </w:rPr>
        <w:t>0</w:t>
      </w:r>
      <w:r>
        <w:rPr>
          <w:rFonts w:hint="eastAsia" w:ascii="仿宋_GB2312" w:eastAsia="仿宋_GB2312" w:cs="DengXian-Regular"/>
          <w:sz w:val="32"/>
          <w:szCs w:val="32"/>
        </w:rPr>
        <w:t>辆、特种专业技术用车</w:t>
      </w:r>
      <w:r>
        <w:rPr>
          <w:rFonts w:ascii="仿宋_GB2312" w:eastAsia="仿宋_GB2312" w:cs="DengXian-Regular"/>
          <w:sz w:val="32"/>
          <w:szCs w:val="32"/>
        </w:rPr>
        <w:t>0</w:t>
      </w:r>
      <w:r>
        <w:rPr>
          <w:rFonts w:hint="eastAsia" w:ascii="仿宋_GB2312" w:eastAsia="仿宋_GB2312" w:cs="DengXian-Regular"/>
          <w:sz w:val="32"/>
          <w:szCs w:val="32"/>
        </w:rPr>
        <w:t>辆、其他用车</w:t>
      </w:r>
      <w:r>
        <w:rPr>
          <w:rFonts w:ascii="仿宋_GB2312" w:eastAsia="仿宋_GB2312" w:cs="DengXian-Regular"/>
          <w:sz w:val="32"/>
          <w:szCs w:val="32"/>
        </w:rPr>
        <w:t>34</w:t>
      </w:r>
      <w:r>
        <w:rPr>
          <w:rFonts w:hint="eastAsia" w:ascii="仿宋_GB2312" w:eastAsia="仿宋_GB2312" w:cs="DengXian-Regular"/>
          <w:sz w:val="32"/>
          <w:szCs w:val="32"/>
        </w:rPr>
        <w:t>辆，其他用车主要用于基层医疗卫生机构实施基本公共卫生服务项目</w:t>
      </w:r>
      <w:r>
        <w:rPr>
          <w:rFonts w:ascii="仿宋_GB2312" w:eastAsia="仿宋_GB2312" w:cs="DengXian-Regular"/>
          <w:sz w:val="32"/>
          <w:szCs w:val="32"/>
        </w:rPr>
        <w:t>-</w:t>
      </w:r>
      <w:r>
        <w:rPr>
          <w:rFonts w:hint="eastAsia" w:ascii="仿宋_GB2312" w:eastAsia="仿宋_GB2312" w:cs="DengXian-Regular"/>
          <w:sz w:val="32"/>
          <w:szCs w:val="32"/>
        </w:rPr>
        <w:t>下乡体检。单位价值</w:t>
      </w:r>
      <w:r>
        <w:rPr>
          <w:rFonts w:ascii="仿宋_GB2312" w:hAnsi="TimesNewRomanPSMT" w:eastAsia="仿宋_GB2312" w:cs="TimesNewRomanPSMT"/>
          <w:sz w:val="32"/>
          <w:szCs w:val="32"/>
        </w:rPr>
        <w:t>50</w:t>
      </w:r>
      <w:r>
        <w:rPr>
          <w:rFonts w:hint="eastAsia" w:ascii="仿宋_GB2312" w:eastAsia="仿宋_GB2312" w:cs="DengXian-Regular"/>
          <w:sz w:val="32"/>
          <w:szCs w:val="32"/>
        </w:rPr>
        <w:t>万元以上大型设备</w:t>
      </w:r>
      <w:r>
        <w:rPr>
          <w:rFonts w:ascii="仿宋_GB2312" w:eastAsia="仿宋_GB2312" w:cs="DengXian-Regular"/>
          <w:sz w:val="32"/>
          <w:szCs w:val="32"/>
        </w:rPr>
        <w:t>4</w:t>
      </w:r>
      <w:r>
        <w:rPr>
          <w:rFonts w:hint="eastAsia" w:ascii="仿宋_GB2312" w:eastAsia="仿宋_GB2312" w:cs="DengXian-Regular"/>
          <w:sz w:val="32"/>
          <w:szCs w:val="32"/>
        </w:rPr>
        <w:t>台（套），单位价值</w:t>
      </w:r>
      <w:r>
        <w:rPr>
          <w:rFonts w:ascii="仿宋_GB2312" w:hAnsi="TimesNewRomanPSMT" w:eastAsia="仿宋_GB2312" w:cs="TimesNewRomanPSMT"/>
          <w:sz w:val="32"/>
          <w:szCs w:val="32"/>
        </w:rPr>
        <w:t>100</w:t>
      </w:r>
      <w:r>
        <w:rPr>
          <w:rFonts w:hint="eastAsia" w:ascii="仿宋_GB2312" w:eastAsia="仿宋_GB2312" w:cs="DengXian-Regular"/>
          <w:sz w:val="32"/>
          <w:szCs w:val="32"/>
        </w:rPr>
        <w:t>万元以上大型设备</w:t>
      </w:r>
      <w:r>
        <w:rPr>
          <w:rFonts w:ascii="仿宋_GB2312" w:eastAsia="仿宋_GB2312" w:cs="DengXian-Regular"/>
          <w:sz w:val="32"/>
          <w:szCs w:val="32"/>
        </w:rPr>
        <w:t>14</w:t>
      </w:r>
      <w:r>
        <w:rPr>
          <w:rFonts w:hint="eastAsia" w:ascii="仿宋_GB2312" w:eastAsia="仿宋_GB2312" w:cs="DengXian-Regular"/>
          <w:sz w:val="32"/>
          <w:szCs w:val="32"/>
        </w:rPr>
        <w:t>台（套）。</w:t>
      </w:r>
    </w:p>
    <w:p>
      <w:pPr>
        <w:pStyle w:val="4"/>
        <w:spacing w:before="0" w:after="0" w:line="560" w:lineRule="exact"/>
        <w:ind w:firstLine="31680"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31680" w:firstLineChars="200"/>
        <w:rPr>
          <w:rFonts w:ascii="仿宋_GB2312" w:eastAsia="仿宋_GB2312" w:cs="DengXian-Regular"/>
          <w:sz w:val="32"/>
          <w:szCs w:val="32"/>
        </w:rPr>
      </w:pPr>
      <w:r>
        <w:rPr>
          <w:rFonts w:ascii="仿宋_GB2312" w:eastAsia="仿宋_GB2312" w:cs="DengXian-Regular"/>
          <w:sz w:val="32"/>
          <w:szCs w:val="32"/>
        </w:rPr>
        <w:t>1</w:t>
      </w: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年度政府性基金财政拨款收入支出决算表、国有资本经营预算财政拨款收入支出决算表无收支及结转结余情况，故政府性基金财政拨款收入支出决算和国有资本经营预算以空表列示。</w:t>
      </w:r>
    </w:p>
    <w:p>
      <w:pPr>
        <w:adjustRightInd w:val="0"/>
        <w:snapToGrid w:val="0"/>
        <w:spacing w:after="0" w:line="560" w:lineRule="exact"/>
        <w:ind w:firstLine="31680" w:firstLineChars="200"/>
        <w:rPr>
          <w:rFonts w:ascii="仿宋_GB2312" w:eastAsia="仿宋_GB2312" w:cs="DengXian-Regular"/>
          <w:sz w:val="32"/>
          <w:szCs w:val="32"/>
        </w:rPr>
      </w:pPr>
      <w:r>
        <w:rPr>
          <w:rFonts w:ascii="仿宋_GB2312" w:eastAsia="仿宋_GB2312" w:cs="DengXian-Regular"/>
          <w:sz w:val="32"/>
          <w:szCs w:val="32"/>
        </w:rPr>
        <w:t>2</w:t>
      </w:r>
      <w:r>
        <w:rPr>
          <w:rFonts w:hint="eastAsia" w:ascii="仿宋_GB2312" w:eastAsia="仿宋_GB2312" w:cs="DengXian-Regular"/>
          <w:sz w:val="32"/>
          <w:szCs w:val="32"/>
        </w:rPr>
        <w:t>、由于决算公开表格中金额数值应当保留两位小数，公开数据为四舍五入计算结果，个别数据合计项与分项之和存在小数点后差额，特此说明。</w:t>
      </w:r>
    </w:p>
    <w:p>
      <w:pPr>
        <w:pStyle w:val="2"/>
        <w:jc w:val="center"/>
        <w:rPr>
          <w:rFonts w:ascii="宋体" w:cs="SimSun,Bold"/>
        </w:rPr>
      </w:pPr>
      <w:r>
        <w:rPr>
          <w:rFonts w:hint="eastAsia" w:ascii="宋体" w:hAnsi="宋体" w:cs="SimSun,Bold"/>
        </w:rPr>
        <w:t>第四部分名词解释</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3168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1440" w:right="1800" w:bottom="1440" w:left="1800" w:header="851" w:footer="992" w:gutter="0"/>
      <w:cols w:space="425"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Calibri">
    <w:panose1 w:val="020F0502020204030204"/>
    <w:charset w:val="00"/>
    <w:family w:val="auto"/>
    <w:pitch w:val="default"/>
    <w:sig w:usb0="E0002A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_GBK">
    <w:altName w:val="宋体"/>
    <w:panose1 w:val="00000000000000000000"/>
    <w:charset w:val="86"/>
    <w:family w:val="auto"/>
    <w:pitch w:val="default"/>
    <w:sig w:usb0="00000001" w:usb1="080E0000" w:usb2="00000010" w:usb3="00000000" w:csb0="00040000" w:csb1="00000000"/>
  </w:font>
  <w:font w:name="仿宋_GB2312">
    <w:altName w:val="仿宋"/>
    <w:panose1 w:val="02010609030101010101"/>
    <w:charset w:val="86"/>
    <w:family w:val="auto"/>
    <w:pitch w:val="default"/>
    <w:sig w:usb0="00000001" w:usb1="080E0000" w:usb2="00000010" w:usb3="00000000" w:csb0="00040000" w:csb1="00000000"/>
  </w:font>
  <w:font w:name="ArialUnicodeMS">
    <w:altName w:val="Malgun Gothic"/>
    <w:panose1 w:val="00000000000000000000"/>
    <w:charset w:val="81"/>
    <w:family w:val="auto"/>
    <w:pitch w:val="default"/>
    <w:sig w:usb0="00000001" w:usb1="09060000" w:usb2="00000010" w:usb3="00000000" w:csb0="00080000" w:csb1="00000000"/>
  </w:font>
  <w:font w:name="MS-UIGothic,Bold">
    <w:altName w:val="Malgun Gothic"/>
    <w:panose1 w:val="00000000000000000000"/>
    <w:charset w:val="81"/>
    <w:family w:val="auto"/>
    <w:pitch w:val="default"/>
    <w:sig w:usb0="00000001" w:usb1="09060000" w:usb2="00000010" w:usb3="00000000" w:csb0="00080000" w:csb1="00000000"/>
  </w:font>
  <w:font w:name="DengXian-Regular">
    <w:altName w:val="宋体"/>
    <w:panose1 w:val="00000000000000000000"/>
    <w:charset w:val="86"/>
    <w:family w:val="auto"/>
    <w:pitch w:val="default"/>
    <w:sig w:usb0="00000001" w:usb1="080E0000" w:usb2="00000010" w:usb3="00000000" w:csb0="00040000" w:csb1="00000000"/>
  </w:font>
  <w:font w:name="楷体_GB2312">
    <w:altName w:val="楷体"/>
    <w:panose1 w:val="02010609030101010101"/>
    <w:charset w:val="86"/>
    <w:family w:val="auto"/>
    <w:pitch w:val="default"/>
    <w:sig w:usb0="00000001" w:usb1="080E0000" w:usb2="00000010" w:usb3="00000000" w:csb0="00040000" w:csb1="00000000"/>
  </w:font>
  <w:font w:name="DengXian-Bold">
    <w:altName w:val="宋体"/>
    <w:panose1 w:val="00000000000000000000"/>
    <w:charset w:val="86"/>
    <w:family w:val="auto"/>
    <w:pitch w:val="default"/>
    <w:sig w:usb0="00000001" w:usb1="080E0000" w:usb2="00000010" w:usb3="00000000" w:csb0="00040000" w:csb1="00000000"/>
  </w:font>
  <w:font w:name="方正仿宋_GBK">
    <w:altName w:val="宋体"/>
    <w:panose1 w:val="00000000000000000000"/>
    <w:charset w:val="86"/>
    <w:family w:val="auto"/>
    <w:pitch w:val="default"/>
    <w:sig w:usb0="00000001" w:usb1="080E0000" w:usb2="00000010" w:usb3="00000000" w:csb0="00040000" w:csb1="00000000"/>
  </w:font>
  <w:font w:name="TimesNewRomanPSMT">
    <w:altName w:val="Arial"/>
    <w:panose1 w:val="00000000000000000000"/>
    <w:charset w:val="00"/>
    <w:family w:val="auto"/>
    <w:pitch w:val="default"/>
    <w:sig w:usb0="00000003" w:usb1="00000000" w:usb2="00000000" w:usb3="00000000" w:csb0="00000001" w:csb1="00000000"/>
  </w:font>
  <w:font w:name="SimSun,Bold">
    <w:altName w:val="宋体"/>
    <w:panose1 w:val="00000000000000000000"/>
    <w:charset w:val="86"/>
    <w:family w:val="auto"/>
    <w:pitch w:val="default"/>
    <w:sig w:usb0="00000001" w:usb1="080E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 w:name="Malgun Gothic">
    <w:panose1 w:val="020B0503020000020004"/>
    <w:charset w:val="00"/>
    <w:family w:val="auto"/>
    <w:pitch w:val="default"/>
    <w:sig w:usb0="9000002F" w:usb1="29D77CFB" w:usb2="00000012" w:usb3="00000000" w:csb0="00080001" w:csb1="00000000"/>
  </w:font>
  <w:font w:name="Dotum">
    <w:altName w:val="Verdana"/>
    <w:panose1 w:val="020B0600000101010101"/>
    <w:charset w:val="00"/>
    <w:family w:val="auto"/>
    <w:pitch w:val="default"/>
    <w:sig w:usb0="B00002AF" w:usb1="69D77CFB" w:usb2="00000030" w:usb3="00000000" w:csb0="4008009F" w:csb1="DFD70000"/>
  </w:font>
  <w:font w:name="Gulim">
    <w:altName w:val="Verdana"/>
    <w:panose1 w:val="020B0600000101010101"/>
    <w:charset w:val="00"/>
    <w:family w:val="auto"/>
    <w:pitch w:val="default"/>
    <w:sig w:usb0="B00002AF" w:usb1="69D77CFB" w:usb2="00000030" w:usb3="00000000" w:csb0="4008009F" w:csb1="DFD70000"/>
  </w:font>
  <w:font w:name="Verdana">
    <w:panose1 w:val="020B0604030504040204"/>
    <w:charset w:val="00"/>
    <w:family w:val="auto"/>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7">
    <w:nsid w:val="00000007"/>
    <w:multiLevelType w:val="singleLevel"/>
    <w:tmpl w:val="00000007"/>
    <w:lvl w:ilvl="0" w:tentative="1">
      <w:start w:val="2"/>
      <w:numFmt w:val="chineseCounting"/>
      <w:suff w:val="nothing"/>
      <w:lvlText w:val="%1、"/>
      <w:lvlJc w:val="left"/>
      <w:rPr>
        <w:rFonts w:hint="eastAsia" w:cs="Times New Roman"/>
      </w:rPr>
    </w:lvl>
  </w:abstractNum>
  <w:abstractNum w:abstractNumId="11">
    <w:nsid w:val="0000000B"/>
    <w:multiLevelType w:val="singleLevel"/>
    <w:tmpl w:val="0000000B"/>
    <w:lvl w:ilvl="0" w:tentative="1">
      <w:start w:val="1"/>
      <w:numFmt w:val="chineseCounting"/>
      <w:suff w:val="nothing"/>
      <w:lvlText w:val="（%1）"/>
      <w:lvlJc w:val="left"/>
    </w:lvl>
  </w:abstractNum>
  <w:num w:numId="1">
    <w:abstractNumId w:val="7"/>
  </w:num>
  <w:num w:numId="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4"/>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5"/>
    <w:pPr>
      <w:keepNext/>
      <w:keepLines/>
      <w:spacing w:before="260" w:after="260" w:line="416" w:lineRule="auto"/>
      <w:outlineLvl w:val="1"/>
    </w:pPr>
    <w:rPr>
      <w:rFonts w:ascii="Calibri" w:hAnsi="Calibri" w:eastAsia="宋体" w:cs="Times New Roman"/>
      <w:b/>
      <w:bCs/>
      <w:sz w:val="32"/>
      <w:szCs w:val="32"/>
    </w:rPr>
  </w:style>
  <w:style w:type="paragraph" w:styleId="4">
    <w:name w:val="heading 3"/>
    <w:basedOn w:val="1"/>
    <w:next w:val="1"/>
    <w:link w:val="16"/>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7"/>
    <w:pPr>
      <w:keepNext/>
      <w:keepLines/>
      <w:spacing w:before="280" w:after="290" w:line="376" w:lineRule="auto"/>
      <w:outlineLvl w:val="3"/>
    </w:pPr>
    <w:rPr>
      <w:rFonts w:ascii="Calibri" w:hAnsi="Calibri" w:eastAsia="宋体" w:cs="Times New Roman"/>
      <w:b/>
      <w:bCs/>
      <w:sz w:val="28"/>
      <w:szCs w:val="28"/>
    </w:rPr>
  </w:style>
  <w:style w:type="character" w:default="1" w:styleId="11">
    <w:name w:val="Default Paragraph Font"/>
  </w:style>
  <w:style w:type="paragraph" w:styleId="6">
    <w:name w:val="批注框文本"/>
    <w:basedOn w:val="1"/>
    <w:link w:val="18"/>
    <w:rPr>
      <w:rFonts w:ascii="Times New Roman" w:hAnsi="Times New Roman" w:eastAsia="宋体" w:cs="Times New Roman"/>
      <w:sz w:val="18"/>
      <w:szCs w:val="18"/>
    </w:rPr>
  </w:style>
  <w:style w:type="paragraph" w:styleId="7">
    <w:name w:val="footer"/>
    <w:basedOn w:val="1"/>
    <w:link w:val="19"/>
    <w:pPr>
      <w:tabs>
        <w:tab w:val="center" w:pos="4153"/>
        <w:tab w:val="right" w:pos="8306"/>
      </w:tabs>
      <w:snapToGrid w:val="0"/>
      <w:jc w:val="left"/>
    </w:pPr>
    <w:rPr>
      <w:rFonts w:cs="Times New Roman"/>
      <w:sz w:val="18"/>
      <w:szCs w:val="18"/>
    </w:rPr>
  </w:style>
  <w:style w:type="paragraph" w:styleId="8">
    <w:name w:val="header"/>
    <w:basedOn w:val="1"/>
    <w:link w:val="20"/>
    <w:pPr>
      <w:pBdr>
        <w:bottom w:val="single" w:color="auto" w:sz="6" w:space="1"/>
      </w:pBdr>
      <w:tabs>
        <w:tab w:val="center" w:pos="4153"/>
        <w:tab w:val="right" w:pos="8306"/>
      </w:tabs>
      <w:snapToGrid w:val="0"/>
      <w:jc w:val="center"/>
    </w:pPr>
    <w:rPr>
      <w:rFonts w:cs="Times New Roman"/>
      <w:sz w:val="18"/>
      <w:szCs w:val="18"/>
    </w:rPr>
  </w:style>
  <w:style w:type="paragraph" w:styleId="9">
    <w:name w:val="Subtitle"/>
    <w:basedOn w:val="1"/>
    <w:next w:val="1"/>
    <w:link w:val="21"/>
    <w:pPr>
      <w:widowControl/>
      <w:spacing w:after="200" w:line="276" w:lineRule="auto"/>
      <w:jc w:val="left"/>
    </w:pPr>
    <w:rPr>
      <w:rFonts w:ascii="Calibri" w:hAnsi="Calibri" w:eastAsia="宋体" w:cs="Times New Roman"/>
      <w:i/>
      <w:iCs/>
      <w:color w:val="F0A22E"/>
      <w:spacing w:val="15"/>
      <w:kern w:val="0"/>
      <w:sz w:val="24"/>
      <w:szCs w:val="24"/>
    </w:rPr>
  </w:style>
  <w:style w:type="paragraph" w:styleId="10">
    <w:name w:val="Title"/>
    <w:basedOn w:val="1"/>
    <w:next w:val="1"/>
    <w:link w:val="22"/>
    <w:pPr>
      <w:widowControl/>
      <w:pBdr>
        <w:bottom w:val="single" w:color="F0A22E" w:sz="8" w:space="4"/>
      </w:pBdr>
      <w:spacing w:after="300"/>
      <w:contextualSpacing/>
      <w:jc w:val="left"/>
    </w:pPr>
    <w:rPr>
      <w:rFonts w:ascii="Calibri" w:hAnsi="Calibri" w:eastAsia="宋体" w:cs="Times New Roman"/>
      <w:color w:val="3A2C24"/>
      <w:spacing w:val="5"/>
      <w:kern w:val="28"/>
      <w:sz w:val="52"/>
      <w:szCs w:val="52"/>
    </w:rPr>
  </w:style>
  <w:style w:type="paragraph" w:customStyle="1" w:styleId="12">
    <w:name w:val="No Spacing"/>
    <w:link w:val="23"/>
    <w:pPr>
      <w:spacing w:after="160" w:line="480" w:lineRule="auto"/>
    </w:pPr>
    <w:rPr>
      <w:rFonts w:ascii="Cambria" w:hAnsi="Cambria" w:eastAsia="黑体" w:cs="Times New Roman"/>
      <w:kern w:val="2"/>
      <w:sz w:val="22"/>
      <w:szCs w:val="22"/>
      <w:lang w:val="en-US" w:eastAsia="zh-CN" w:bidi="ar-SA"/>
    </w:rPr>
  </w:style>
  <w:style w:type="paragraph" w:customStyle="1" w:styleId="13">
    <w:name w:val="p0"/>
    <w:basedOn w:val="1"/>
    <w:pPr>
      <w:widowControl/>
      <w:spacing w:before="100" w:beforeAutospacing="1" w:after="100" w:afterAutospacing="1" w:line="240" w:lineRule="auto"/>
      <w:jc w:val="left"/>
    </w:pPr>
    <w:rPr>
      <w:rFonts w:ascii="宋体" w:hAnsi="宋体" w:cs="宋体"/>
      <w:kern w:val="0"/>
      <w:sz w:val="24"/>
    </w:rPr>
  </w:style>
  <w:style w:type="character" w:customStyle="1" w:styleId="14">
    <w:name w:val="Heading 1 Char"/>
    <w:basedOn w:val="11"/>
    <w:link w:val="2"/>
    <w:semiHidden/>
    <w:rPr>
      <w:rFonts w:ascii="Times New Roman" w:hAnsi="Times New Roman" w:eastAsia="宋体" w:cs="Times New Roman"/>
      <w:b/>
      <w:bCs/>
      <w:kern w:val="44"/>
      <w:sz w:val="44"/>
      <w:szCs w:val="44"/>
    </w:rPr>
  </w:style>
  <w:style w:type="character" w:customStyle="1" w:styleId="15">
    <w:name w:val="Heading 2 Char"/>
    <w:basedOn w:val="11"/>
    <w:link w:val="3"/>
    <w:semiHidden/>
    <w:rPr>
      <w:rFonts w:ascii="Calibri" w:hAnsi="Calibri" w:eastAsia="宋体" w:cs="Times New Roman"/>
      <w:b/>
      <w:bCs/>
      <w:sz w:val="32"/>
      <w:szCs w:val="32"/>
    </w:rPr>
  </w:style>
  <w:style w:type="character" w:customStyle="1" w:styleId="16">
    <w:name w:val="Heading 3 Char"/>
    <w:basedOn w:val="11"/>
    <w:link w:val="4"/>
    <w:semiHidden/>
    <w:rPr>
      <w:rFonts w:ascii="Times New Roman" w:hAnsi="Times New Roman" w:eastAsia="宋体" w:cs="Times New Roman"/>
      <w:b/>
      <w:bCs/>
      <w:sz w:val="32"/>
      <w:szCs w:val="32"/>
    </w:rPr>
  </w:style>
  <w:style w:type="character" w:customStyle="1" w:styleId="17">
    <w:name w:val="Heading 4 Char"/>
    <w:basedOn w:val="11"/>
    <w:link w:val="5"/>
    <w:semiHidden/>
    <w:rPr>
      <w:rFonts w:ascii="Calibri" w:hAnsi="Calibri" w:eastAsia="宋体" w:cs="Times New Roman"/>
      <w:b/>
      <w:bCs/>
      <w:sz w:val="28"/>
      <w:szCs w:val="28"/>
    </w:rPr>
  </w:style>
  <w:style w:type="character" w:customStyle="1" w:styleId="18">
    <w:name w:val="Balloon Text Char"/>
    <w:basedOn w:val="11"/>
    <w:link w:val="6"/>
    <w:semiHidden/>
    <w:rPr>
      <w:rFonts w:ascii="Times New Roman" w:hAnsi="Times New Roman" w:eastAsia="宋体" w:cs="Times New Roman"/>
      <w:sz w:val="18"/>
      <w:szCs w:val="18"/>
    </w:rPr>
  </w:style>
  <w:style w:type="character" w:customStyle="1" w:styleId="19">
    <w:name w:val="Footer Char"/>
    <w:basedOn w:val="11"/>
    <w:link w:val="7"/>
    <w:semiHidden/>
    <w:rPr>
      <w:rFonts w:cs="Times New Roman"/>
      <w:sz w:val="18"/>
      <w:szCs w:val="18"/>
    </w:rPr>
  </w:style>
  <w:style w:type="character" w:customStyle="1" w:styleId="20">
    <w:name w:val="Header Char"/>
    <w:basedOn w:val="11"/>
    <w:link w:val="8"/>
    <w:semiHidden/>
    <w:rPr>
      <w:rFonts w:cs="Times New Roman"/>
      <w:sz w:val="18"/>
      <w:szCs w:val="18"/>
    </w:rPr>
  </w:style>
  <w:style w:type="character" w:customStyle="1" w:styleId="21">
    <w:name w:val="Subtitle Char"/>
    <w:basedOn w:val="11"/>
    <w:link w:val="9"/>
    <w:semiHidden/>
    <w:rPr>
      <w:rFonts w:ascii="Calibri" w:hAnsi="Calibri" w:eastAsia="宋体" w:cs="Times New Roman"/>
      <w:i/>
      <w:iCs/>
      <w:color w:val="F0A22E"/>
      <w:spacing w:val="15"/>
      <w:kern w:val="0"/>
      <w:sz w:val="24"/>
      <w:szCs w:val="24"/>
    </w:rPr>
  </w:style>
  <w:style w:type="character" w:customStyle="1" w:styleId="22">
    <w:name w:val="Title Char"/>
    <w:basedOn w:val="11"/>
    <w:link w:val="10"/>
    <w:semiHidden/>
    <w:rPr>
      <w:rFonts w:ascii="Calibri" w:hAnsi="Calibri" w:eastAsia="宋体" w:cs="Times New Roman"/>
      <w:color w:val="3A2C24"/>
      <w:spacing w:val="5"/>
      <w:kern w:val="28"/>
      <w:sz w:val="52"/>
      <w:szCs w:val="52"/>
    </w:rPr>
  </w:style>
  <w:style w:type="character" w:customStyle="1" w:styleId="23">
    <w:name w:val="No Spacing Char Char"/>
    <w:basedOn w:val="11"/>
    <w:link w:val="12"/>
    <w:semiHidden/>
    <w:rPr>
      <w:rFonts w:ascii="Cambria" w:hAnsi="Cambria" w:eastAsia="黑体" w:cs="Times New Roman"/>
      <w:kern w:val="2"/>
      <w:sz w:val="22"/>
      <w:szCs w:val="22"/>
      <w:lang w:val="en-US" w:eastAsia="zh-CN" w:bidi="ar-SA"/>
    </w:rPr>
  </w:style>
  <w:style w:type="character" w:customStyle="1" w:styleId="24">
    <w:name w:val="Style1"/>
    <w:basedOn w:val="11"/>
    <w:rPr>
      <w:rFonts w:ascii="Cambria" w:hAnsi="黑体" w:eastAsia="黑体" w:cs="Times New Roman"/>
      <w:sz w:val="22"/>
      <w:szCs w:val="22"/>
      <w:lang w:eastAsia="zh-CN"/>
    </w:rPr>
  </w:style>
  <w:style w:type="character" w:customStyle="1" w:styleId="25">
    <w:name w:val="Style2"/>
    <w:basedOn w:val="11"/>
    <w:rPr>
      <w:rFonts w:ascii="Cambria" w:hAnsi="黑体" w:eastAsia="黑体" w:cs="Times New Roman"/>
      <w:sz w:val="22"/>
      <w:szCs w:val="22"/>
      <w:lang w:eastAsia="zh-CN"/>
    </w:rPr>
  </w:style>
  <w:style w:type="character" w:customStyle="1" w:styleId="26">
    <w:name w:val="Style3"/>
    <w:basedOn w:val="11"/>
    <w:rPr>
      <w:rFonts w:ascii="Cambria" w:hAnsi="黑体" w:eastAsia="黑体" w:cs="Times New Roman"/>
      <w:sz w:val="22"/>
      <w:szCs w:val="22"/>
      <w:lang w:eastAsia="zh-CN"/>
    </w:rPr>
  </w:style>
  <w:style w:type="character" w:customStyle="1" w:styleId="27">
    <w:name w:val="Style4"/>
    <w:basedOn w:val="11"/>
    <w:rPr>
      <w:rFonts w:ascii="Cambria" w:hAnsi="黑体" w:eastAsia="黑体" w:cs="Times New Roman"/>
      <w:sz w:val="22"/>
      <w:szCs w:val="22"/>
      <w:lang w:eastAsia="zh-CN"/>
    </w:rPr>
  </w:style>
  <w:style w:type="character" w:customStyle="1" w:styleId="28">
    <w:name w:val="Style5"/>
    <w:basedOn w:val="11"/>
    <w:rPr>
      <w:rFonts w:ascii="Cambria" w:hAnsi="黑体" w:eastAsia="黑体" w:cs="Times New Roman"/>
      <w:sz w:val="22"/>
      <w:szCs w:val="22"/>
      <w:lang w:eastAsia="zh-CN"/>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10" Type="http://schemas.openxmlformats.org/officeDocument/2006/relationships/theme" Target="theme/theme1.xml"/><Relationship Id="rId11" Type="http://schemas.openxmlformats.org/officeDocument/2006/relationships/image" Target="media/image1.png"/><Relationship Id="rId12" Type="http://schemas.openxmlformats.org/officeDocument/2006/relationships/image" Target="media/image2.png"/><Relationship Id="rId13" Type="http://schemas.openxmlformats.org/officeDocument/2006/relationships/customXml" Target="../customXml/item1.xml"/><Relationship Id="rId14"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17</Pages>
  <Words>941</Words>
  <Characters>5368</Characters>
  <Lines>0</Lines>
  <Paragraphs>0</Paragraphs>
  <TotalTime>0</TotalTime>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2018-08-29T16:38:00Z</dcterms:created>
  <dc:creator>User</dc:creator>
  <dcterms:modified xsi:type="dcterms:W3CDTF">2019-02-13T14:05:21Z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