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Default ContentType="image/png" Extension="png"/>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mc:Ignorable="w14 wp14">
  <w:body>
    <w:p>
      <w:pPr>
        <w:widowControl/>
        <w:jc w:val="center"/>
        <w:rPr>
          <w:rFonts w:ascii="黑体" w:hAnsi="宋体" w:eastAsia="黑体"/>
          <w:color w:val="002060"/>
          <w:sz w:val="84"/>
          <w:szCs w:val="84"/>
        </w:rPr>
      </w:pPr>
      <w:r>
        <w:rPr>
          <w:rFonts w:hint="eastAsia" w:ascii="黑体" w:hAnsi="宋体" w:eastAsia="黑体"/>
          <w:color w:val="002060"/>
          <w:sz w:val="84"/>
          <w:szCs w:val="84"/>
        </w:rPr>
        <w:t>2017年度部门决算公开</w:t>
      </w: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宋体" w:hAnsi="宋体"/>
          <w:b/>
          <w:sz w:val="44"/>
          <w:szCs w:val="44"/>
        </w:rPr>
      </w:pPr>
      <w:r>
        <w:rPr>
          <w:rFonts w:hint="eastAsia" w:ascii="宋体" w:hAnsi="宋体"/>
          <w:b/>
          <w:sz w:val="44"/>
          <w:szCs w:val="44"/>
        </w:rPr>
        <w:t>无极县广播电视台</w:t>
      </w:r>
    </w:p>
    <w:p>
      <w:pPr>
        <w:widowControl/>
        <w:jc w:val="center"/>
        <w:rPr>
          <w:rFonts w:ascii="宋体" w:hAnsi="宋体"/>
          <w:b/>
          <w:sz w:val="44"/>
          <w:szCs w:val="44"/>
        </w:rPr>
      </w:pPr>
      <w:r>
        <w:rPr>
          <w:rFonts w:hint="eastAsia" w:ascii="宋体" w:hAnsi="宋体"/>
          <w:b/>
          <w:sz w:val="44"/>
          <w:szCs w:val="44"/>
        </w:rPr>
        <w:t>2018年9月18日</w:t>
      </w:r>
    </w:p>
    <w:p>
      <w:pPr>
        <w:widowControl/>
        <w:spacing w:line="580" w:lineRule="exact"/>
        <w:jc w:val="center"/>
        <w:rPr>
          <w:rFonts w:eastAsia="方正小标宋_GBK"/>
          <w:sz w:val="44"/>
          <w:szCs w:val="44"/>
        </w:rPr>
      </w:pPr>
    </w:p>
    <w:p>
      <w:pPr>
        <w:widowControl/>
        <w:spacing w:line="580" w:lineRule="exact"/>
        <w:jc w:val="center"/>
        <w:rPr>
          <w:rFonts w:ascii="黑体" w:eastAsia="黑体"/>
          <w:sz w:val="44"/>
          <w:szCs w:val="44"/>
        </w:rPr>
      </w:pPr>
    </w:p>
    <w:p>
      <w:pPr>
        <w:widowControl/>
        <w:spacing w:line="580" w:lineRule="exact"/>
        <w:jc w:val="center"/>
        <w:rPr>
          <w:rFonts w:ascii="黑体" w:eastAsia="黑体"/>
          <w:sz w:val="44"/>
          <w:szCs w:val="44"/>
        </w:rPr>
      </w:pPr>
    </w:p>
    <w:p>
      <w:pPr>
        <w:widowControl/>
        <w:spacing w:line="580" w:lineRule="exact"/>
        <w:jc w:val="center"/>
        <w:rPr>
          <w:rFonts w:ascii="黑体" w:eastAsia="黑体"/>
          <w:sz w:val="44"/>
          <w:szCs w:val="44"/>
        </w:rPr>
      </w:pPr>
    </w:p>
    <w:p>
      <w:pPr>
        <w:widowControl/>
        <w:spacing w:line="580" w:lineRule="exact"/>
        <w:jc w:val="center"/>
        <w:rPr>
          <w:rFonts w:ascii="黑体" w:eastAsia="黑体"/>
          <w:sz w:val="44"/>
          <w:szCs w:val="44"/>
        </w:rPr>
      </w:pPr>
    </w:p>
    <w:p>
      <w:pPr>
        <w:widowControl/>
        <w:spacing w:line="580" w:lineRule="exact"/>
        <w:jc w:val="center"/>
        <w:rPr>
          <w:rFonts w:ascii="黑体" w:eastAsia="黑体"/>
          <w:sz w:val="44"/>
          <w:szCs w:val="44"/>
        </w:rPr>
      </w:pPr>
      <w:r>
        <w:rPr>
          <w:rFonts w:hint="eastAsia" w:ascii="黑体" w:eastAsia="黑体"/>
          <w:sz w:val="44"/>
          <w:szCs w:val="44"/>
        </w:rPr>
        <w:t>部门决算公开目录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hint="eastAsia" w:eastAsia="黑体"/>
          <w:sz w:val="32"/>
          <w:szCs w:val="32"/>
        </w:rPr>
        <w:t>第一部分无极县广播电视台</w:t>
      </w:r>
    </w:p>
    <w:p>
      <w:pPr>
        <w:widowControl/>
        <w:spacing w:line="580" w:lineRule="exact"/>
        <w:ind w:firstLine="1920" w:firstLineChars="600"/>
        <w:rPr>
          <w:rFonts w:eastAsia="仿宋_GB2312"/>
          <w:sz w:val="24"/>
          <w:szCs w:val="32"/>
        </w:rPr>
      </w:pPr>
      <w:r>
        <w:rPr>
          <w:rFonts w:eastAsia="黑体"/>
          <w:sz w:val="32"/>
          <w:szCs w:val="32"/>
        </w:rPr>
        <w:t>部门概况</w:t>
      </w:r>
    </w:p>
    <w:p>
      <w:pPr>
        <w:widowControl/>
        <w:spacing w:line="580" w:lineRule="exact"/>
        <w:ind w:firstLine="1274"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4" w:firstLineChars="398"/>
        <w:rPr>
          <w:rFonts w:eastAsia="仿宋_GB2312"/>
          <w:sz w:val="32"/>
          <w:szCs w:val="32"/>
        </w:rPr>
      </w:pPr>
      <w:r>
        <w:rPr>
          <w:rFonts w:eastAsia="仿宋_GB2312"/>
          <w:sz w:val="32"/>
          <w:szCs w:val="32"/>
        </w:rPr>
        <w:t>二、部门决算单位构成</w:t>
      </w:r>
    </w:p>
    <w:p>
      <w:pPr>
        <w:widowControl/>
        <w:spacing w:line="580" w:lineRule="exact"/>
        <w:ind w:firstLine="640" w:firstLineChars="200"/>
        <w:rPr>
          <w:rFonts w:eastAsia="仿宋_GB2312"/>
          <w:sz w:val="20"/>
          <w:szCs w:val="32"/>
        </w:rPr>
      </w:pPr>
      <w:r>
        <w:rPr>
          <w:rFonts w:eastAsia="黑体"/>
          <w:sz w:val="32"/>
          <w:szCs w:val="32"/>
        </w:rPr>
        <w:t xml:space="preserve">第二部分   </w:t>
      </w:r>
      <w:r>
        <w:rPr>
          <w:rFonts w:hint="eastAsia" w:eastAsia="黑体"/>
          <w:sz w:val="32"/>
          <w:szCs w:val="32"/>
        </w:rPr>
        <w:t>无极县广播电视台</w:t>
      </w:r>
      <w:r>
        <w:rPr>
          <w:rFonts w:eastAsia="黑体"/>
          <w:sz w:val="32"/>
          <w:szCs w:val="32"/>
        </w:rPr>
        <w:t>2017年度部门决算报表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六、一般公共预算财政拨款基本支出决算经济分类表</w:t>
      </w:r>
    </w:p>
    <w:p>
      <w:pPr>
        <w:widowControl/>
        <w:spacing w:line="580" w:lineRule="exact"/>
        <w:ind w:left="640" w:firstLine="640" w:firstLineChars="200"/>
        <w:rPr>
          <w:rFonts w:eastAsia="仿宋_GB2312"/>
          <w:sz w:val="32"/>
          <w:szCs w:val="32"/>
        </w:rPr>
      </w:pPr>
      <w:r>
        <w:rPr>
          <w:rFonts w:eastAsia="仿宋_GB2312"/>
          <w:sz w:val="32"/>
          <w:szCs w:val="32"/>
        </w:rPr>
        <w:t>七、政府性基金预算财政拨款收入支出决算表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八、国有资本经营预算财政拨款收入支出决算表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九、“三公”经费等相关信息统计表</w:t>
      </w:r>
    </w:p>
    <w:p>
      <w:pPr>
        <w:widowControl/>
        <w:spacing w:line="580" w:lineRule="exact"/>
        <w:ind w:left="640" w:firstLine="640" w:firstLineChars="200"/>
        <w:rPr>
          <w:rFonts w:eastAsia="仿宋_GB2312"/>
          <w:sz w:val="32"/>
          <w:szCs w:val="32"/>
        </w:rPr>
      </w:pPr>
      <w:r>
        <w:rPr>
          <w:rFonts w:eastAsia="仿宋_GB2312"/>
          <w:sz w:val="32"/>
          <w:szCs w:val="32"/>
        </w:rPr>
        <w:t>十、政府采购情况表</w:t>
      </w:r>
    </w:p>
    <w:p>
      <w:pPr>
        <w:widowControl/>
        <w:spacing w:line="580" w:lineRule="exact"/>
        <w:ind w:firstLine="640" w:firstLineChars="200"/>
        <w:rPr>
          <w:rFonts w:eastAsia="黑体"/>
          <w:sz w:val="32"/>
          <w:szCs w:val="32"/>
        </w:rPr>
      </w:pPr>
      <w:r>
        <w:rPr>
          <w:rFonts w:eastAsia="黑体"/>
          <w:sz w:val="32"/>
          <w:szCs w:val="32"/>
        </w:rPr>
        <w:t xml:space="preserve">第三部分  </w:t>
      </w:r>
      <w:r>
        <w:rPr>
          <w:rFonts w:hint="eastAsia" w:eastAsia="黑体"/>
          <w:sz w:val="32"/>
          <w:szCs w:val="32"/>
        </w:rPr>
        <w:t>无极县广播电视台</w:t>
      </w:r>
      <w:r>
        <w:rPr>
          <w:rFonts w:eastAsia="黑体"/>
          <w:sz w:val="32"/>
          <w:szCs w:val="32"/>
        </w:rPr>
        <w:t>2017年部门决算情况说明</w: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五、“三公”经费支出决算情况说明</w:t>
      </w:r>
    </w:p>
    <w:p>
      <w:pPr>
        <w:widowControl/>
        <w:spacing w:line="580" w:lineRule="exact"/>
        <w:ind w:left="640" w:firstLine="640" w:firstLineChars="200"/>
        <w:rPr>
          <w:rFonts w:eastAsia="仿宋_GB2312"/>
          <w:sz w:val="32"/>
          <w:szCs w:val="32"/>
        </w:rPr>
      </w:pPr>
      <w:r>
        <w:rPr>
          <w:rFonts w:eastAsia="仿宋_GB2312"/>
          <w:sz w:val="32"/>
          <w:szCs w:val="32"/>
        </w:rPr>
        <w:t>六、预算绩效管理工作开展情况说明</w:t>
      </w:r>
    </w:p>
    <w:p>
      <w:pPr>
        <w:widowControl/>
        <w:spacing w:line="580" w:lineRule="exact"/>
        <w:ind w:left="640" w:firstLine="640" w:firstLineChars="200"/>
        <w:rPr>
          <w:rFonts w:eastAsia="仿宋_GB2312"/>
          <w:sz w:val="32"/>
          <w:szCs w:val="32"/>
        </w:rPr>
      </w:pPr>
      <w:r>
        <w:rPr>
          <w:rFonts w:eastAsia="仿宋_GB2312"/>
          <w:sz w:val="32"/>
          <w:szCs w:val="32"/>
        </w:rPr>
        <w:t>七、其他重要事项的说明</w:t>
      </w:r>
    </w:p>
    <w:p>
      <w:pPr>
        <w:widowControl/>
        <w:spacing w:line="580" w:lineRule="exact"/>
        <w:ind w:left="640" w:firstLine="1344" w:firstLineChars="420"/>
        <w:rPr>
          <w:rFonts w:eastAsia="仿宋_GB2312"/>
          <w:sz w:val="32"/>
          <w:szCs w:val="32"/>
        </w:rPr>
      </w:pPr>
      <w:r>
        <w:rPr>
          <w:rFonts w:eastAsia="仿宋_GB2312"/>
          <w:sz w:val="32"/>
          <w:szCs w:val="32"/>
        </w:rPr>
        <w:t>1.机关运行经费情况</w:t>
      </w:r>
    </w:p>
    <w:p>
      <w:pPr>
        <w:widowControl/>
        <w:spacing w:line="580" w:lineRule="exact"/>
        <w:ind w:left="640" w:firstLine="1344" w:firstLineChars="420"/>
        <w:rPr>
          <w:rFonts w:eastAsia="仿宋_GB2312"/>
          <w:sz w:val="32"/>
          <w:szCs w:val="32"/>
        </w:rPr>
      </w:pPr>
      <w:r>
        <w:rPr>
          <w:rFonts w:eastAsia="仿宋_GB2312"/>
          <w:sz w:val="32"/>
          <w:szCs w:val="32"/>
        </w:rPr>
        <w:t>2.政府采购情况</w:t>
      </w:r>
    </w:p>
    <w:p>
      <w:pPr>
        <w:widowControl/>
        <w:spacing w:line="580" w:lineRule="exact"/>
        <w:ind w:left="640" w:firstLine="1344" w:firstLineChars="420"/>
        <w:rPr>
          <w:rFonts w:eastAsia="仿宋_GB2312"/>
          <w:sz w:val="32"/>
          <w:szCs w:val="32"/>
        </w:rPr>
      </w:pPr>
      <w:r>
        <w:rPr>
          <w:rFonts w:eastAsia="仿宋_GB2312"/>
          <w:sz w:val="32"/>
          <w:szCs w:val="32"/>
        </w:rPr>
        <w:t>3.国有资产占用情况</w:t>
      </w:r>
    </w:p>
    <w:p>
      <w:pPr>
        <w:widowControl/>
        <w:spacing w:line="580" w:lineRule="exact"/>
        <w:ind w:left="640" w:firstLine="1344" w:firstLineChars="420"/>
        <w:rPr>
          <w:rFonts w:eastAsia="仿宋_GB2312"/>
          <w:sz w:val="32"/>
          <w:szCs w:val="32"/>
        </w:rPr>
      </w:pPr>
      <w:r>
        <w:rPr>
          <w:rFonts w:eastAsia="仿宋_GB2312"/>
          <w:sz w:val="32"/>
          <w:szCs w:val="32"/>
        </w:rPr>
        <w:t>4.其他需要说明的情况</w:t>
      </w:r>
    </w:p>
    <w:p>
      <w:pPr>
        <w:widowControl/>
        <w:spacing w:line="580" w:lineRule="exact"/>
        <w:ind w:firstLine="640" w:firstLineChars="200"/>
        <w:rPr>
          <w:rFonts w:eastAsia="黑体"/>
          <w:sz w:val="32"/>
          <w:szCs w:val="32"/>
        </w:rPr>
      </w:pPr>
      <w:r>
        <w:rPr>
          <w:rFonts w:eastAsia="黑体"/>
          <w:sz w:val="32"/>
          <w:szCs w:val="32"/>
        </w:rPr>
        <w:t>第四部分  名词解释</w:t>
      </w:r>
    </w:p>
    <w:p/>
    <w:p/>
    <w:p/>
    <w:p/>
    <w:p/>
    <w:p>
      <w:pPr>
        <w:pStyle w:val="2"/>
        <w:spacing w:line="560" w:lineRule="exact"/>
        <w:jc w:val="center"/>
        <w:rPr>
          <w:rFonts w:ascii="宋体" w:hAnsi="宋体" w:cs="ArialUnicodeMS"/>
          <w:color w:val="000000"/>
          <w:kern w:val="0"/>
        </w:rPr>
      </w:pPr>
      <w:r>
        <w:rPr>
          <w:rFonts w:hint="eastAsia" w:ascii="宋体" w:hAnsi="宋体" w:cs="ArialUnicodeMS"/>
          <w:color w:val="000000"/>
          <w:kern w:val="0"/>
        </w:rPr>
        <w:t>第一部分 部门概况</w:t>
      </w:r>
    </w:p>
    <w:p>
      <w:pPr>
        <w:pStyle w:val="5"/>
        <w:spacing w:before="0" w:after="0" w:line="560" w:lineRule="exact"/>
        <w:ind w:firstLine="643" w:firstLineChars="200"/>
        <w:rPr>
          <w:rFonts w:ascii="黑体" w:hAnsi="Cambria" w:eastAsia="黑体" w:cs="黑体"/>
          <w:kern w:val="0"/>
        </w:rPr>
      </w:pPr>
      <w:r>
        <w:rPr>
          <w:rFonts w:hint="eastAsia" w:ascii="黑体" w:hAnsi="Cambria" w:eastAsia="黑体" w:cs="黑体"/>
          <w:kern w:val="0"/>
        </w:rPr>
        <w:t>一、部门职责</w:t>
      </w:r>
    </w:p>
    <w:p>
      <w:pPr>
        <w:ind w:firstLine="560"/>
        <w:rPr>
          <w:rFonts w:ascii="仿宋_GB2312" w:hAnsi="仿宋" w:eastAsia="仿宋_GB2312"/>
          <w:sz w:val="32"/>
          <w:szCs w:val="32"/>
        </w:rPr>
      </w:pPr>
      <w:r>
        <w:rPr>
          <w:rFonts w:hint="eastAsia" w:ascii="仿宋_GB2312" w:hAnsi="仿宋" w:eastAsia="仿宋_GB2312"/>
          <w:sz w:val="32"/>
          <w:szCs w:val="32"/>
        </w:rPr>
        <w:t>宣传贯彻执行党和国家的路线、方针政策；围绕县委、县政府的中心工作开展新闻宣传，做好各类广播电视节目制作、宣传、采访报道、传输发射、专题片等创作，做好新媒体运营，负责对各类电视广告的审查、制作，建立广播电视安全播出保障体系，加强安全播出管理。组织实施重大公益工程和公益活动。</w:t>
      </w:r>
    </w:p>
    <w:p>
      <w:pPr>
        <w:pStyle w:val="5"/>
        <w:spacing w:before="0" w:after="0" w:line="560" w:lineRule="exact"/>
        <w:ind w:firstLine="643" w:firstLineChars="200"/>
        <w:rPr>
          <w:rFonts w:ascii="黑体" w:hAnsi="Cambria" w:eastAsia="黑体" w:cs="黑体"/>
          <w:kern w:val="0"/>
        </w:rPr>
      </w:pPr>
      <w:r>
        <w:rPr>
          <w:rFonts w:hint="eastAsia" w:ascii="黑体" w:hAnsi="Cambria" w:eastAsia="黑体" w:cs="黑体"/>
          <w:kern w:val="0"/>
        </w:rPr>
        <w:t>二、部门决算单位构成</w:t>
      </w:r>
    </w:p>
    <w:p>
      <w:pPr>
        <w:autoSpaceDE w:val="0"/>
        <w:autoSpaceDN w:val="0"/>
        <w:adjustRightInd w:val="0"/>
        <w:spacing w:after="0" w:line="560" w:lineRule="exact"/>
        <w:ind w:firstLine="640" w:firstLineChars="200"/>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2017 年度，纳入本部门决算汇编范围的独立核算单位</w:t>
      </w:r>
    </w:p>
    <w:p>
      <w:pPr>
        <w:autoSpaceDE w:val="0"/>
        <w:autoSpaceDN w:val="0"/>
        <w:adjustRightInd w:val="0"/>
        <w:spacing w:after="0" w:line="560" w:lineRule="exact"/>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（以下简称“单位”）共1 个，单位基本性质为全额事业单</w:t>
      </w:r>
    </w:p>
    <w:p>
      <w:pPr>
        <w:autoSpaceDE w:val="0"/>
        <w:autoSpaceDN w:val="0"/>
        <w:adjustRightInd w:val="0"/>
        <w:spacing w:after="0" w:line="560" w:lineRule="exact"/>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位，预算管理级次为一级预算单位，执行事业单位会计制度，</w:t>
      </w:r>
    </w:p>
    <w:p>
      <w:pPr>
        <w:spacing w:line="560" w:lineRule="exac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较上年无增减变化。</w:t>
      </w:r>
    </w:p>
    <w:p>
      <w:pPr>
        <w:spacing w:line="560" w:lineRule="exact"/>
        <w:rPr>
          <w:rFonts w:ascii="仿宋_GB2312" w:hAnsi="Cambria" w:eastAsia="仿宋_GB2312" w:cs="ArialUnicodeMS"/>
          <w:kern w:val="0"/>
          <w:sz w:val="32"/>
          <w:szCs w:val="32"/>
        </w:rPr>
      </w:pPr>
    </w:p>
    <w:p>
      <w:pPr>
        <w:spacing w:line="560" w:lineRule="exact"/>
        <w:rPr>
          <w:rFonts w:ascii="仿宋_GB2312" w:hAnsi="Cambria" w:eastAsia="仿宋_GB2312" w:cs="ArialUnicodeMS"/>
          <w:kern w:val="0"/>
          <w:sz w:val="32"/>
          <w:szCs w:val="32"/>
        </w:rPr>
      </w:pPr>
    </w:p>
    <w:p>
      <w:pPr>
        <w:spacing w:line="560" w:lineRule="exact"/>
        <w:rPr>
          <w:rFonts w:ascii="仿宋_GB2312" w:hAnsi="Cambria" w:eastAsia="仿宋_GB2312" w:cs="ArialUnicodeMS"/>
          <w:kern w:val="0"/>
          <w:sz w:val="32"/>
          <w:szCs w:val="32"/>
        </w:rPr>
      </w:pPr>
    </w:p>
    <w:p>
      <w:pPr>
        <w:spacing w:line="560" w:lineRule="exact"/>
        <w:rPr>
          <w:rFonts w:ascii="仿宋_GB2312" w:hAnsi="Cambria" w:eastAsia="仿宋_GB2312" w:cs="ArialUnicodeMS"/>
          <w:kern w:val="0"/>
          <w:sz w:val="32"/>
          <w:szCs w:val="32"/>
        </w:rPr>
      </w:pPr>
    </w:p>
    <w:p>
      <w:pPr>
        <w:spacing w:line="560" w:lineRule="exact"/>
        <w:jc w:val="center"/>
        <w:rPr>
          <w:rFonts w:ascii="宋体" w:hAnsi="宋体" w:cs="ArialUnicodeMS"/>
          <w:b/>
          <w:bCs/>
          <w:color w:val="000000"/>
          <w:kern w:val="0"/>
          <w:sz w:val="44"/>
          <w:szCs w:val="44"/>
        </w:rPr>
      </w:pPr>
      <w:r>
        <w:rPr>
          <w:rFonts w:hint="eastAsia" w:ascii="宋体" w:hAnsi="宋体" w:cs="ArialUnicodeMS"/>
          <w:b/>
          <w:bCs/>
          <w:color w:val="000000"/>
          <w:kern w:val="0"/>
          <w:sz w:val="44"/>
          <w:szCs w:val="44"/>
        </w:rPr>
        <w:t>2017年度部门决算报表</w:t>
      </w:r>
    </w:p>
    <w:p>
      <w:pPr>
        <w:spacing w:line="560" w:lineRule="exact"/>
        <w:jc w:val="center"/>
        <w:rPr>
          <w:rFonts w:hint="eastAsia"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rPr>
        <w:t>(详见附件）</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六、一般公共预算财政拨款基本支出决算经济分类表</w:t>
      </w:r>
    </w:p>
    <w:p>
      <w:pPr>
        <w:widowControl/>
        <w:spacing w:line="580" w:lineRule="exact"/>
        <w:ind w:left="640" w:firstLine="640" w:firstLineChars="200"/>
        <w:rPr>
          <w:rFonts w:eastAsia="仿宋_GB2312"/>
          <w:sz w:val="32"/>
          <w:szCs w:val="32"/>
        </w:rPr>
      </w:pPr>
      <w:r>
        <w:rPr>
          <w:rFonts w:eastAsia="仿宋_GB2312"/>
          <w:sz w:val="32"/>
          <w:szCs w:val="32"/>
        </w:rPr>
        <w:t>七、政府性基金预算财政拨款收入支出决算表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八、国有资本经营预算财政拨款收入支出决算表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九、“三公”经费等相关信息统计表</w:t>
      </w:r>
    </w:p>
    <w:p>
      <w:pPr>
        <w:widowControl/>
        <w:spacing w:line="580" w:lineRule="exact"/>
        <w:ind w:left="640" w:firstLine="640" w:firstLineChars="200"/>
        <w:rPr>
          <w:rFonts w:eastAsia="仿宋_GB2312"/>
          <w:sz w:val="32"/>
          <w:szCs w:val="32"/>
        </w:rPr>
      </w:pPr>
      <w:r>
        <w:rPr>
          <w:rFonts w:eastAsia="仿宋_GB2312"/>
          <w:sz w:val="32"/>
          <w:szCs w:val="32"/>
        </w:rPr>
        <w:t>十、政府采购情况表</w:t>
      </w:r>
    </w:p>
    <w:p>
      <w:pPr>
        <w:ind w:left="420" w:leftChars="200"/>
      </w:pPr>
    </w:p>
    <w:p>
      <w:pPr>
        <w:ind w:left="420" w:leftChars="200"/>
      </w:pPr>
    </w:p>
    <w:p>
      <w:pPr>
        <w:ind w:left="420" w:leftChars="200"/>
      </w:pPr>
    </w:p>
    <w:p>
      <w:pPr>
        <w:ind w:left="420" w:leftChars="200"/>
      </w:pPr>
    </w:p>
    <w:p>
      <w:pPr>
        <w:ind w:left="420" w:leftChars="200"/>
      </w:pPr>
    </w:p>
    <w:p>
      <w:pPr>
        <w:widowControl/>
        <w:spacing w:after="0" w:line="560" w:lineRule="exact"/>
        <w:ind w:firstLine="560" w:firstLineChars="200"/>
        <w:rPr>
          <w:rFonts w:ascii="仿宋_GB2312" w:hAnsi="宋体" w:eastAsia="仿宋_GB2312"/>
          <w:b/>
          <w:sz w:val="28"/>
          <w:szCs w:val="28"/>
          <w:highlight w:val="yellow"/>
        </w:rPr>
      </w:pPr>
      <w:r>
        <w:rPr>
          <w:rFonts w:hint="eastAsia" w:ascii="仿宋_GB2312" w:hAnsi="宋体" w:eastAsia="仿宋_GB2312"/>
          <w:b/>
          <w:sz w:val="28"/>
          <w:szCs w:val="28"/>
          <w:highlight w:val="yellow"/>
        </w:rPr>
        <w:br w:type="page"/>
      </w:r>
    </w:p>
    <w:p>
      <w:pPr>
        <w:pStyle w:val="2"/>
        <w:spacing w:line="560" w:lineRule="exact"/>
        <w:jc w:val="center"/>
        <w:rPr>
          <w:rFonts w:ascii="宋体" w:hAnsi="宋体" w:eastAsia="宋体" w:cs="ArialUnicodeMS"/>
          <w:color w:val="000000"/>
          <w:kern w:val="0"/>
        </w:rPr>
      </w:pPr>
      <w:r>
        <w:rPr>
          <w:rFonts w:hint="eastAsia" w:ascii="宋体" w:hAnsi="宋体" w:eastAsia="宋体" w:cs="ArialUnicodeMS"/>
          <w:color w:val="000000"/>
          <w:kern w:val="0"/>
        </w:rPr>
        <w:t>第三部分部门决算情况说明</w:t>
      </w:r>
    </w:p>
    <w:p>
      <w:pPr>
        <w:pStyle w:val="5"/>
        <w:spacing w:before="0" w:after="0" w:line="560" w:lineRule="exact"/>
        <w:ind w:firstLine="643" w:firstLineChars="200"/>
        <w:rPr>
          <w:rFonts w:ascii="黑体" w:eastAsia="黑体"/>
        </w:rPr>
      </w:pPr>
      <w:r>
        <w:rPr>
          <w:rFonts w:hint="eastAsia" w:ascii="黑体" w:eastAsia="黑体"/>
        </w:rPr>
        <w:t>一、收入</w:t>
      </w:r>
      <w:r>
        <w:rPr>
          <w:rFonts w:hint="eastAsia" w:ascii="黑体" w:hAnsi="Cambria" w:eastAsia="黑体" w:cs="黑体"/>
          <w:kern w:val="0"/>
        </w:rPr>
        <w:t>支出</w:t>
      </w:r>
      <w:r>
        <w:rPr>
          <w:rFonts w:hint="eastAsia" w:ascii="黑体" w:eastAsia="黑体"/>
        </w:rPr>
        <w:t>决算总体情况说明</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年初结转和结余3.2万元，本年收入829.33万元；本年支出715.21万元、年末结转和结余117.32万元。与2016年度决算相比，本年收入增加483.28万元，增长58.27%，主要是人员增加、调资及广告收入交国库返还；本年支出增加372.36万元，增长52.10%，主要是人员增资、精神文明奖、增加人员，支付以前人员工资及购置设备。</w:t>
      </w:r>
    </w:p>
    <w:p>
      <w:pPr>
        <w:pStyle w:val="5"/>
        <w:spacing w:before="0" w:after="0" w:line="560" w:lineRule="exact"/>
        <w:ind w:firstLine="643" w:firstLineChars="200"/>
        <w:rPr>
          <w:rFonts w:ascii="黑体" w:eastAsia="黑体"/>
        </w:rPr>
      </w:pPr>
      <w:r>
        <w:rPr>
          <w:rFonts w:hint="eastAsia" w:ascii="黑体" w:eastAsia="黑体"/>
        </w:rPr>
        <w:t>二、收入决算情况说明</w:t>
      </w:r>
    </w:p>
    <w:p>
      <w:pPr>
        <w:adjustRightInd w:val="0"/>
        <w:snapToGrid w:val="0"/>
        <w:spacing w:after="0" w:line="56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本部门2017年度本年收入合计829.33万元，其中：财政拨款收入829.33万元，占100%。如图所示：</w:t>
      </w:r>
    </w:p>
    <w:p>
      <w:pPr>
        <w:adjustRightInd w:val="0"/>
        <w:snapToGrid w:val="0"/>
        <w:spacing w:after="0" w:line="560" w:lineRule="exact"/>
        <w:jc w:val="center"/>
        <w:rPr>
          <w:rFonts w:hint="eastAsia" w:ascii="仿宋_GB2312" w:eastAsia="仿宋_GB2312" w:cs="DengXian-Regular"/>
          <w:sz w:val="32"/>
          <w:szCs w:val="32"/>
          <w:lang w:eastAsia="zh-CN"/>
        </w:rPr>
      </w:pPr>
      <w:r>
        <w:rPr>
          <w:rFonts w:hint="eastAsia" w:ascii="仿宋_GB2312" w:eastAsia="仿宋_GB2312" w:cs="DengXian-Regular"/>
          <w:sz w:val="32"/>
          <w:szCs w:val="32"/>
          <w:lang w:eastAsia="zh-CN"/>
        </w:rPr>
        <w:t>图</w:t>
      </w:r>
      <w:r>
        <w:rPr>
          <w:rFonts w:hint="eastAsia" w:ascii="仿宋_GB2312" w:eastAsia="仿宋_GB2312" w:cs="DengXian-Regular"/>
          <w:sz w:val="32"/>
          <w:szCs w:val="32"/>
          <w:lang w:val="en-US" w:eastAsia="zh-CN"/>
        </w:rPr>
        <w:t>1：收入决算结构饼状图</w:t>
      </w:r>
    </w:p>
    <w:p>
      <w:pPr>
        <w:adjustRightInd w:val="0"/>
        <w:snapToGrid w:val="0"/>
        <w:spacing w:after="0" w:line="240" w:lineRule="auto"/>
        <w:ind w:firstLine="0" w:firstLineChars="0"/>
        <w:rPr>
          <w:rFonts w:hint="eastAsia" w:ascii="仿宋_GB2312" w:eastAsia="仿宋_GB2312" w:cs="DengXian-Regular"/>
          <w:sz w:val="32"/>
          <w:szCs w:val="32"/>
        </w:rPr>
      </w:pPr>
      <w:r>
        <w:rPr>
          <w:rFonts w:ascii="Times New Roman" w:hAnsi="Times New Roman" w:eastAsia="宋体" w:cs="Times New Roman"/>
          <w:kern w:val="2"/>
          <w:sz w:val="21"/>
          <w:szCs w:val="24"/>
          <w:lang w:val="en-US" w:eastAsia="zh-CN" w:bidi="ar-SA"/>
        </w:rPr>
        <w:pict>
          <v:shape id="_x0000_i1025" o:spid="_x0000_s1025" type="#_x0000_t75" style="height:201.2pt;width:442.1pt;rotation:0f;" o:ole="f" fillcolor="#FFFFFF" filled="f" o:preferrelative="t" stroked="f" coordorigin="0,0" coordsize="21600,21600">
            <v:fill on="f" color2="#FFFFFF" focus="0%"/>
            <v:imagedata gain="65536f" blacklevel="0f" gamma="0" o:title="" r:id="rId5"/>
            <o:lock v:ext="edit" position="f" selection="f" grouping="f" rotation="f" cropping="f" text="f" aspectratio="t"/>
            <w10:wrap type="none"/>
            <w10:anchorlock/>
          </v:shape>
        </w:pict>
      </w:r>
    </w:p>
    <w:p>
      <w:pPr>
        <w:pStyle w:val="5"/>
        <w:spacing w:before="0" w:after="0" w:line="560" w:lineRule="exact"/>
        <w:ind w:firstLine="643" w:firstLineChars="200"/>
        <w:rPr>
          <w:rFonts w:ascii="黑体" w:eastAsia="黑体"/>
        </w:rPr>
      </w:pPr>
      <w:r>
        <w:rPr>
          <w:rFonts w:hint="eastAsia" w:ascii="黑体" w:eastAsia="黑体"/>
        </w:rPr>
        <w:t>三、支出决算情况说明</w:t>
      </w:r>
    </w:p>
    <w:p>
      <w:pPr>
        <w:adjustRightInd w:val="0"/>
        <w:snapToGrid w:val="0"/>
        <w:spacing w:line="56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本部门2017年度本年支出合计715.21万元，其中：基本支出572.12万元，占80.00%；项目支出143.09万元，占20.00%；如图所示：</w:t>
      </w:r>
    </w:p>
    <w:p>
      <w:pPr>
        <w:adjustRightInd w:val="0"/>
        <w:snapToGrid w:val="0"/>
        <w:spacing w:line="560" w:lineRule="exact"/>
        <w:jc w:val="center"/>
        <w:rPr>
          <w:rFonts w:hint="eastAsia" w:ascii="仿宋_GB2312" w:eastAsia="仿宋_GB2312" w:cs="DengXian-Regular"/>
          <w:sz w:val="32"/>
          <w:szCs w:val="32"/>
          <w:lang w:eastAsia="zh-CN"/>
        </w:rPr>
      </w:pPr>
      <w:r>
        <w:rPr>
          <w:rFonts w:hint="eastAsia" w:ascii="仿宋_GB2312" w:eastAsia="仿宋_GB2312" w:cs="DengXian-Regular"/>
          <w:sz w:val="32"/>
          <w:szCs w:val="32"/>
          <w:lang w:eastAsia="zh-CN"/>
        </w:rPr>
        <w:t>图</w:t>
      </w:r>
      <w:r>
        <w:rPr>
          <w:rFonts w:hint="eastAsia" w:ascii="仿宋_GB2312" w:eastAsia="仿宋_GB2312" w:cs="DengXian-Regular"/>
          <w:sz w:val="32"/>
          <w:szCs w:val="32"/>
          <w:lang w:val="en-US" w:eastAsia="zh-CN"/>
        </w:rPr>
        <w:t>2：支出决算结构饼状图</w:t>
      </w:r>
    </w:p>
    <w:p>
      <w:pPr>
        <w:adjustRightInd w:val="0"/>
        <w:snapToGrid w:val="0"/>
        <w:spacing w:after="0" w:line="240" w:lineRule="auto"/>
        <w:ind w:firstLine="0" w:firstLineChars="0"/>
        <w:rPr>
          <w:rFonts w:hint="eastAsia" w:ascii="仿宋_GB2312" w:eastAsia="仿宋_GB2312" w:cs="DengXian-Regular"/>
          <w:sz w:val="32"/>
          <w:szCs w:val="32"/>
        </w:rPr>
      </w:pPr>
      <w:r>
        <w:rPr>
          <w:rFonts w:ascii="Times New Roman" w:hAnsi="Times New Roman" w:eastAsia="宋体" w:cs="Times New Roman"/>
          <w:kern w:val="2"/>
          <w:sz w:val="21"/>
          <w:szCs w:val="24"/>
          <w:lang w:val="en-US" w:eastAsia="zh-CN" w:bidi="ar-SA"/>
        </w:rPr>
        <w:pict>
          <v:shape id="_x0000_i1026" o:spid="_x0000_s1026" type="#_x0000_t75" style="height:201.2pt;width:442.1pt;rotation:0f;" o:ole="f" fillcolor="#FFFFFF" filled="f" o:preferrelative="t" stroked="f" coordorigin="0,0" coordsize="21600,21600">
            <v:fill on="f" color2="#FFFFFF" focus="0%"/>
            <v:imagedata gain="65536f" blacklevel="0f" gamma="0" o:title="" r:id="rId6"/>
            <o:lock v:ext="edit" position="f" selection="f" grouping="f" rotation="f" cropping="f" text="f" aspectratio="t"/>
            <w10:wrap type="none"/>
            <w10:anchorlock/>
          </v:shape>
        </w:pict>
      </w:r>
    </w:p>
    <w:p>
      <w:pPr>
        <w:pStyle w:val="5"/>
        <w:spacing w:before="0" w:after="0" w:line="560" w:lineRule="exact"/>
        <w:ind w:firstLine="643" w:firstLineChars="200"/>
        <w:rPr>
          <w:rFonts w:ascii="黑体" w:eastAsia="黑体"/>
        </w:rPr>
      </w:pPr>
      <w:r>
        <w:rPr>
          <w:rFonts w:hint="eastAsia" w:ascii="黑体" w:eastAsia="黑体"/>
        </w:rPr>
        <w:t>四、</w:t>
      </w:r>
      <w:r>
        <w:rPr>
          <w:rFonts w:hint="eastAsia" w:ascii="黑体" w:hAnsi="Cambria" w:eastAsia="黑体" w:cs="黑体"/>
          <w:kern w:val="0"/>
        </w:rPr>
        <w:t>财政</w:t>
      </w:r>
      <w:r>
        <w:rPr>
          <w:rFonts w:hint="eastAsia" w:ascii="黑体" w:eastAsia="黑体"/>
        </w:rPr>
        <w:t>拨款收入支出决算总体情况说明</w:t>
      </w:r>
    </w:p>
    <w:p>
      <w:pPr>
        <w:spacing w:after="0" w:line="560" w:lineRule="exact"/>
        <w:ind w:firstLine="640"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（一）财政拨款收支与2016 年度决算对比情况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财政拨款收支全部为一般公共预算财政拨款收支。一般公共预算财政拨款年初结转和结余3.2万元、本年收入829.33万元；本年支出715.12万元、年末结转和结余117.32万元。与2016年度决算相比，一般公共预算财政拨款本年收入增加183.28万元，增长58.27%，主要是人员增加调资及精神文明奖增加及广告收入交入国库纳入财政预算；本年支出增加372.36万元，增长52.10%，主要是人员增资、精神文明奖、增加人员，支付以前人员工资，购置设备。</w:t>
      </w:r>
    </w:p>
    <w:p>
      <w:pPr>
        <w:spacing w:after="0" w:line="560" w:lineRule="exact"/>
        <w:ind w:firstLine="640"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一般公共预算财政拨款本年收入较2017年初预算增加418.8万元，增长50.50%，主要是主要是人员增加调资及精神文明奖增加及广告收入交入国库纳入财政预算；本年支出增加301.99万元，增长42.22%，主要是人员增资、精神文明奖、增加人员，支付以前人员工资，购置设备。</w:t>
      </w:r>
    </w:p>
    <w:p>
      <w:pPr>
        <w:pStyle w:val="5"/>
        <w:spacing w:before="0" w:after="0" w:line="560" w:lineRule="exact"/>
        <w:ind w:firstLine="643" w:firstLineChars="200"/>
        <w:rPr>
          <w:rFonts w:ascii="黑体" w:eastAsia="黑体"/>
        </w:rPr>
      </w:pPr>
      <w:r>
        <w:rPr>
          <w:rFonts w:hint="eastAsia" w:ascii="黑体" w:eastAsia="黑体"/>
        </w:rPr>
        <w:t>五、“三公” 经费支出决算情况说明</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本部门2017年度“三公”经费支出共计1.73万元，较年初预算减少1.52万元，降低46.77%，主要是公务用车运行费的减少；较2016年度决算减少0.76万元，降低30.52%，主要是公务用车维护费的减少。具体情况如下：</w:t>
      </w:r>
    </w:p>
    <w:p>
      <w:pPr>
        <w:adjustRightInd w:val="0"/>
        <w:snapToGrid w:val="0"/>
        <w:spacing w:after="0" w:line="560" w:lineRule="exact"/>
        <w:ind w:firstLine="640" w:firstLineChars="200"/>
        <w:rPr>
          <w:rFonts w:hint="eastAsia" w:ascii="仿宋_GB2312" w:eastAsia="仿宋_GB2312" w:cs="DengXian-Regular"/>
          <w:sz w:val="32"/>
          <w:szCs w:val="32"/>
        </w:rPr>
      </w:pPr>
      <w:r>
        <w:rPr>
          <w:rFonts w:hint="eastAsia" w:ascii="楷体_GB2312" w:eastAsia="楷体_GB2312" w:cs="DengXian-Bold"/>
          <w:b/>
          <w:bCs/>
          <w:sz w:val="32"/>
          <w:szCs w:val="32"/>
        </w:rPr>
        <w:t>（一）因公出国（境）费支出0万元。</w:t>
      </w:r>
      <w:r>
        <w:rPr>
          <w:rFonts w:hint="eastAsia" w:ascii="仿宋_GB2312" w:eastAsia="仿宋_GB2312" w:cs="DengXian-Regular"/>
          <w:sz w:val="32"/>
          <w:szCs w:val="32"/>
        </w:rPr>
        <w:t>本部门2017年度参加其他单位组织的因公出国（境）团组0个、共0人/无本单位组织的出国（境）团组。因公出国（境）费支出较年初预算</w:t>
      </w:r>
      <w:r>
        <w:rPr>
          <w:rFonts w:hint="eastAsia" w:ascii="仿宋_GB2312" w:eastAsia="仿宋_GB2312" w:cs="DengXian-Regular"/>
          <w:sz w:val="32"/>
          <w:szCs w:val="32"/>
          <w:lang w:val="en-US" w:eastAsia="zh-CN"/>
        </w:rPr>
        <w:t>无增减变化</w:t>
      </w:r>
      <w:r>
        <w:rPr>
          <w:rFonts w:hint="eastAsia" w:ascii="仿宋_GB2312" w:eastAsia="仿宋_GB2312" w:cs="DengXian-Regular"/>
          <w:sz w:val="32"/>
          <w:szCs w:val="32"/>
        </w:rPr>
        <w:t>，；较2016年度决算</w:t>
      </w:r>
      <w:r>
        <w:rPr>
          <w:rFonts w:hint="eastAsia" w:ascii="仿宋_GB2312" w:eastAsia="仿宋_GB2312" w:cs="DengXian-Regular"/>
          <w:sz w:val="32"/>
          <w:szCs w:val="32"/>
          <w:lang w:val="en-US" w:eastAsia="zh-CN"/>
        </w:rPr>
        <w:t>无增减变化</w:t>
      </w:r>
      <w:r>
        <w:rPr>
          <w:rFonts w:hint="eastAsia" w:ascii="仿宋_GB2312" w:eastAsia="仿宋_GB2312" w:cs="DengXian-Regular"/>
          <w:sz w:val="32"/>
          <w:szCs w:val="32"/>
        </w:rPr>
        <w:t xml:space="preserve">。 </w:t>
      </w:r>
    </w:p>
    <w:p>
      <w:pPr>
        <w:adjustRightInd w:val="0"/>
        <w:snapToGrid w:val="0"/>
        <w:spacing w:after="0" w:line="560" w:lineRule="exact"/>
        <w:ind w:firstLine="640"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（二）公务用车购置及运行维护费支出1.48万元。</w:t>
      </w:r>
      <w:r>
        <w:rPr>
          <w:rFonts w:hint="eastAsia" w:ascii="仿宋_GB2312" w:eastAsia="仿宋_GB2312" w:cs="DengXian-Regular"/>
          <w:sz w:val="32"/>
          <w:szCs w:val="32"/>
        </w:rPr>
        <w:t>本部门2017年度公务用车购置及运行维护费较年初预算减少1.52万元，降低50.67%,主要是汽车保险下降及维修成本的降低、出车次数的减少；较2016年度决算减少0.47万元，降低21.36%,主要是汽车保险下降及维修成本的降低。</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本部门2017年度公务用车购置0辆，发生“公务用车购置”经费支出0元，主要为未发生公务用车购置量经费支出。</w:t>
      </w:r>
      <w:r>
        <w:rPr>
          <w:rFonts w:hint="eastAsia" w:ascii="仿宋_GB2312" w:eastAsia="仿宋_GB2312" w:cs="DengXian-Regular"/>
          <w:sz w:val="32"/>
          <w:szCs w:val="32"/>
          <w:lang w:eastAsia="zh-CN"/>
        </w:rPr>
        <w:t>较年初预算无增减变化；较</w:t>
      </w:r>
      <w:r>
        <w:rPr>
          <w:rFonts w:hint="eastAsia" w:ascii="仿宋_GB2312" w:eastAsia="仿宋_GB2312" w:cs="DengXian-Regular"/>
          <w:sz w:val="32"/>
          <w:szCs w:val="32"/>
          <w:lang w:val="en-US" w:eastAsia="zh-CN"/>
        </w:rPr>
        <w:t>2016年度决算无增减变化。</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2017年度单位公务用车保有量1辆。公车运行维护费支出较年初预算减少1.52万元，降低50.67%,主要是汽车保险下降及维修成本的降低、出车次数的减少；较2016年度决算减少0.47万元，降低21.36%，主要是汽车保险下降及维修成本的降低。。</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（三）公务接待费支出0.25万元。</w:t>
      </w:r>
      <w:r>
        <w:rPr>
          <w:rFonts w:hint="eastAsia" w:ascii="仿宋_GB2312" w:eastAsia="仿宋_GB2312" w:cs="DengXian-Regular"/>
          <w:sz w:val="32"/>
          <w:szCs w:val="32"/>
        </w:rPr>
        <w:t>本部门2017年度公务接待共5批次、85人次。公务接待费支出较年初预算无变化，较2016年度决算减少0.09万元，降低26.47%,主要是接待次数、人员减少。</w:t>
      </w:r>
    </w:p>
    <w:p>
      <w:pPr>
        <w:pStyle w:val="5"/>
        <w:spacing w:before="0" w:after="0" w:line="560" w:lineRule="exact"/>
        <w:ind w:firstLine="643" w:firstLineChars="200"/>
        <w:rPr>
          <w:rFonts w:ascii="黑体" w:eastAsia="黑体" w:cs="Times New Roman"/>
        </w:rPr>
      </w:pPr>
      <w:r>
        <w:rPr>
          <w:rFonts w:hint="eastAsia" w:ascii="黑体" w:eastAsia="黑体" w:cs="Times New Roman"/>
        </w:rPr>
        <w:t>六、绩效预算</w:t>
      </w:r>
      <w:r>
        <w:rPr>
          <w:rFonts w:hint="eastAsia" w:ascii="黑体" w:hAnsi="Cambria" w:eastAsia="黑体" w:cs="黑体"/>
          <w:kern w:val="0"/>
        </w:rPr>
        <w:t>管理</w:t>
      </w:r>
      <w:r>
        <w:rPr>
          <w:rFonts w:hint="eastAsia" w:ascii="黑体" w:eastAsia="黑体" w:cs="Times New Roman"/>
        </w:rPr>
        <w:t>工作开展情况说明</w:t>
      </w:r>
    </w:p>
    <w:p>
      <w:pPr>
        <w:ind w:firstLine="720" w:firstLineChars="225"/>
        <w:rPr>
          <w:rFonts w:hint="eastAsia" w:ascii="仿宋_GB2312" w:eastAsia="仿宋_GB2312" w:cs="DengXian-Regular"/>
          <w:sz w:val="32"/>
          <w:szCs w:val="32"/>
        </w:rPr>
      </w:pPr>
      <w:r>
        <w:rPr>
          <w:rFonts w:hint="eastAsia" w:ascii="仿宋_GB2312" w:eastAsia="仿宋_GB2312" w:cs="DengXian-Regular"/>
          <w:sz w:val="32"/>
          <w:szCs w:val="32"/>
        </w:rPr>
        <w:t>（一）绩效管理工作开展情况</w:t>
      </w:r>
      <w:r>
        <w:rPr>
          <w:rFonts w:hint="eastAsia" w:ascii="仿宋_GB2312" w:eastAsia="仿宋_GB2312" w:cs="DengXian-Regular"/>
          <w:sz w:val="32"/>
          <w:szCs w:val="32"/>
          <w:lang w:eastAsia="zh-CN"/>
        </w:rPr>
        <w:t>。</w:t>
      </w:r>
      <w:r>
        <w:rPr>
          <w:rFonts w:hint="eastAsia" w:ascii="仿宋_GB2312" w:eastAsia="仿宋_GB2312" w:cs="DengXian-Regular"/>
          <w:sz w:val="32"/>
          <w:szCs w:val="32"/>
        </w:rPr>
        <w:t>根据绩效预算管理改革督察要求，本单位认真开展了预算绩效管理改革开展情况自查，对部门全面规范绩效预算编制、严格预算执行管理、推进绩效评价工作、推进预决算信息公开等方面进行了自评，考核结果为良好。</w:t>
      </w:r>
    </w:p>
    <w:p>
      <w:pPr>
        <w:adjustRightInd w:val="0"/>
        <w:snapToGrid w:val="0"/>
        <w:spacing w:after="0" w:line="50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（二）预算项目绩效评价开展情况</w:t>
      </w:r>
    </w:p>
    <w:p>
      <w:pPr>
        <w:adjustRightInd w:val="0"/>
        <w:snapToGrid w:val="0"/>
        <w:spacing w:after="0" w:line="50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shd w:val="clear" w:color="auto" w:fill="auto"/>
        </w:rPr>
        <w:t>根据预算绩效管理要求，本单位组织对2017年度一般公共预算项目支出全面开展绩效自评，涉及上海皮革招商宣传片经费</w:t>
      </w:r>
      <w:r>
        <w:rPr>
          <w:rFonts w:hint="eastAsia" w:ascii="仿宋_GB2312" w:eastAsia="仿宋_GB2312" w:cs="DengXian-Regular"/>
          <w:sz w:val="32"/>
          <w:szCs w:val="32"/>
          <w:shd w:val="clear" w:color="auto" w:fill="auto"/>
          <w:lang w:eastAsia="zh-CN"/>
        </w:rPr>
        <w:t>、</w:t>
      </w:r>
      <w:r>
        <w:rPr>
          <w:rFonts w:hint="eastAsia" w:ascii="仿宋_GB2312" w:eastAsia="仿宋_GB2312" w:cs="DengXian-Regular"/>
          <w:sz w:val="32"/>
          <w:szCs w:val="32"/>
          <w:shd w:val="clear" w:color="auto" w:fill="auto"/>
        </w:rPr>
        <w:t>与省市栏目配套设备资金</w:t>
      </w:r>
      <w:r>
        <w:rPr>
          <w:rFonts w:hint="eastAsia" w:ascii="仿宋_GB2312" w:eastAsia="仿宋_GB2312" w:cs="DengXian-Regular"/>
          <w:sz w:val="32"/>
          <w:szCs w:val="32"/>
          <w:shd w:val="clear" w:color="auto" w:fill="auto"/>
          <w:lang w:eastAsia="zh-CN"/>
        </w:rPr>
        <w:t>、县级</w:t>
      </w:r>
      <w:r>
        <w:rPr>
          <w:rFonts w:hint="eastAsia" w:ascii="仿宋_GB2312" w:eastAsia="仿宋_GB2312" w:cs="DengXian-Regular"/>
          <w:sz w:val="32"/>
          <w:szCs w:val="32"/>
          <w:shd w:val="clear" w:color="auto" w:fill="auto"/>
        </w:rPr>
        <w:t>公共文化服务体系建设资金</w:t>
      </w:r>
      <w:r>
        <w:rPr>
          <w:rFonts w:hint="eastAsia" w:ascii="仿宋_GB2312" w:eastAsia="仿宋_GB2312" w:cs="DengXian-Regular"/>
          <w:sz w:val="32"/>
          <w:szCs w:val="32"/>
          <w:shd w:val="clear" w:color="auto" w:fill="auto"/>
          <w:lang w:eastAsia="zh-CN"/>
        </w:rPr>
        <w:t>、</w:t>
      </w:r>
      <w:r>
        <w:rPr>
          <w:rFonts w:hint="eastAsia" w:ascii="仿宋_GB2312" w:eastAsia="仿宋_GB2312" w:cs="DengXian-Regular"/>
          <w:sz w:val="32"/>
          <w:szCs w:val="32"/>
          <w:shd w:val="clear" w:color="auto" w:fill="auto"/>
        </w:rPr>
        <w:t>治理散乱污企业工作经费</w:t>
      </w:r>
      <w:r>
        <w:rPr>
          <w:rFonts w:hint="eastAsia" w:ascii="仿宋_GB2312" w:eastAsia="仿宋_GB2312" w:cs="DengXian-Regular"/>
          <w:sz w:val="32"/>
          <w:szCs w:val="32"/>
          <w:shd w:val="clear" w:color="auto" w:fill="auto"/>
          <w:lang w:eastAsia="zh-CN"/>
        </w:rPr>
        <w:t>、</w:t>
      </w:r>
      <w:r>
        <w:rPr>
          <w:rFonts w:hint="eastAsia" w:ascii="仿宋_GB2312" w:eastAsia="仿宋_GB2312" w:cs="DengXian-Regular"/>
          <w:sz w:val="32"/>
          <w:szCs w:val="32"/>
          <w:shd w:val="clear" w:color="auto" w:fill="auto"/>
        </w:rPr>
        <w:t>无极之声报刊征订费用</w:t>
      </w:r>
      <w:r>
        <w:rPr>
          <w:rFonts w:hint="eastAsia" w:ascii="仿宋_GB2312" w:eastAsia="仿宋_GB2312" w:cs="DengXian-Regular"/>
          <w:sz w:val="32"/>
          <w:szCs w:val="32"/>
          <w:shd w:val="clear" w:color="auto" w:fill="auto"/>
          <w:lang w:eastAsia="zh-CN"/>
        </w:rPr>
        <w:t>、</w:t>
      </w:r>
      <w:r>
        <w:rPr>
          <w:rFonts w:hint="eastAsia" w:ascii="仿宋_GB2312" w:eastAsia="仿宋_GB2312" w:cs="DengXian-Regular"/>
          <w:sz w:val="32"/>
          <w:szCs w:val="32"/>
          <w:shd w:val="clear" w:color="auto" w:fill="auto"/>
        </w:rPr>
        <w:t>电视发展专项资金</w:t>
      </w:r>
      <w:r>
        <w:rPr>
          <w:rFonts w:hint="eastAsia" w:ascii="仿宋_GB2312" w:eastAsia="仿宋_GB2312" w:cs="DengXian-Regular"/>
          <w:sz w:val="32"/>
          <w:szCs w:val="32"/>
          <w:shd w:val="clear" w:color="auto" w:fill="auto"/>
          <w:lang w:eastAsia="zh-CN"/>
        </w:rPr>
        <w:t>及中央补助地方</w:t>
      </w:r>
      <w:r>
        <w:rPr>
          <w:rFonts w:hint="eastAsia" w:ascii="仿宋_GB2312" w:eastAsia="仿宋_GB2312" w:cs="DengXian-Regular"/>
          <w:sz w:val="32"/>
          <w:szCs w:val="32"/>
          <w:shd w:val="clear" w:color="auto" w:fill="auto"/>
        </w:rPr>
        <w:t>公共文化服务体系建设专项资金等</w:t>
      </w:r>
      <w:r>
        <w:rPr>
          <w:rFonts w:hint="eastAsia" w:ascii="仿宋_GB2312" w:eastAsia="仿宋_GB2312" w:cs="DengXian-Regular"/>
          <w:sz w:val="32"/>
          <w:szCs w:val="32"/>
          <w:shd w:val="clear" w:color="auto" w:fill="auto"/>
          <w:lang w:val="en-US" w:eastAsia="zh-CN"/>
        </w:rPr>
        <w:t>11</w:t>
      </w:r>
      <w:r>
        <w:rPr>
          <w:rFonts w:hint="eastAsia" w:ascii="仿宋_GB2312" w:eastAsia="仿宋_GB2312" w:cs="DengXian-Regular"/>
          <w:sz w:val="32"/>
          <w:szCs w:val="32"/>
          <w:shd w:val="clear" w:color="auto" w:fill="auto"/>
        </w:rPr>
        <w:t>个项目，涉及资金</w:t>
      </w:r>
      <w:r>
        <w:rPr>
          <w:rFonts w:hint="eastAsia" w:ascii="仿宋_GB2312" w:eastAsia="仿宋_GB2312" w:cs="DengXian-Regular"/>
          <w:sz w:val="32"/>
          <w:szCs w:val="32"/>
          <w:shd w:val="clear" w:color="auto" w:fill="auto"/>
          <w:lang w:val="en-US" w:eastAsia="zh-CN"/>
        </w:rPr>
        <w:t>214.8</w:t>
      </w:r>
      <w:r>
        <w:rPr>
          <w:rFonts w:hint="eastAsia" w:ascii="仿宋_GB2312" w:eastAsia="仿宋_GB2312" w:cs="DengXian-Regular"/>
          <w:sz w:val="32"/>
          <w:szCs w:val="32"/>
          <w:shd w:val="clear" w:color="auto" w:fill="auto"/>
        </w:rPr>
        <w:t>万元。从评价情况看，评价结果为优秀的项目有</w:t>
      </w:r>
      <w:r>
        <w:rPr>
          <w:rFonts w:hint="eastAsia" w:ascii="仿宋_GB2312" w:eastAsia="仿宋_GB2312" w:cs="DengXian-Regular"/>
          <w:sz w:val="32"/>
          <w:szCs w:val="32"/>
          <w:shd w:val="clear" w:color="auto" w:fill="auto"/>
          <w:lang w:val="en-US" w:eastAsia="zh-CN"/>
        </w:rPr>
        <w:t>7</w:t>
      </w:r>
      <w:r>
        <w:rPr>
          <w:rFonts w:hint="eastAsia" w:ascii="仿宋_GB2312" w:eastAsia="仿宋_GB2312" w:cs="DengXian-Regular"/>
          <w:sz w:val="32"/>
          <w:szCs w:val="32"/>
          <w:shd w:val="clear" w:color="auto" w:fill="auto"/>
        </w:rPr>
        <w:t>个，良好的项目有</w:t>
      </w:r>
      <w:r>
        <w:rPr>
          <w:rFonts w:hint="eastAsia" w:ascii="仿宋_GB2312" w:eastAsia="仿宋_GB2312" w:cs="DengXian-Regular"/>
          <w:sz w:val="32"/>
          <w:szCs w:val="32"/>
          <w:shd w:val="clear" w:color="auto" w:fill="auto"/>
          <w:lang w:val="en-US" w:eastAsia="zh-CN"/>
        </w:rPr>
        <w:t>4</w:t>
      </w:r>
      <w:r>
        <w:rPr>
          <w:rFonts w:hint="eastAsia" w:ascii="仿宋_GB2312" w:eastAsia="仿宋_GB2312" w:cs="DengXian-Regular"/>
          <w:sz w:val="32"/>
          <w:szCs w:val="32"/>
          <w:shd w:val="clear" w:color="auto" w:fill="auto"/>
        </w:rPr>
        <w:t>个</w:t>
      </w:r>
    </w:p>
    <w:p>
      <w:pPr>
        <w:ind w:firstLine="720" w:firstLineChars="225"/>
        <w:rPr>
          <w:rFonts w:hint="eastAsia" w:ascii="仿宋_GB2312" w:eastAsia="仿宋_GB2312" w:cs="DengXian-Regular"/>
          <w:sz w:val="32"/>
          <w:szCs w:val="32"/>
        </w:rPr>
      </w:pPr>
      <w:r>
        <w:rPr>
          <w:rFonts w:hint="eastAsia" w:ascii="仿宋_GB2312" w:eastAsia="仿宋_GB2312" w:cs="DengXian-Regular"/>
          <w:sz w:val="32"/>
          <w:szCs w:val="32"/>
        </w:rPr>
        <w:t>（三）预算项目绩效自评选例</w:t>
      </w:r>
    </w:p>
    <w:p>
      <w:pPr>
        <w:ind w:firstLine="720" w:firstLineChars="225"/>
      </w:pPr>
      <w:r>
        <w:rPr>
          <w:rFonts w:hint="eastAsia" w:ascii="仿宋_GB2312" w:eastAsia="仿宋_GB2312" w:cs="DengXian-Regular"/>
          <w:sz w:val="32"/>
          <w:szCs w:val="32"/>
        </w:rPr>
        <w:t>    本单位</w:t>
      </w:r>
      <w:r>
        <w:rPr>
          <w:rFonts w:hint="eastAsia" w:ascii="仿宋_GB2312" w:eastAsia="仿宋_GB2312" w:cs="DengXian-Regular"/>
          <w:sz w:val="32"/>
          <w:szCs w:val="32"/>
          <w:lang w:eastAsia="zh-CN"/>
        </w:rPr>
        <w:t>对</w:t>
      </w:r>
      <w:r>
        <w:rPr>
          <w:rFonts w:hint="eastAsia" w:ascii="仿宋_GB2312" w:eastAsia="仿宋_GB2312" w:cs="DengXian-Regular"/>
          <w:sz w:val="32"/>
          <w:szCs w:val="32"/>
          <w:shd w:val="clear" w:color="auto" w:fill="auto"/>
        </w:rPr>
        <w:t>上海皮革招商宣传片经费</w:t>
      </w:r>
      <w:r>
        <w:rPr>
          <w:rFonts w:hint="eastAsia" w:ascii="仿宋_GB2312" w:eastAsia="仿宋_GB2312" w:cs="DengXian-Regular"/>
          <w:sz w:val="32"/>
          <w:szCs w:val="32"/>
        </w:rPr>
        <w:t>项目绩效自评：根据年初设定的绩效目标，</w:t>
      </w:r>
      <w:r>
        <w:rPr>
          <w:rFonts w:hint="eastAsia" w:ascii="仿宋_GB2312" w:eastAsia="仿宋_GB2312" w:cs="DengXian-Regular"/>
          <w:sz w:val="32"/>
          <w:szCs w:val="32"/>
          <w:shd w:val="clear" w:color="auto" w:fill="auto"/>
        </w:rPr>
        <w:t>上海皮革招商宣传片经费</w:t>
      </w:r>
      <w:r>
        <w:rPr>
          <w:rFonts w:hint="eastAsia" w:ascii="仿宋_GB2312" w:eastAsia="仿宋_GB2312" w:cs="DengXian-Regular"/>
          <w:sz w:val="32"/>
          <w:szCs w:val="32"/>
        </w:rPr>
        <w:t>项目自评结果为</w:t>
      </w:r>
      <w:r>
        <w:rPr>
          <w:rFonts w:hint="eastAsia" w:ascii="仿宋_GB2312" w:eastAsia="仿宋_GB2312" w:cs="DengXian-Regular"/>
          <w:sz w:val="32"/>
          <w:szCs w:val="32"/>
          <w:lang w:eastAsia="zh-CN"/>
        </w:rPr>
        <w:t>优秀</w:t>
      </w:r>
      <w:r>
        <w:rPr>
          <w:rFonts w:hint="eastAsia" w:ascii="仿宋_GB2312" w:eastAsia="仿宋_GB2312" w:cs="DengXian-Regular"/>
          <w:sz w:val="32"/>
          <w:szCs w:val="32"/>
        </w:rPr>
        <w:t>。项目全年预算数为</w:t>
      </w:r>
      <w:r>
        <w:rPr>
          <w:rFonts w:hint="eastAsia" w:ascii="仿宋_GB2312" w:eastAsia="仿宋_GB2312" w:cs="DengXian-Regular"/>
          <w:sz w:val="32"/>
          <w:szCs w:val="32"/>
          <w:lang w:val="en-US" w:eastAsia="zh-CN"/>
        </w:rPr>
        <w:t>31.2</w:t>
      </w:r>
      <w:r>
        <w:rPr>
          <w:rFonts w:hint="eastAsia" w:ascii="仿宋_GB2312" w:eastAsia="仿宋_GB2312" w:cs="DengXian-Regular"/>
          <w:sz w:val="32"/>
          <w:szCs w:val="32"/>
        </w:rPr>
        <w:t>万元</w:t>
      </w:r>
      <w:r>
        <w:rPr>
          <w:rFonts w:hint="eastAsia" w:ascii="仿宋_GB2312" w:eastAsia="仿宋_GB2312" w:cs="DengXian-Regular"/>
          <w:sz w:val="32"/>
          <w:szCs w:val="32"/>
          <w:lang w:eastAsia="zh-CN"/>
        </w:rPr>
        <w:t>，执行数</w:t>
      </w:r>
      <w:r>
        <w:rPr>
          <w:rFonts w:hint="eastAsia" w:ascii="仿宋_GB2312" w:eastAsia="仿宋_GB2312" w:cs="DengXian-Regular"/>
          <w:sz w:val="32"/>
          <w:szCs w:val="32"/>
          <w:lang w:val="en-US" w:eastAsia="zh-CN"/>
        </w:rPr>
        <w:t>31.2万元，</w:t>
      </w:r>
      <w:r>
        <w:rPr>
          <w:rFonts w:hint="eastAsia" w:ascii="仿宋_GB2312" w:eastAsia="仿宋_GB2312" w:cs="DengXian-Regular"/>
          <w:sz w:val="32"/>
          <w:szCs w:val="32"/>
        </w:rPr>
        <w:t>完成预算的100%。本单位</w:t>
      </w:r>
      <w:r>
        <w:rPr>
          <w:rFonts w:hint="eastAsia" w:ascii="仿宋_GB2312" w:eastAsia="仿宋_GB2312" w:cs="DengXian-Regular"/>
          <w:sz w:val="32"/>
          <w:szCs w:val="32"/>
          <w:lang w:eastAsia="zh-CN"/>
        </w:rPr>
        <w:t>对</w:t>
      </w:r>
      <w:r>
        <w:rPr>
          <w:rFonts w:hint="eastAsia" w:ascii="仿宋_GB2312" w:eastAsia="仿宋_GB2312" w:cs="DengXian-Regular"/>
          <w:sz w:val="32"/>
          <w:szCs w:val="32"/>
          <w:shd w:val="clear" w:color="auto" w:fill="auto"/>
        </w:rPr>
        <w:t>治理散乱污企业工作经费</w:t>
      </w:r>
      <w:r>
        <w:rPr>
          <w:rFonts w:hint="eastAsia" w:ascii="仿宋_GB2312" w:eastAsia="仿宋_GB2312" w:cs="DengXian-Regular"/>
          <w:sz w:val="32"/>
          <w:szCs w:val="32"/>
        </w:rPr>
        <w:t>项目绩效自评：根据年初设定的绩效目标，</w:t>
      </w:r>
      <w:r>
        <w:rPr>
          <w:rFonts w:hint="eastAsia" w:ascii="仿宋_GB2312" w:eastAsia="仿宋_GB2312" w:cs="DengXian-Regular"/>
          <w:sz w:val="32"/>
          <w:szCs w:val="32"/>
          <w:shd w:val="clear" w:color="auto" w:fill="auto"/>
        </w:rPr>
        <w:t>治理散乱污企业工作经费</w:t>
      </w:r>
      <w:r>
        <w:rPr>
          <w:rFonts w:hint="eastAsia" w:ascii="仿宋_GB2312" w:eastAsia="仿宋_GB2312" w:cs="DengXian-Regular"/>
          <w:sz w:val="32"/>
          <w:szCs w:val="32"/>
        </w:rPr>
        <w:t>项目自评结果为良好。项目全年预算数为</w:t>
      </w:r>
      <w:r>
        <w:rPr>
          <w:rFonts w:hint="eastAsia" w:ascii="仿宋_GB2312" w:eastAsia="仿宋_GB2312" w:cs="DengXian-Regular"/>
          <w:sz w:val="32"/>
          <w:szCs w:val="32"/>
          <w:lang w:val="en-US" w:eastAsia="zh-CN"/>
        </w:rPr>
        <w:t>10</w:t>
      </w:r>
      <w:r>
        <w:rPr>
          <w:rFonts w:hint="eastAsia" w:ascii="仿宋_GB2312" w:eastAsia="仿宋_GB2312" w:cs="DengXian-Regular"/>
          <w:sz w:val="32"/>
          <w:szCs w:val="32"/>
        </w:rPr>
        <w:t>万元。</w:t>
      </w:r>
      <w:r>
        <w:rPr>
          <w:rFonts w:hint="eastAsia" w:ascii="仿宋_GB2312" w:eastAsia="仿宋_GB2312" w:cs="DengXian-Regular"/>
          <w:sz w:val="32"/>
          <w:szCs w:val="32"/>
          <w:lang w:eastAsia="zh-CN"/>
        </w:rPr>
        <w:t>执行数</w:t>
      </w:r>
      <w:r>
        <w:rPr>
          <w:rFonts w:hint="eastAsia" w:ascii="仿宋_GB2312" w:eastAsia="仿宋_GB2312" w:cs="DengXian-Regular"/>
          <w:sz w:val="32"/>
          <w:szCs w:val="32"/>
          <w:lang w:val="en-US" w:eastAsia="zh-CN"/>
        </w:rPr>
        <w:t>10万元，</w:t>
      </w:r>
      <w:r>
        <w:rPr>
          <w:rFonts w:hint="eastAsia" w:ascii="仿宋_GB2312" w:eastAsia="仿宋_GB2312" w:cs="DengXian-Regular"/>
          <w:sz w:val="32"/>
          <w:szCs w:val="32"/>
        </w:rPr>
        <w:t>完成预算的</w:t>
      </w:r>
      <w:r>
        <w:rPr>
          <w:rFonts w:hint="eastAsia" w:ascii="仿宋_GB2312" w:eastAsia="仿宋_GB2312" w:cs="DengXian-Regular"/>
          <w:sz w:val="32"/>
          <w:szCs w:val="32"/>
          <w:lang w:val="en-US" w:eastAsia="zh-CN"/>
        </w:rPr>
        <w:t>100</w:t>
      </w:r>
      <w:r>
        <w:rPr>
          <w:rFonts w:hint="eastAsia" w:ascii="仿宋_GB2312" w:eastAsia="仿宋_GB2312" w:cs="DengXian-Regular"/>
          <w:sz w:val="32"/>
          <w:szCs w:val="32"/>
        </w:rPr>
        <w:t>%</w:t>
      </w:r>
      <w:r>
        <w:rPr>
          <w:rFonts w:hint="eastAsia" w:ascii="仿宋_GB2312" w:eastAsia="仿宋_GB2312" w:cs="DengXian-Regular"/>
          <w:sz w:val="32"/>
          <w:szCs w:val="32"/>
          <w:lang w:eastAsia="zh-CN"/>
        </w:rPr>
        <w:t>，</w:t>
      </w:r>
      <w:r>
        <w:rPr>
          <w:rFonts w:hint="eastAsia" w:ascii="仿宋_GB2312" w:eastAsia="仿宋_GB2312" w:cs="DengXian-Regular"/>
          <w:sz w:val="32"/>
          <w:szCs w:val="32"/>
        </w:rPr>
        <w:t>本单位</w:t>
      </w:r>
      <w:r>
        <w:rPr>
          <w:rFonts w:hint="eastAsia" w:ascii="仿宋_GB2312" w:eastAsia="仿宋_GB2312" w:cs="DengXian-Regular"/>
          <w:sz w:val="32"/>
          <w:szCs w:val="32"/>
          <w:lang w:eastAsia="zh-CN"/>
        </w:rPr>
        <w:t>对</w:t>
      </w:r>
      <w:r>
        <w:rPr>
          <w:rFonts w:hint="eastAsia" w:ascii="仿宋_GB2312" w:eastAsia="仿宋_GB2312" w:cs="DengXian-Regular"/>
          <w:sz w:val="32"/>
          <w:szCs w:val="32"/>
          <w:shd w:val="clear" w:color="auto" w:fill="auto"/>
        </w:rPr>
        <w:t>无极之声报刊征订费用</w:t>
      </w:r>
      <w:r>
        <w:rPr>
          <w:rFonts w:hint="eastAsia" w:ascii="仿宋_GB2312" w:eastAsia="仿宋_GB2312" w:cs="DengXian-Regular"/>
          <w:sz w:val="32"/>
          <w:szCs w:val="32"/>
        </w:rPr>
        <w:t>项目绩效自评：根据年初设定的绩效目标，</w:t>
      </w:r>
      <w:r>
        <w:rPr>
          <w:rFonts w:hint="eastAsia" w:ascii="仿宋_GB2312" w:eastAsia="仿宋_GB2312" w:cs="DengXian-Regular"/>
          <w:sz w:val="32"/>
          <w:szCs w:val="32"/>
          <w:shd w:val="clear" w:color="auto" w:fill="auto"/>
        </w:rPr>
        <w:t>无极之声报刊征订费用</w:t>
      </w:r>
      <w:r>
        <w:rPr>
          <w:rFonts w:hint="eastAsia" w:ascii="仿宋_GB2312" w:eastAsia="仿宋_GB2312" w:cs="DengXian-Regular"/>
          <w:sz w:val="32"/>
          <w:szCs w:val="32"/>
        </w:rPr>
        <w:t>项目自评结果为</w:t>
      </w:r>
      <w:r>
        <w:rPr>
          <w:rFonts w:hint="eastAsia" w:ascii="仿宋_GB2312" w:eastAsia="仿宋_GB2312" w:cs="DengXian-Regular"/>
          <w:sz w:val="32"/>
          <w:szCs w:val="32"/>
          <w:lang w:eastAsia="zh-CN"/>
        </w:rPr>
        <w:t>优秀</w:t>
      </w:r>
      <w:r>
        <w:rPr>
          <w:rFonts w:hint="eastAsia" w:ascii="仿宋_GB2312" w:eastAsia="仿宋_GB2312" w:cs="DengXian-Regular"/>
          <w:sz w:val="32"/>
          <w:szCs w:val="32"/>
        </w:rPr>
        <w:t>。项目全年预算数为</w:t>
      </w:r>
      <w:r>
        <w:rPr>
          <w:rFonts w:hint="eastAsia" w:ascii="仿宋_GB2312" w:eastAsia="仿宋_GB2312" w:cs="DengXian-Regular"/>
          <w:sz w:val="32"/>
          <w:szCs w:val="32"/>
          <w:lang w:val="en-US" w:eastAsia="zh-CN"/>
        </w:rPr>
        <w:t>10</w:t>
      </w:r>
      <w:r>
        <w:rPr>
          <w:rFonts w:hint="eastAsia" w:ascii="仿宋_GB2312" w:eastAsia="仿宋_GB2312" w:cs="DengXian-Regular"/>
          <w:sz w:val="32"/>
          <w:szCs w:val="32"/>
        </w:rPr>
        <w:t>万元</w:t>
      </w:r>
      <w:r>
        <w:rPr>
          <w:rFonts w:hint="eastAsia" w:ascii="仿宋_GB2312" w:eastAsia="仿宋_GB2312" w:cs="DengXian-Regular"/>
          <w:sz w:val="32"/>
          <w:szCs w:val="32"/>
          <w:lang w:eastAsia="zh-CN"/>
        </w:rPr>
        <w:t>，执行数</w:t>
      </w:r>
      <w:r>
        <w:rPr>
          <w:rFonts w:hint="eastAsia" w:ascii="仿宋_GB2312" w:eastAsia="仿宋_GB2312" w:cs="DengXian-Regular"/>
          <w:sz w:val="32"/>
          <w:szCs w:val="32"/>
          <w:lang w:val="en-US" w:eastAsia="zh-CN"/>
        </w:rPr>
        <w:t>8.5万元，</w:t>
      </w:r>
      <w:r>
        <w:rPr>
          <w:rFonts w:hint="eastAsia" w:ascii="仿宋_GB2312" w:eastAsia="仿宋_GB2312" w:cs="DengXian-Regular"/>
          <w:sz w:val="32"/>
          <w:szCs w:val="32"/>
        </w:rPr>
        <w:t>完成预算的</w:t>
      </w:r>
      <w:r>
        <w:rPr>
          <w:rFonts w:hint="eastAsia" w:ascii="仿宋_GB2312" w:eastAsia="仿宋_GB2312" w:cs="DengXian-Regular"/>
          <w:sz w:val="32"/>
          <w:szCs w:val="32"/>
          <w:lang w:val="en-US" w:eastAsia="zh-CN"/>
        </w:rPr>
        <w:t>84.7</w:t>
      </w:r>
      <w:r>
        <w:rPr>
          <w:rFonts w:hint="eastAsia" w:ascii="仿宋_GB2312" w:eastAsia="仿宋_GB2312" w:cs="DengXian-Regular"/>
          <w:sz w:val="32"/>
          <w:szCs w:val="32"/>
        </w:rPr>
        <w:t>%</w:t>
      </w:r>
      <w:r>
        <w:rPr>
          <w:rFonts w:hint="eastAsia" w:ascii="仿宋_GB2312" w:eastAsia="仿宋_GB2312" w:cs="DengXian-Regular"/>
          <w:sz w:val="32"/>
          <w:szCs w:val="32"/>
          <w:lang w:eastAsia="zh-CN"/>
        </w:rPr>
        <w:t>。</w:t>
      </w:r>
      <w:r>
        <w:rPr>
          <w:rFonts w:hint="eastAsia" w:ascii="仿宋_GB2312" w:eastAsia="仿宋_GB2312" w:cs="DengXian-Regular"/>
          <w:sz w:val="32"/>
          <w:szCs w:val="32"/>
        </w:rPr>
        <w:t>本单位</w:t>
      </w:r>
      <w:r>
        <w:rPr>
          <w:rFonts w:hint="eastAsia" w:ascii="仿宋_GB2312" w:eastAsia="仿宋_GB2312" w:cs="DengXian-Regular"/>
          <w:sz w:val="32"/>
          <w:szCs w:val="32"/>
          <w:lang w:eastAsia="zh-CN"/>
        </w:rPr>
        <w:t>对</w:t>
      </w:r>
      <w:r>
        <w:rPr>
          <w:rFonts w:hint="eastAsia" w:ascii="仿宋_GB2312" w:eastAsia="仿宋_GB2312" w:cs="DengXian-Regular"/>
          <w:sz w:val="32"/>
          <w:szCs w:val="32"/>
          <w:shd w:val="clear" w:color="auto" w:fill="auto"/>
        </w:rPr>
        <w:t>电视发展专项资金</w:t>
      </w:r>
      <w:r>
        <w:rPr>
          <w:rFonts w:hint="eastAsia" w:ascii="仿宋_GB2312" w:eastAsia="仿宋_GB2312" w:cs="DengXian-Regular"/>
          <w:sz w:val="32"/>
          <w:szCs w:val="32"/>
          <w:shd w:val="clear" w:color="auto" w:fill="auto"/>
          <w:lang w:eastAsia="zh-CN"/>
        </w:rPr>
        <w:t>及中央补助地方</w:t>
      </w:r>
      <w:r>
        <w:rPr>
          <w:rFonts w:hint="eastAsia" w:ascii="仿宋_GB2312" w:eastAsia="仿宋_GB2312" w:cs="DengXian-Regular"/>
          <w:sz w:val="32"/>
          <w:szCs w:val="32"/>
          <w:shd w:val="clear" w:color="auto" w:fill="auto"/>
        </w:rPr>
        <w:t>公共文化服务体系建设专项资金</w:t>
      </w:r>
      <w:r>
        <w:rPr>
          <w:rFonts w:hint="eastAsia" w:ascii="仿宋_GB2312" w:eastAsia="仿宋_GB2312" w:cs="DengXian-Regular"/>
          <w:sz w:val="32"/>
          <w:szCs w:val="32"/>
        </w:rPr>
        <w:t>项目绩效自评：根据年初设定的绩效目标，</w:t>
      </w:r>
      <w:r>
        <w:rPr>
          <w:rFonts w:hint="eastAsia" w:ascii="仿宋_GB2312" w:eastAsia="仿宋_GB2312" w:cs="DengXian-Regular"/>
          <w:sz w:val="32"/>
          <w:szCs w:val="32"/>
          <w:shd w:val="clear" w:color="auto" w:fill="auto"/>
        </w:rPr>
        <w:t>电视发展专项资金</w:t>
      </w:r>
      <w:r>
        <w:rPr>
          <w:rFonts w:hint="eastAsia" w:ascii="仿宋_GB2312" w:eastAsia="仿宋_GB2312" w:cs="DengXian-Regular"/>
          <w:sz w:val="32"/>
          <w:szCs w:val="32"/>
          <w:shd w:val="clear" w:color="auto" w:fill="auto"/>
          <w:lang w:eastAsia="zh-CN"/>
        </w:rPr>
        <w:t>及中央补助地方</w:t>
      </w:r>
      <w:r>
        <w:rPr>
          <w:rFonts w:hint="eastAsia" w:ascii="仿宋_GB2312" w:eastAsia="仿宋_GB2312" w:cs="DengXian-Regular"/>
          <w:sz w:val="32"/>
          <w:szCs w:val="32"/>
          <w:shd w:val="clear" w:color="auto" w:fill="auto"/>
        </w:rPr>
        <w:t>公共文化服务体系建设专项资金</w:t>
      </w:r>
      <w:r>
        <w:rPr>
          <w:rFonts w:hint="eastAsia" w:ascii="仿宋_GB2312" w:eastAsia="仿宋_GB2312" w:cs="DengXian-Regular"/>
          <w:sz w:val="32"/>
          <w:szCs w:val="32"/>
        </w:rPr>
        <w:t>项目自评结果为</w:t>
      </w:r>
      <w:r>
        <w:rPr>
          <w:rFonts w:hint="eastAsia" w:ascii="仿宋_GB2312" w:eastAsia="仿宋_GB2312" w:cs="DengXian-Regular"/>
          <w:sz w:val="32"/>
          <w:szCs w:val="32"/>
          <w:lang w:eastAsia="zh-CN"/>
        </w:rPr>
        <w:t>优秀</w:t>
      </w:r>
      <w:r>
        <w:rPr>
          <w:rFonts w:hint="eastAsia" w:ascii="仿宋_GB2312" w:eastAsia="仿宋_GB2312" w:cs="DengXian-Regular"/>
          <w:sz w:val="32"/>
          <w:szCs w:val="32"/>
        </w:rPr>
        <w:t>。项目全年预算数为</w:t>
      </w:r>
      <w:r>
        <w:rPr>
          <w:rFonts w:hint="eastAsia" w:ascii="仿宋_GB2312" w:eastAsia="仿宋_GB2312" w:cs="DengXian-Regular"/>
          <w:sz w:val="32"/>
          <w:szCs w:val="32"/>
          <w:lang w:val="en-US" w:eastAsia="zh-CN"/>
        </w:rPr>
        <w:t>22.6</w:t>
      </w:r>
      <w:r>
        <w:rPr>
          <w:rFonts w:hint="eastAsia" w:ascii="仿宋_GB2312" w:eastAsia="仿宋_GB2312" w:cs="DengXian-Regular"/>
          <w:sz w:val="32"/>
          <w:szCs w:val="32"/>
        </w:rPr>
        <w:t>万元</w:t>
      </w:r>
      <w:r>
        <w:rPr>
          <w:rFonts w:hint="eastAsia" w:ascii="仿宋_GB2312" w:eastAsia="仿宋_GB2312" w:cs="DengXian-Regular"/>
          <w:sz w:val="32"/>
          <w:szCs w:val="32"/>
          <w:lang w:eastAsia="zh-CN"/>
        </w:rPr>
        <w:t>、执行数</w:t>
      </w:r>
      <w:r>
        <w:rPr>
          <w:rFonts w:hint="eastAsia" w:ascii="仿宋_GB2312" w:eastAsia="仿宋_GB2312" w:cs="DengXian-Regular"/>
          <w:sz w:val="32"/>
          <w:szCs w:val="32"/>
          <w:lang w:val="en-US" w:eastAsia="zh-CN"/>
        </w:rPr>
        <w:t>16.9万元，</w:t>
      </w:r>
      <w:r>
        <w:rPr>
          <w:rFonts w:hint="eastAsia" w:ascii="仿宋_GB2312" w:eastAsia="仿宋_GB2312" w:cs="DengXian-Regular"/>
          <w:sz w:val="32"/>
          <w:szCs w:val="32"/>
        </w:rPr>
        <w:t>完成预算的</w:t>
      </w:r>
      <w:r>
        <w:rPr>
          <w:rFonts w:hint="eastAsia" w:ascii="仿宋_GB2312" w:eastAsia="仿宋_GB2312" w:cs="DengXian-Regular"/>
          <w:sz w:val="32"/>
          <w:szCs w:val="32"/>
          <w:lang w:val="en-US" w:eastAsia="zh-CN"/>
        </w:rPr>
        <w:t>75</w:t>
      </w:r>
      <w:r>
        <w:rPr>
          <w:rFonts w:hint="eastAsia" w:ascii="仿宋_GB2312" w:eastAsia="仿宋_GB2312" w:cs="DengXian-Regular"/>
          <w:sz w:val="32"/>
          <w:szCs w:val="32"/>
        </w:rPr>
        <w:t>%</w:t>
      </w:r>
      <w:r>
        <w:rPr>
          <w:rFonts w:hint="eastAsia" w:ascii="仿宋_GB2312" w:eastAsia="仿宋_GB2312" w:cs="DengXian-Regular"/>
          <w:sz w:val="32"/>
          <w:szCs w:val="32"/>
          <w:lang w:eastAsia="zh-CN"/>
        </w:rPr>
        <w:t>，</w:t>
      </w:r>
      <w:r>
        <w:rPr>
          <w:rFonts w:hint="eastAsia" w:ascii="仿宋_GB2312" w:eastAsia="仿宋_GB2312" w:cs="DengXian-Regular"/>
          <w:sz w:val="32"/>
          <w:szCs w:val="32"/>
        </w:rPr>
        <w:t>本单位</w:t>
      </w:r>
      <w:r>
        <w:rPr>
          <w:rFonts w:hint="eastAsia" w:ascii="仿宋_GB2312" w:eastAsia="仿宋_GB2312" w:cs="DengXian-Regular"/>
          <w:sz w:val="32"/>
          <w:szCs w:val="32"/>
          <w:lang w:eastAsia="zh-CN"/>
        </w:rPr>
        <w:t>对</w:t>
      </w:r>
      <w:r>
        <w:rPr>
          <w:rFonts w:hint="eastAsia" w:ascii="仿宋_GB2312" w:eastAsia="仿宋_GB2312" w:cs="DengXian-Regular"/>
          <w:sz w:val="32"/>
          <w:szCs w:val="32"/>
          <w:shd w:val="clear" w:color="auto" w:fill="auto"/>
        </w:rPr>
        <w:t>与省市栏目配套设备资金</w:t>
      </w:r>
      <w:r>
        <w:rPr>
          <w:rFonts w:hint="eastAsia" w:ascii="仿宋_GB2312" w:eastAsia="仿宋_GB2312" w:cs="DengXian-Regular"/>
          <w:sz w:val="32"/>
          <w:szCs w:val="32"/>
        </w:rPr>
        <w:t>项目绩效自评：根据年初设定的绩效目标，</w:t>
      </w:r>
      <w:r>
        <w:rPr>
          <w:rFonts w:hint="eastAsia" w:ascii="仿宋_GB2312" w:eastAsia="仿宋_GB2312" w:cs="DengXian-Regular"/>
          <w:sz w:val="32"/>
          <w:szCs w:val="32"/>
          <w:shd w:val="clear" w:color="auto" w:fill="auto"/>
        </w:rPr>
        <w:t>与省市栏目配套设备资金</w:t>
      </w:r>
      <w:r>
        <w:rPr>
          <w:rFonts w:hint="eastAsia" w:ascii="仿宋_GB2312" w:eastAsia="仿宋_GB2312" w:cs="DengXian-Regular"/>
          <w:sz w:val="32"/>
          <w:szCs w:val="32"/>
        </w:rPr>
        <w:t>项目自评结果为</w:t>
      </w:r>
      <w:r>
        <w:rPr>
          <w:rFonts w:hint="eastAsia" w:ascii="仿宋_GB2312" w:eastAsia="仿宋_GB2312" w:cs="DengXian-Regular"/>
          <w:sz w:val="32"/>
          <w:szCs w:val="32"/>
          <w:lang w:eastAsia="zh-CN"/>
        </w:rPr>
        <w:t>优秀</w:t>
      </w:r>
      <w:r>
        <w:rPr>
          <w:rFonts w:hint="eastAsia" w:ascii="仿宋_GB2312" w:eastAsia="仿宋_GB2312" w:cs="DengXian-Regular"/>
          <w:sz w:val="32"/>
          <w:szCs w:val="32"/>
        </w:rPr>
        <w:t>。项目全年预算数为</w:t>
      </w:r>
      <w:r>
        <w:rPr>
          <w:rFonts w:hint="eastAsia" w:ascii="仿宋_GB2312" w:eastAsia="仿宋_GB2312" w:cs="DengXian-Regular"/>
          <w:sz w:val="32"/>
          <w:szCs w:val="32"/>
          <w:lang w:val="en-US" w:eastAsia="zh-CN"/>
        </w:rPr>
        <w:t>20</w:t>
      </w:r>
      <w:r>
        <w:rPr>
          <w:rFonts w:hint="eastAsia" w:ascii="仿宋_GB2312" w:eastAsia="仿宋_GB2312" w:cs="DengXian-Regular"/>
          <w:sz w:val="32"/>
          <w:szCs w:val="32"/>
        </w:rPr>
        <w:t>万元</w:t>
      </w:r>
      <w:r>
        <w:rPr>
          <w:rFonts w:hint="eastAsia" w:ascii="仿宋_GB2312" w:eastAsia="仿宋_GB2312" w:cs="DengXian-Regular"/>
          <w:sz w:val="32"/>
          <w:szCs w:val="32"/>
          <w:lang w:eastAsia="zh-CN"/>
        </w:rPr>
        <w:t>，执行数</w:t>
      </w:r>
      <w:r>
        <w:rPr>
          <w:rFonts w:hint="eastAsia" w:ascii="仿宋_GB2312" w:eastAsia="仿宋_GB2312" w:cs="DengXian-Regular"/>
          <w:sz w:val="32"/>
          <w:szCs w:val="32"/>
          <w:lang w:val="en-US" w:eastAsia="zh-CN"/>
        </w:rPr>
        <w:t>15.0万，</w:t>
      </w:r>
      <w:r>
        <w:rPr>
          <w:rFonts w:hint="eastAsia" w:ascii="仿宋_GB2312" w:eastAsia="仿宋_GB2312" w:cs="DengXian-Regular"/>
          <w:sz w:val="32"/>
          <w:szCs w:val="32"/>
        </w:rPr>
        <w:t>完成预算的</w:t>
      </w:r>
      <w:r>
        <w:rPr>
          <w:rFonts w:hint="eastAsia" w:ascii="仿宋_GB2312" w:eastAsia="仿宋_GB2312" w:cs="DengXian-Regular"/>
          <w:sz w:val="32"/>
          <w:szCs w:val="32"/>
          <w:lang w:val="en-US" w:eastAsia="zh-CN"/>
        </w:rPr>
        <w:t>75</w:t>
      </w:r>
      <w:r>
        <w:rPr>
          <w:rFonts w:hint="eastAsia" w:ascii="仿宋_GB2312" w:eastAsia="仿宋_GB2312" w:cs="DengXian-Regular"/>
          <w:sz w:val="32"/>
          <w:szCs w:val="32"/>
        </w:rPr>
        <w:t>%</w:t>
      </w:r>
      <w:r>
        <w:rPr>
          <w:rFonts w:hint="eastAsia" w:ascii="仿宋_GB2312" w:eastAsia="仿宋_GB2312" w:cs="DengXian-Regular"/>
          <w:sz w:val="32"/>
          <w:szCs w:val="32"/>
          <w:lang w:val="en-US" w:eastAsia="zh-CN"/>
        </w:rPr>
        <w:t>。</w:t>
      </w:r>
      <w:bookmarkStart w:id="0" w:name="_GoBack"/>
      <w:bookmarkEnd w:id="0"/>
    </w:p>
    <w:p>
      <w:pPr>
        <w:pStyle w:val="5"/>
        <w:spacing w:before="0" w:after="0" w:line="560" w:lineRule="exact"/>
        <w:ind w:firstLine="643" w:firstLineChars="200"/>
        <w:rPr>
          <w:rFonts w:ascii="黑体" w:eastAsia="黑体" w:cs="Times New Roman"/>
        </w:rPr>
      </w:pPr>
      <w:r>
        <w:rPr>
          <w:rFonts w:hint="eastAsia" w:ascii="黑体" w:eastAsia="黑体" w:cs="Times New Roman"/>
        </w:rPr>
        <w:t>七、其他重要事项的说明</w:t>
      </w:r>
    </w:p>
    <w:p>
      <w:pPr>
        <w:pStyle w:val="7"/>
        <w:spacing w:before="0" w:after="0" w:line="560" w:lineRule="exact"/>
        <w:ind w:firstLine="640" w:firstLineChars="200"/>
        <w:rPr>
          <w:rFonts w:ascii="楷体_GB2312" w:eastAsia="楷体_GB2312" w:cs="DengXian-Bold"/>
        </w:rPr>
      </w:pPr>
      <w:r>
        <w:rPr>
          <w:rFonts w:hint="eastAsia" w:ascii="楷体_GB2312" w:eastAsia="楷体_GB2312" w:cs="DengXian-Bold"/>
        </w:rPr>
        <w:t>（一）机关运行经费情况</w:t>
      </w:r>
    </w:p>
    <w:p>
      <w:pPr>
        <w:ind w:firstLine="640" w:firstLineChars="200"/>
        <w:rPr>
          <w:rFonts w:eastAsia="楷体_GB2312"/>
          <w:sz w:val="32"/>
          <w:szCs w:val="32"/>
        </w:rPr>
      </w:pPr>
      <w:r>
        <w:rPr>
          <w:rFonts w:hint="eastAsia" w:ascii="楷体_GB2312" w:eastAsia="楷体_GB2312" w:cs="DengXian-Bold"/>
          <w:sz w:val="32"/>
          <w:szCs w:val="32"/>
        </w:rPr>
        <w:t>我单位</w:t>
      </w:r>
      <w:r>
        <w:rPr>
          <w:rFonts w:hint="eastAsia" w:ascii="楷体_GB2312" w:eastAsia="楷体_GB2312" w:cs="DengXian-Bold"/>
          <w:sz w:val="32"/>
          <w:szCs w:val="32"/>
          <w:lang w:val="en-US" w:eastAsia="zh-CN"/>
        </w:rPr>
        <w:t>为</w:t>
      </w:r>
      <w:r>
        <w:rPr>
          <w:rFonts w:hint="eastAsia" w:ascii="楷体_GB2312" w:eastAsia="楷体_GB2312" w:cs="DengXian-Bold"/>
          <w:sz w:val="32"/>
          <w:szCs w:val="32"/>
        </w:rPr>
        <w:t>事业单位无机关运行经费。</w:t>
      </w:r>
    </w:p>
    <w:p>
      <w:pPr>
        <w:pStyle w:val="7"/>
        <w:spacing w:before="0" w:after="0" w:line="560" w:lineRule="exact"/>
        <w:ind w:firstLine="640" w:firstLineChars="200"/>
        <w:rPr>
          <w:rFonts w:ascii="楷体_GB2312" w:eastAsia="楷体_GB2312" w:cs="DengXian-Bold"/>
        </w:rPr>
      </w:pPr>
      <w:r>
        <w:rPr>
          <w:rFonts w:hint="eastAsia" w:ascii="楷体_GB2312" w:eastAsia="楷体_GB2312" w:cs="DengXian-Bold"/>
        </w:rPr>
        <w:t>（二）政府采购情况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本部门2017年度政府采购支出总额0万元，其中：政府采购货物支出0万元、政府采购工程支出0万元、政府采购服务支出0万元。</w:t>
      </w:r>
    </w:p>
    <w:p>
      <w:pPr>
        <w:pStyle w:val="7"/>
        <w:spacing w:before="0" w:after="0" w:line="560" w:lineRule="exact"/>
        <w:ind w:firstLine="640"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截至2017年12月31日，本部门共有车辆1辆，其中，市级领导干部用车0辆、一般公务用车1辆、一般执法执勤用车0辆、特种专业技术用车0辆、其他用车0辆，单位价值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万元以上大型设备1台（套），单位价值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万元以上大型设备0台（套）。</w:t>
      </w:r>
    </w:p>
    <w:p>
      <w:pPr>
        <w:pStyle w:val="7"/>
        <w:spacing w:before="0" w:after="0" w:line="560" w:lineRule="exact"/>
        <w:ind w:firstLine="640"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1、本部门2017年度政府性基金财政拨款、国有资本经营预算财政拨款、政府采购无收支及结转结余情况，故07、08、10表以空表列示。</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2、由于决算公开表格中金额数值应当保留两位小数，公开数据为四舍五入计算结果，个别数据合计项与分项之和存在小数点后差额，特此说明。</w:t>
      </w:r>
    </w:p>
    <w:p>
      <w:pPr>
        <w:pStyle w:val="2"/>
        <w:jc w:val="center"/>
        <w:rPr>
          <w:rFonts w:ascii="宋体" w:hAnsi="宋体" w:eastAsia="宋体" w:cs="SimSun,Bold"/>
        </w:rPr>
      </w:pPr>
      <w:r>
        <w:rPr>
          <w:rFonts w:hint="eastAsia" w:ascii="宋体" w:hAnsi="宋体" w:eastAsia="宋体" w:cs="SimSun,Bold"/>
        </w:rPr>
        <w:t>第四部分名词解释</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（一）财政拨款收入：本年度从本级财政部门取得的财政拨款，包括一般公共预算财政拨款和政府性基金预算财政拨款。</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（二）事业收入：指事业单位开展专业业务活动及辅助活动所取得的收入。</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（三）其他收入：指除上述“财政拨款收入”、“事业收入”、“经营收入”等以外的收入。</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四）用事业基金弥补收支差额：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（五）年初结转和结余：指以前年度尚未完成、结转到本年仍按原规定用途继续使用的资金，或项目已完成等产生的结余资金。</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（六）结余分配：指事业单位按照事业单位会计制度的规定从非财政补助结余中分配的事业基金和职工福利基金等。</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（七）年末结转和结余：指单位按有关规定结转到下年或以后年度继续使用的资金，或项目已完成等产生的结余资金。</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（八）基本支出：填列单位为保障机构正常运转、完成日常工作任务而发生的各项支出。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（九）项目支出：填列单位为完成特定的行政工作任务或事业发展目标，在基本支出之外发生的各项支出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基本建设支出：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（十一）其他资本性支出：填列由各级非发展与改革部门集中安排的用于购置固定资产、战备性和应急性储备、土地和无形资产，以及购建基础设施、大型修缮和财政支持企业更新改造所发生的支出。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二）“三公”经费：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（十三）其他交通费用：填列单位除公务用车运行维护费以外的其他交通费用。如飞机、船舶等的燃料费、维修费、过桥过路费、保险费、出租车费用、公务交通补贴等。</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（十四）公务用车购置：填列单位公务用车车辆购置支出（含车辆购置税）。</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（十五）其他交通工具购置：填列单位除公务用车外的其他各类交通工具（如船舶、飞机）购置支出（含车辆购置税）。</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（十六） 机关运行经费：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560" w:lineRule="exact"/>
        <w:ind w:firstLine="640" w:firstLineChars="200"/>
        <w:rPr>
          <w:rFonts w:ascii="仿宋_GB2312" w:hAnsi="仿宋_GB2312" w:eastAsia="仿宋_GB2312" w:cs="仿宋_GB2312"/>
          <w:color w:val="000000"/>
          <w:kern w:val="0"/>
          <w:sz w:val="32"/>
          <w:szCs w:val="32"/>
        </w:rPr>
      </w:pPr>
      <w:r>
        <w:rPr>
          <w:rFonts w:hint="eastAsia" w:ascii="仿宋_GB2312" w:hAnsi="仿宋_GB2312" w:eastAsia="仿宋_GB2312" w:cs="仿宋_GB2312"/>
          <w:color w:val="000000"/>
          <w:sz w:val="32"/>
          <w:szCs w:val="32"/>
        </w:rPr>
        <w:t>附件：</w:t>
      </w:r>
      <w:r>
        <w:rPr>
          <w:rFonts w:hint="eastAsia" w:ascii="仿宋_GB2312" w:hAnsi="仿宋_GB2312" w:eastAsia="仿宋_GB2312" w:cs="仿宋_GB2312"/>
          <w:bCs/>
          <w:sz w:val="32"/>
          <w:szCs w:val="32"/>
        </w:rPr>
        <w:t>无极县广播电视台</w:t>
      </w:r>
      <w:r>
        <w:rPr>
          <w:rFonts w:hint="eastAsia" w:ascii="仿宋_GB2312" w:hAnsi="仿宋_GB2312" w:eastAsia="仿宋_GB2312" w:cs="仿宋_GB2312"/>
          <w:bCs/>
          <w:color w:val="000000"/>
          <w:sz w:val="32"/>
          <w:szCs w:val="32"/>
        </w:rPr>
        <w:t>2017年度部门决算报表</w:t>
      </w:r>
    </w:p>
    <w:sectPr>
      <w:pgSz w:w="11906" w:h="16838"/>
      <w:pgMar w:top="2098" w:right="1474" w:bottom="1984" w:left="1587" w:header="851" w:footer="992" w:gutter="0"/>
      <w:cols w:space="720" w:num="1"/>
      <w:docGrid w:type="lines" w:linePitch="315"/>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Tahoma">
    <w:panose1 w:val="020B0604030504040204"/>
    <w:charset w:val="00"/>
    <w:family w:val="auto"/>
    <w:pitch w:val="default"/>
    <w:sig w:usb0="E1002EFF" w:usb1="C000605B" w:usb2="00000029" w:usb3="00000000" w:csb0="200101FF" w:csb1="20280000"/>
  </w:font>
  <w:font w:name="Symbol">
    <w:panose1 w:val="05050102010706020507"/>
    <w:charset w:val="02"/>
    <w:family w:val="roman"/>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微软雅黑">
    <w:panose1 w:val="020B0503020204020204"/>
    <w:charset w:val="86"/>
    <w:family w:val="auto"/>
    <w:pitch w:val="default"/>
    <w:sig w:usb0="80000287" w:usb1="2ACF3C50" w:usb2="00000016" w:usb3="00000000" w:csb0="0004001F" w:csb1="00000000"/>
  </w:font>
  <w:font w:name="Cambria">
    <w:panose1 w:val="02040503050406030204"/>
    <w:charset w:val="00"/>
    <w:family w:val="auto"/>
    <w:pitch w:val="default"/>
    <w:sig w:usb0="E00006FF" w:usb1="420024FF" w:usb2="02000000" w:usb3="00000000" w:csb0="2000019F" w:csb1="00000000"/>
  </w:font>
  <w:font w:name="Calibri">
    <w:panose1 w:val="020F0502020204030204"/>
    <w:charset w:val="00"/>
    <w:family w:val="auto"/>
    <w:pitch w:val="default"/>
    <w:sig w:usb0="E0002AFF" w:usb1="C000247B" w:usb2="00000009" w:usb3="00000000" w:csb0="200001FF" w:csb1="00000000"/>
  </w:font>
  <w:font w:name="monospace">
    <w:altName w:val="Courier New"/>
    <w:panose1 w:val="00000000000000000000"/>
    <w:charset w:val="00"/>
    <w:family w:val="auto"/>
    <w:pitch w:val="default"/>
    <w:sig w:usb0="00000000" w:usb1="00000000" w:usb2="00000000" w:usb3="00000000" w:csb0="00040001" w:csb1="00000000"/>
  </w:font>
  <w:font w:name="方正小标宋_GBK">
    <w:altName w:val="宋体"/>
    <w:panose1 w:val="00000000000000000000"/>
    <w:charset w:val="86"/>
    <w:family w:val="auto"/>
    <w:pitch w:val="default"/>
    <w:sig w:usb0="00000000" w:usb1="00000000" w:usb2="00000010" w:usb3="00000000" w:csb0="00040000" w:csb1="00000000"/>
  </w:font>
  <w:font w:name="仿宋_GB2312">
    <w:altName w:val="仿宋"/>
    <w:panose1 w:val="02010609030101010101"/>
    <w:charset w:val="86"/>
    <w:family w:val="auto"/>
    <w:pitch w:val="default"/>
    <w:sig w:usb0="00000001" w:usb1="080E0000" w:usb2="00000000" w:usb3="00000000" w:csb0="00040000" w:csb1="00000000"/>
  </w:font>
  <w:font w:name="ArialUnicodeMS">
    <w:altName w:val="Malgun Gothic"/>
    <w:panose1 w:val="00000000000000000000"/>
    <w:charset w:val="81"/>
    <w:family w:val="auto"/>
    <w:pitch w:val="default"/>
    <w:sig w:usb0="00000000" w:usb1="00000000" w:usb2="00000010" w:usb3="00000000" w:csb0="00080001" w:csb1="00000000"/>
  </w:font>
  <w:font w:name="仿宋">
    <w:panose1 w:val="02010609060101010101"/>
    <w:charset w:val="86"/>
    <w:family w:val="auto"/>
    <w:pitch w:val="default"/>
    <w:sig w:usb0="800002BF" w:usb1="38CF7CFA" w:usb2="00000016" w:usb3="00000000" w:csb0="00040001" w:csb1="00000000"/>
  </w:font>
  <w:font w:name="DengXian-Regular">
    <w:altName w:val="宋体"/>
    <w:panose1 w:val="00000000000000000000"/>
    <w:charset w:val="86"/>
    <w:family w:val="auto"/>
    <w:pitch w:val="default"/>
    <w:sig w:usb0="00000000" w:usb1="00000000" w:usb2="00000010" w:usb3="00000000" w:csb0="00040001" w:csb1="00000000"/>
  </w:font>
  <w:font w:name="楷体_GB2312">
    <w:altName w:val="楷体"/>
    <w:panose1 w:val="02010609030101010101"/>
    <w:charset w:val="86"/>
    <w:family w:val="auto"/>
    <w:pitch w:val="default"/>
    <w:sig w:usb0="00000001" w:usb1="080E0000" w:usb2="00000000" w:usb3="00000000" w:csb0="00040000"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auto"/>
    <w:pitch w:val="default"/>
    <w:sig w:usb0="00000000" w:usb1="00000000" w:usb2="00000000" w:usb3="00000000" w:csb0="00000001" w:csb1="00000000"/>
  </w:font>
  <w:font w:name="SimSun,Bold">
    <w:altName w:val="宋体"/>
    <w:panose1 w:val="00000000000000000000"/>
    <w:charset w:val="86"/>
    <w:family w:val="auto"/>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Malgun Gothic">
    <w:panose1 w:val="020B0503020000020004"/>
    <w:charset w:val="81"/>
    <w:family w:val="auto"/>
    <w:pitch w:val="default"/>
    <w:sig w:usb0="9000002F" w:usb1="29D77CFB" w:usb2="00000012" w:usb3="00000000" w:csb0="00080001" w:csb1="00000000"/>
  </w:font>
  <w:font w:name="Dotum">
    <w:altName w:val="Verdana"/>
    <w:panose1 w:val="020B0600000101010101"/>
    <w:charset w:val="00"/>
    <w:family w:val="auto"/>
    <w:pitch w:val="default"/>
    <w:sig w:usb0="B00002AF" w:usb1="69D77CFB" w:usb2="00000030" w:usb3="00000000" w:csb0="4008009F" w:csb1="DFD70000"/>
  </w:font>
  <w:font w:name="Corbel">
    <w:panose1 w:val="020B0503020204020204"/>
    <w:charset w:val="00"/>
    <w:family w:val="auto"/>
    <w:pitch w:val="default"/>
    <w:sig w:usb0="A00002EF" w:usb1="4000A44B" w:usb2="00000000" w:usb3="00000000" w:csb0="2000019F" w:csb1="00000000"/>
  </w:font>
  <w:font w:name="Malgun Gothic">
    <w:panose1 w:val="020B0503020000020004"/>
    <w:charset w:val="00"/>
    <w:family w:val="auto"/>
    <w:pitch w:val="default"/>
    <w:sig w:usb0="9000002F" w:usb1="29D77CFB" w:usb2="00000012" w:usb3="00000000" w:csb0="00080001" w:csb1="00000000"/>
  </w:font>
  <w:font w:name="Verdana">
    <w:panose1 w:val="020B0604030504040204"/>
    <w:charset w:val="00"/>
    <w:family w:val="auto"/>
    <w:pitch w:val="default"/>
    <w:sig w:usb0="A00006FF" w:usb1="4000205B" w:usb2="00000010" w:usb3="00000000" w:csb0="2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efaultTabStop w:val="420"/>
  <w:drawingGridHorizontalSpacing w:val="105"/>
  <w:drawingGridVerticalSpacing w:val="158"/>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uiCompat97To2003/>
  <w:shapeDefaults>
    <o:shapedefaults fillcolor="#9CBEE0" fill="t" stroke="t">
      <v:fill type="gradient" on="t" color2="#BBD5F0" focus="0%" focussize="0f,0f" focusposition="0f,0f">
        <o:fill type="gradientUnscaled" v:ext="backwardCompatible"/>
      </v:fill>
      <v:stroke weight="1.25pt" color="#739CC3" color2="#FFFFFF" miterlimit="2"/>
    </o:shapedefaults>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lang w:val="en-US" w:eastAsia="zh-CN" w:bidi="ar-SA"/>
      </w:rPr>
    </w:rPrDefault>
  </w:docDefaults>
  <w:style w:type="paragraph" w:default="1" w:styleId="1">
    <w:name w:val="Normal"/>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3"/>
    <w:pPr>
      <w:keepNext/>
      <w:keepLines/>
      <w:spacing w:before="340" w:after="330" w:line="578" w:lineRule="auto"/>
      <w:outlineLvl w:val="0"/>
    </w:pPr>
    <w:rPr>
      <w:rFonts w:ascii="Times New Roman" w:hAnsi="Times New Roman" w:eastAsia="宋体" w:cs="Times New Roman"/>
      <w:b/>
      <w:bCs/>
      <w:kern w:val="44"/>
      <w:sz w:val="44"/>
      <w:szCs w:val="44"/>
    </w:rPr>
  </w:style>
  <w:style w:type="paragraph" w:styleId="5">
    <w:name w:val="heading 2"/>
    <w:basedOn w:val="1"/>
    <w:next w:val="1"/>
    <w:link w:val="6"/>
    <w:pPr>
      <w:keepNext/>
      <w:keepLines/>
      <w:spacing w:before="260" w:after="260" w:line="416" w:lineRule="auto"/>
      <w:outlineLvl w:val="1"/>
    </w:pPr>
    <w:rPr>
      <w:rFonts w:ascii="Calibri" w:hAnsi="Calibri" w:eastAsia="宋体" w:cs="黑体"/>
      <w:b/>
      <w:bCs/>
      <w:sz w:val="32"/>
      <w:szCs w:val="32"/>
    </w:rPr>
  </w:style>
  <w:style w:type="paragraph" w:styleId="7">
    <w:name w:val="heading 3"/>
    <w:basedOn w:val="1"/>
    <w:next w:val="1"/>
    <w:link w:val="8"/>
    <w:pPr>
      <w:keepNext/>
      <w:keepLines/>
      <w:spacing w:before="260" w:after="260" w:line="416" w:lineRule="auto"/>
      <w:outlineLvl w:val="2"/>
    </w:pPr>
    <w:rPr>
      <w:rFonts w:ascii="Times New Roman" w:hAnsi="Times New Roman" w:eastAsia="宋体" w:cs="Times New Roman"/>
      <w:b/>
      <w:bCs/>
      <w:sz w:val="32"/>
      <w:szCs w:val="32"/>
    </w:rPr>
  </w:style>
  <w:style w:type="paragraph" w:styleId="9">
    <w:name w:val="heading 4"/>
    <w:basedOn w:val="1"/>
    <w:next w:val="1"/>
    <w:link w:val="10"/>
    <w:pPr>
      <w:keepNext/>
      <w:keepLines/>
      <w:spacing w:before="280" w:after="290" w:line="376" w:lineRule="auto"/>
      <w:outlineLvl w:val="3"/>
    </w:pPr>
    <w:rPr>
      <w:rFonts w:ascii="Calibri" w:hAnsi="Calibri" w:eastAsia="宋体" w:cs="黑体"/>
      <w:b/>
      <w:bCs/>
      <w:sz w:val="28"/>
      <w:szCs w:val="28"/>
    </w:rPr>
  </w:style>
  <w:style w:type="character" w:default="1" w:styleId="4">
    <w:name w:val="Default Paragraph Font"/>
  </w:style>
  <w:style w:type="character" w:customStyle="1" w:styleId="3">
    <w:name w:val="标题 1 Char"/>
    <w:basedOn w:val="4"/>
    <w:link w:val="2"/>
    <w:semiHidden/>
    <w:rPr>
      <w:rFonts w:ascii="Times New Roman" w:hAnsi="Times New Roman" w:eastAsia="宋体" w:cs="Times New Roman"/>
      <w:b/>
      <w:bCs/>
      <w:kern w:val="44"/>
      <w:sz w:val="44"/>
      <w:szCs w:val="44"/>
    </w:rPr>
  </w:style>
  <w:style w:type="character" w:customStyle="1" w:styleId="6">
    <w:name w:val="标题 2 Char"/>
    <w:basedOn w:val="4"/>
    <w:link w:val="5"/>
    <w:semiHidden/>
    <w:rPr>
      <w:rFonts w:ascii="Calibri" w:hAnsi="Calibri" w:eastAsia="宋体" w:cs="黑体"/>
      <w:b/>
      <w:bCs/>
      <w:sz w:val="32"/>
      <w:szCs w:val="32"/>
    </w:rPr>
  </w:style>
  <w:style w:type="character" w:customStyle="1" w:styleId="8">
    <w:name w:val="标题 3 Char"/>
    <w:basedOn w:val="4"/>
    <w:link w:val="7"/>
    <w:semiHidden/>
    <w:rPr>
      <w:rFonts w:ascii="Times New Roman" w:hAnsi="Times New Roman" w:eastAsia="宋体" w:cs="Times New Roman"/>
      <w:b/>
      <w:bCs/>
      <w:sz w:val="32"/>
      <w:szCs w:val="32"/>
    </w:rPr>
  </w:style>
  <w:style w:type="character" w:customStyle="1" w:styleId="10">
    <w:name w:val="标题 4 Char"/>
    <w:basedOn w:val="4"/>
    <w:link w:val="9"/>
    <w:semiHidden/>
    <w:rPr>
      <w:rFonts w:ascii="Calibri" w:hAnsi="Calibri" w:eastAsia="宋体" w:cs="黑体"/>
      <w:b/>
      <w:bCs/>
      <w:sz w:val="28"/>
      <w:szCs w:val="28"/>
    </w:rPr>
  </w:style>
  <w:style w:type="character" w:customStyle="1" w:styleId="11">
    <w:name w:val="批注框文本 Char"/>
    <w:basedOn w:val="4"/>
    <w:link w:val="12"/>
    <w:semiHidden/>
    <w:rPr>
      <w:rFonts w:ascii="Times New Roman" w:hAnsi="Times New Roman" w:eastAsia="宋体" w:cs="Times New Roman"/>
      <w:sz w:val="18"/>
      <w:szCs w:val="18"/>
    </w:rPr>
  </w:style>
  <w:style w:type="paragraph" w:customStyle="1" w:styleId="12">
    <w:name w:val="批注框文本1"/>
    <w:basedOn w:val="1"/>
    <w:link w:val="11"/>
    <w:rPr>
      <w:rFonts w:ascii="Times New Roman" w:hAnsi="Times New Roman" w:eastAsia="宋体" w:cs="Times New Roman"/>
      <w:sz w:val="18"/>
      <w:szCs w:val="18"/>
    </w:rPr>
  </w:style>
  <w:style w:type="paragraph" w:styleId="13">
    <w:name w:val="footer"/>
    <w:basedOn w:val="1"/>
    <w:link w:val="14"/>
    <w:pPr>
      <w:tabs>
        <w:tab w:val="center" w:pos="4153"/>
        <w:tab w:val="right" w:pos="8306"/>
      </w:tabs>
      <w:snapToGrid w:val="0"/>
      <w:jc w:val="left"/>
    </w:pPr>
    <w:rPr>
      <w:sz w:val="18"/>
      <w:szCs w:val="18"/>
    </w:rPr>
  </w:style>
  <w:style w:type="character" w:customStyle="1" w:styleId="14">
    <w:name w:val="页脚 Char"/>
    <w:basedOn w:val="4"/>
    <w:link w:val="13"/>
    <w:semiHidden/>
    <w:rPr>
      <w:sz w:val="18"/>
      <w:szCs w:val="18"/>
    </w:rPr>
  </w:style>
  <w:style w:type="paragraph" w:styleId="15">
    <w:name w:val="header"/>
    <w:basedOn w:val="1"/>
    <w:link w:val="16"/>
    <w:pPr>
      <w:pBdr>
        <w:bottom w:val="single" w:color="auto" w:sz="6" w:space="1"/>
      </w:pBdr>
      <w:tabs>
        <w:tab w:val="center" w:pos="4153"/>
        <w:tab w:val="right" w:pos="8306"/>
      </w:tabs>
      <w:snapToGrid w:val="0"/>
      <w:jc w:val="center"/>
    </w:pPr>
    <w:rPr>
      <w:sz w:val="18"/>
      <w:szCs w:val="18"/>
    </w:rPr>
  </w:style>
  <w:style w:type="character" w:customStyle="1" w:styleId="16">
    <w:name w:val="页眉 Char"/>
    <w:basedOn w:val="4"/>
    <w:link w:val="15"/>
    <w:semiHidden/>
    <w:rPr>
      <w:sz w:val="18"/>
      <w:szCs w:val="18"/>
    </w:rPr>
  </w:style>
  <w:style w:type="paragraph" w:styleId="17">
    <w:name w:val="Subtitle"/>
    <w:basedOn w:val="1"/>
    <w:next w:val="1"/>
    <w:link w:val="18"/>
    <w:pPr>
      <w:widowControl/>
      <w:spacing w:after="200" w:line="276" w:lineRule="auto"/>
      <w:jc w:val="left"/>
    </w:pPr>
    <w:rPr>
      <w:rFonts w:ascii="Calibri" w:hAnsi="Calibri" w:eastAsia="宋体" w:cs="黑体"/>
      <w:i/>
      <w:iCs/>
      <w:color w:val="F0A22E"/>
      <w:spacing w:val="15"/>
      <w:kern w:val="0"/>
      <w:sz w:val="24"/>
      <w:szCs w:val="24"/>
    </w:rPr>
  </w:style>
  <w:style w:type="character" w:customStyle="1" w:styleId="18">
    <w:name w:val="副标题 Char"/>
    <w:basedOn w:val="4"/>
    <w:link w:val="17"/>
    <w:semiHidden/>
    <w:rPr>
      <w:rFonts w:ascii="Calibri" w:hAnsi="Calibri" w:eastAsia="宋体" w:cs="黑体"/>
      <w:i/>
      <w:iCs/>
      <w:color w:val="F0A22E"/>
      <w:spacing w:val="15"/>
      <w:kern w:val="0"/>
      <w:sz w:val="24"/>
      <w:szCs w:val="24"/>
    </w:rPr>
  </w:style>
  <w:style w:type="paragraph" w:styleId="19">
    <w:name w:val="Title"/>
    <w:basedOn w:val="1"/>
    <w:next w:val="1"/>
    <w:link w:val="20"/>
    <w:pPr>
      <w:widowControl/>
      <w:pBdr>
        <w:bottom w:val="single" w:color="F0A22E" w:sz="8" w:space="4"/>
      </w:pBdr>
      <w:spacing w:after="300"/>
      <w:contextualSpacing/>
      <w:jc w:val="left"/>
    </w:pPr>
    <w:rPr>
      <w:rFonts w:ascii="Calibri" w:hAnsi="Calibri" w:eastAsia="宋体" w:cs="黑体"/>
      <w:color w:val="392B23"/>
      <w:spacing w:val="5"/>
      <w:kern w:val="28"/>
      <w:sz w:val="52"/>
      <w:szCs w:val="52"/>
    </w:rPr>
  </w:style>
  <w:style w:type="character" w:customStyle="1" w:styleId="20">
    <w:name w:val="标题 Char"/>
    <w:basedOn w:val="4"/>
    <w:link w:val="19"/>
    <w:semiHidden/>
    <w:rPr>
      <w:rFonts w:ascii="Calibri" w:hAnsi="Calibri" w:eastAsia="宋体" w:cs="黑体"/>
      <w:color w:val="392B23"/>
      <w:spacing w:val="5"/>
      <w:kern w:val="28"/>
      <w:sz w:val="52"/>
      <w:szCs w:val="52"/>
    </w:rPr>
  </w:style>
  <w:style w:type="character" w:styleId="21">
    <w:name w:val="Strong"/>
    <w:basedOn w:val="4"/>
    <w:rPr/>
  </w:style>
  <w:style w:type="character" w:styleId="22">
    <w:name w:val="FollowedHyperlink"/>
    <w:basedOn w:val="4"/>
    <w:rPr>
      <w:color w:val="444444"/>
      <w:u w:val="none"/>
    </w:rPr>
  </w:style>
  <w:style w:type="character" w:styleId="23">
    <w:name w:val="Emphasis"/>
    <w:basedOn w:val="4"/>
    <w:rPr/>
  </w:style>
  <w:style w:type="character" w:styleId="24">
    <w:name w:val="Hyperlink"/>
    <w:basedOn w:val="4"/>
    <w:rPr>
      <w:color w:val="444444"/>
      <w:u w:val="none"/>
    </w:rPr>
  </w:style>
  <w:style w:type="paragraph" w:customStyle="1" w:styleId="25">
    <w:name w:val="Normal (Web)"/>
    <w:basedOn w:val="1"/>
    <w:pPr>
      <w:spacing w:after="0" w:line="240" w:lineRule="auto"/>
      <w:jc w:val="left"/>
    </w:pPr>
    <w:rPr>
      <w:rFonts w:hint="eastAsia" w:ascii="宋体" w:hAnsi="宋体"/>
      <w:kern w:val="0"/>
      <w:sz w:val="19"/>
      <w:szCs w:val="19"/>
    </w:rPr>
  </w:style>
  <w:style w:type="paragraph" w:customStyle="1" w:styleId="26">
    <w:name w:val="No Spacing"/>
    <w:link w:val="35"/>
    <w:pPr>
      <w:spacing w:after="160" w:line="480" w:lineRule="auto"/>
    </w:pPr>
    <w:rPr>
      <w:kern w:val="0"/>
      <w:sz w:val="22"/>
    </w:rPr>
  </w:style>
  <w:style w:type="character" w:customStyle="1" w:styleId="27">
    <w:name w:val="HTML Definition"/>
    <w:basedOn w:val="4"/>
    <w:rPr/>
  </w:style>
  <w:style w:type="character" w:customStyle="1" w:styleId="28">
    <w:name w:val="HTML Typewriter"/>
    <w:basedOn w:val="4"/>
    <w:rPr>
      <w:rFonts w:hint="default" w:ascii="monospace" w:hAnsi="monospace" w:eastAsia="monospace" w:cs="monospace"/>
      <w:sz w:val="20"/>
    </w:rPr>
  </w:style>
  <w:style w:type="character" w:customStyle="1" w:styleId="29">
    <w:name w:val="HTML Acronym"/>
    <w:basedOn w:val="4"/>
    <w:rPr/>
  </w:style>
  <w:style w:type="character" w:customStyle="1" w:styleId="30">
    <w:name w:val="HTML Variable"/>
    <w:basedOn w:val="4"/>
    <w:rPr/>
  </w:style>
  <w:style w:type="character" w:customStyle="1" w:styleId="31">
    <w:name w:val="HTML Code"/>
    <w:basedOn w:val="4"/>
    <w:rPr>
      <w:rFonts w:hint="default" w:ascii="monospace" w:hAnsi="monospace" w:eastAsia="monospace" w:cs="monospace"/>
      <w:sz w:val="20"/>
    </w:rPr>
  </w:style>
  <w:style w:type="character" w:customStyle="1" w:styleId="32">
    <w:name w:val="HTML Cite"/>
    <w:basedOn w:val="4"/>
    <w:rPr/>
  </w:style>
  <w:style w:type="character" w:customStyle="1" w:styleId="33">
    <w:name w:val="HTML Keyboard"/>
    <w:basedOn w:val="4"/>
    <w:rPr>
      <w:rFonts w:hint="default" w:ascii="monospace" w:hAnsi="monospace" w:eastAsia="monospace" w:cs="monospace"/>
      <w:sz w:val="20"/>
    </w:rPr>
  </w:style>
  <w:style w:type="character" w:customStyle="1" w:styleId="34">
    <w:name w:val="HTML Sample"/>
    <w:basedOn w:val="4"/>
    <w:rPr>
      <w:rFonts w:ascii="monospace" w:hAnsi="monospace" w:eastAsia="monospace" w:cs="monospace"/>
    </w:rPr>
  </w:style>
  <w:style w:type="character" w:customStyle="1" w:styleId="35">
    <w:name w:val="无间隔 Char"/>
    <w:basedOn w:val="4"/>
    <w:link w:val="26"/>
    <w:semiHidden/>
    <w:rPr>
      <w:kern w:val="0"/>
      <w:sz w:val="22"/>
    </w:rPr>
  </w:style>
  <w:style w:type="character" w:customStyle="1" w:styleId="36">
    <w:name w:val="Style1"/>
    <w:basedOn w:val="4"/>
    <w:rPr>
      <w:rFonts w:ascii="Cambria" w:hAnsi="黑体" w:eastAsia="黑体" w:cs="黑体"/>
      <w:sz w:val="22"/>
      <w:szCs w:val="22"/>
      <w:lang w:eastAsia="zh-CN"/>
    </w:rPr>
  </w:style>
  <w:style w:type="character" w:customStyle="1" w:styleId="37">
    <w:name w:val="Style2"/>
    <w:basedOn w:val="4"/>
    <w:rPr>
      <w:rFonts w:ascii="Cambria" w:hAnsi="黑体" w:eastAsia="黑体" w:cs="黑体"/>
      <w:sz w:val="22"/>
      <w:szCs w:val="22"/>
      <w:lang w:eastAsia="zh-CN"/>
    </w:rPr>
  </w:style>
  <w:style w:type="character" w:customStyle="1" w:styleId="38">
    <w:name w:val="Style3"/>
    <w:basedOn w:val="4"/>
    <w:rPr>
      <w:rFonts w:ascii="Cambria" w:hAnsi="黑体" w:eastAsia="黑体" w:cs="黑体"/>
      <w:szCs w:val="22"/>
      <w:lang w:eastAsia="zh-CN"/>
    </w:rPr>
  </w:style>
  <w:style w:type="character" w:customStyle="1" w:styleId="39">
    <w:name w:val="Style4"/>
    <w:basedOn w:val="4"/>
    <w:rPr>
      <w:rFonts w:ascii="Cambria" w:hAnsi="黑体" w:eastAsia="黑体" w:cs="黑体"/>
      <w:szCs w:val="22"/>
      <w:lang w:eastAsia="zh-CN"/>
    </w:rPr>
  </w:style>
  <w:style w:type="character" w:customStyle="1" w:styleId="40">
    <w:name w:val="Style5"/>
    <w:basedOn w:val="4"/>
    <w:rPr>
      <w:rFonts w:ascii="Cambria" w:hAnsi="黑体" w:eastAsia="黑体" w:cs="黑体"/>
      <w:sz w:val="22"/>
      <w:szCs w:val="22"/>
      <w:lang w:eastAsia="zh-CN"/>
    </w:rPr>
  </w:style>
  <w:style w:type="character" w:customStyle="1" w:styleId="41">
    <w:name w:val="header_ysw"/>
    <w:basedOn w:val="4"/>
    <w:rPr/>
  </w:style>
  <w:style w:type="character" w:customStyle="1" w:styleId="42">
    <w:name w:val="header_sjt"/>
    <w:basedOn w:val="4"/>
    <w:rPr/>
  </w:style>
</w:styles>
</file>

<file path=word/_rels/document.xml.rels><?xml version="1.0" encoding="UTF-8" standalone="yes"?>
<Relationships xmlns="http://schemas.openxmlformats.org/package/2006/relationships"><Relationship Id="rId1" Type="http://schemas.openxmlformats.org/officeDocument/2006/relationships/fontTable" Target="fontTable.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customXml" Target="../customXml/item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14</Pages>
  <Words>740</Words>
  <Characters>4218</Characters>
  <Lines>35</Lines>
  <Paragraphs>9</Paragraphs>
  <ScaleCrop>false</ScaleCrop>
  <LinksUpToDate>false</LinksUpToDate>
  <CharactersWithSpaces>0</CharactersWithSpaces>
  <Application>WPS Office 专业版_9.1.0.4167</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2018-08-30T00:38:00Z</dcterms:created>
  <dc:creator>User</dc:creator>
  <dcterms:modified xsi:type="dcterms:W3CDTF">2019-02-13T15:25:11Z</dcterms:modified>
  <dc:subject>石家庄市xxx部门</dc:subject>
  <dc:title>Administrator</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2052-9.1.0.4167</vt:lpwstr>
  </property>
</Properties>
</file>