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hint="eastAsia" w:ascii="宋体" w:hAnsi="宋体" w:eastAsia="宋体"/>
          <w:b/>
          <w:sz w:val="44"/>
          <w:szCs w:val="44"/>
          <w:lang w:eastAsia="zh-CN"/>
        </w:rPr>
      </w:pPr>
      <w:r>
        <w:rPr>
          <w:rFonts w:hint="eastAsia" w:ascii="宋体" w:hAnsi="宋体"/>
          <w:b/>
          <w:sz w:val="44"/>
          <w:szCs w:val="44"/>
          <w:lang w:eastAsia="zh-CN"/>
        </w:rPr>
        <w:t>无极县工业和信息化局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lang w:eastAsia="zh-CN"/>
        </w:rPr>
        <w:t>工业和信息化局</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lang w:eastAsia="zh-CN"/>
        </w:rPr>
        <w:t>工业和信息化局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工业和信息化局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hint="eastAsia" w:ascii="黑体" w:hAnsi="Cambria" w:eastAsia="黑体" w:cs="黑体"/>
          <w:kern w:val="0"/>
        </w:rPr>
      </w:pPr>
      <w:r>
        <w:rPr>
          <w:rFonts w:hint="eastAsia" w:ascii="黑体" w:hAnsi="Cambria" w:eastAsia="黑体" w:cs="黑体"/>
          <w:kern w:val="0"/>
        </w:rPr>
        <w:t>一、部门职责</w:t>
      </w:r>
    </w:p>
    <w:p>
      <w:pPr>
        <w:wordWrap w:val="0"/>
        <w:spacing w:after="240" w:line="680" w:lineRule="exact"/>
        <w:ind w:left="1" w:firstLine="640" w:firstLineChars="200"/>
        <w:rPr>
          <w:rFonts w:ascii="仿宋_GB2312" w:hAnsi="Arial" w:eastAsia="仿宋_GB2312" w:cs="Arial"/>
          <w:sz w:val="32"/>
          <w:szCs w:val="32"/>
        </w:rPr>
      </w:pPr>
      <w:r>
        <w:rPr>
          <w:rFonts w:hint="eastAsia" w:ascii="仿宋_GB2312" w:hAnsi="Arial" w:eastAsia="仿宋_GB2312" w:cs="Arial"/>
          <w:sz w:val="32"/>
          <w:szCs w:val="32"/>
        </w:rPr>
        <w:t>1、提出全县新型工业化发展战略和政策，协调解决新型工业化进程中的重大问题，推进产业结构战略性调整和优化升级，推进信息化和工业化融合，促进民营经济发展。</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2、制订并组织实施全县工业行业和信息化规划、计划和产业政策，提出优化产业布局、结构的政策建议，推进现代产业体系建设，起草地方性法规、规章草案，组织实施行业技术规范和标准，指导行业质量管理工作；协调推进工业系统名牌战略工作。</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3、监测、分析全县工业运行态势，统计并发布相关信息，进行预测预警和信息引导，协调解决行业运行发展中的有关问题并提出政策建议，负责工业应急管理、产业安全有关工作。</w:t>
      </w:r>
    </w:p>
    <w:p>
      <w:pPr>
        <w:wordWrap w:val="0"/>
        <w:spacing w:after="240" w:line="680" w:lineRule="exact"/>
        <w:ind w:left="1" w:firstLine="640" w:firstLineChars="200"/>
        <w:rPr>
          <w:rFonts w:ascii="仿宋_GB2312" w:hAnsi="Arial" w:eastAsia="仿宋_GB2312" w:cs="Arial"/>
          <w:sz w:val="32"/>
          <w:szCs w:val="32"/>
        </w:rPr>
      </w:pPr>
      <w:r>
        <w:rPr>
          <w:rFonts w:hint="eastAsia" w:ascii="仿宋_GB2312" w:hAnsi="Arial" w:eastAsia="仿宋_GB2312" w:cs="Arial"/>
          <w:sz w:val="32"/>
          <w:szCs w:val="32"/>
        </w:rPr>
        <w:t>4、负责提出全县工业和信息化固定资产投资规模和方向（含利用外资和境外投资）、国家和省、市、县财政性建设资金安排的意见；按县政府规定权限审批、核准、审核、申报国家和省、市、县规划内及年度计划规模内固定资产投资项目。</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5、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        6、拟订和组织实施中小企业发展专项资金年度计划和固定资产投资计划，提出县级中小企业发展专项资金年度预算建议，实施对专项企业专项资金使用的监督检查；监督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系，引导各类中介组织为中小企业提供服务。</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7、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8、承担全县振兴装备制造业、原材料工业、消费品工业、电子信息产业等行业的组织协调管理责任，负责冶金矿产品生产经营管理，贯彻执行国家、省、市、县重大技术装备发展和自主创新规划、政策，依托国家、省、市、县重点工程建设，协调有关重大专项的实施，推进重大技术装备国产化，指导引进重大技术装备的消化创新。</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9、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10、拟订并组织实施全县工业能源节约和资源综合利用、清洁生产促进政策，参与拟订能源节约和资源综合利用、清洁生产促进规划，组织协调相关重大示范工程和新产品、新技术、新设备、新材料的推广应用。</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11、推进全县工业体制改革和管理创新，提高行业综合素质和核心竞争力，指导相关行业加强安全生产管理。</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12、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wordWrap w:val="0"/>
        <w:spacing w:after="240" w:line="680" w:lineRule="exact"/>
        <w:ind w:left="1" w:firstLine="640" w:firstLineChars="200"/>
        <w:rPr>
          <w:rFonts w:ascii="仿宋_GB2312" w:hAnsi="Arial" w:eastAsia="仿宋_GB2312" w:cs="Arial"/>
          <w:sz w:val="32"/>
          <w:szCs w:val="32"/>
        </w:rPr>
      </w:pPr>
      <w:r>
        <w:rPr>
          <w:rFonts w:hint="eastAsia" w:ascii="仿宋_GB2312" w:hAnsi="Arial" w:eastAsia="仿宋_GB2312" w:cs="Arial"/>
          <w:sz w:val="32"/>
          <w:szCs w:val="32"/>
        </w:rPr>
        <w:t>13、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14、组织开展工业、信息化的对外合作与交流，会同有关部门组织开展工业和信息化利用外资工作。</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15、承担民爆器材行业生产流通的监督管理和安全生产工作。</w:t>
      </w:r>
    </w:p>
    <w:p>
      <w:pPr>
        <w:wordWrap w:val="0"/>
        <w:spacing w:after="240" w:line="680" w:lineRule="exact"/>
        <w:ind w:left="1" w:firstLine="508" w:firstLineChars="159"/>
        <w:rPr>
          <w:rFonts w:ascii="仿宋" w:hAnsi="仿宋" w:eastAsia="仿宋" w:cs="仿宋"/>
          <w:sz w:val="32"/>
          <w:szCs w:val="32"/>
        </w:rPr>
      </w:pPr>
      <w:r>
        <w:rPr>
          <w:rFonts w:hint="eastAsia" w:ascii="仿宋_GB2312" w:hAnsi="Arial" w:eastAsia="仿宋_GB2312" w:cs="Arial"/>
          <w:sz w:val="32"/>
          <w:szCs w:val="32"/>
        </w:rPr>
        <w:t>16、国有企业资产保值增值及管理工作。</w:t>
      </w:r>
      <w:r>
        <w:rPr>
          <w:rFonts w:hint="eastAsia" w:ascii="仿宋_GB2312" w:hAnsi="Arial" w:eastAsia="仿宋_GB2312" w:cs="Arial"/>
          <w:sz w:val="32"/>
          <w:szCs w:val="32"/>
        </w:rPr>
        <w:br w:type="textWrapping"/>
      </w:r>
      <w:r>
        <w:rPr>
          <w:rFonts w:hint="eastAsia" w:ascii="仿宋_GB2312" w:hAnsi="Arial" w:eastAsia="仿宋_GB2312" w:cs="Arial"/>
          <w:sz w:val="32"/>
          <w:szCs w:val="32"/>
        </w:rPr>
        <w:t xml:space="preserve">   17、承办县政府交办的其他事项。</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 xml:space="preserve">2017 年度，纳入本部门决算汇编范围的独立核算单位（以下简称“单位”）共 </w:t>
      </w:r>
      <w:r>
        <w:rPr>
          <w:rFonts w:hint="eastAsia" w:ascii="仿宋_GB2312" w:hAnsi="Cambria" w:eastAsia="仿宋_GB2312" w:cs="ArialUnicodeMS"/>
          <w:kern w:val="0"/>
          <w:sz w:val="32"/>
          <w:szCs w:val="32"/>
          <w:lang w:val="en-US" w:eastAsia="zh-CN"/>
        </w:rPr>
        <w:t xml:space="preserve">1 </w:t>
      </w:r>
      <w:r>
        <w:rPr>
          <w:rFonts w:hint="eastAsia" w:ascii="仿宋_GB2312" w:hAnsi="Cambria" w:eastAsia="仿宋_GB2312" w:cs="ArialUnicodeMS"/>
          <w:kern w:val="0"/>
          <w:sz w:val="32"/>
          <w:szCs w:val="32"/>
        </w:rPr>
        <w:t>个，是</w:t>
      </w:r>
      <w:r>
        <w:rPr>
          <w:rFonts w:hint="eastAsia" w:ascii="仿宋_GB2312" w:hAnsi="Cambria" w:eastAsia="仿宋_GB2312" w:cs="ArialUnicodeMS"/>
          <w:kern w:val="0"/>
          <w:sz w:val="32"/>
          <w:szCs w:val="32"/>
          <w:lang w:eastAsia="zh-CN"/>
        </w:rPr>
        <w:t>无极县工业和信息化局</w:t>
      </w:r>
      <w:r>
        <w:rPr>
          <w:rFonts w:hint="eastAsia" w:ascii="仿宋_GB2312" w:hAnsi="Cambria" w:eastAsia="仿宋_GB2312" w:cs="ArialUnicodeMS"/>
          <w:kern w:val="0"/>
          <w:sz w:val="32"/>
          <w:szCs w:val="32"/>
        </w:rPr>
        <w:t xml:space="preserve"> ，单位基本性质为</w:t>
      </w:r>
      <w:r>
        <w:rPr>
          <w:rFonts w:hint="eastAsia" w:ascii="仿宋_GB2312" w:hAnsi="Cambria" w:eastAsia="仿宋_GB2312" w:cs="ArialUnicodeMS"/>
          <w:kern w:val="0"/>
          <w:sz w:val="32"/>
          <w:szCs w:val="32"/>
          <w:lang w:eastAsia="zh-CN"/>
        </w:rPr>
        <w:t>行政</w:t>
      </w:r>
      <w:r>
        <w:rPr>
          <w:rFonts w:hint="eastAsia" w:ascii="仿宋_GB2312" w:hAnsi="Cambria" w:eastAsia="仿宋_GB2312" w:cs="ArialUnicodeMS"/>
          <w:kern w:val="0"/>
          <w:sz w:val="32"/>
          <w:szCs w:val="32"/>
        </w:rPr>
        <w:t>单位，预算管理级次为</w:t>
      </w:r>
      <w:r>
        <w:rPr>
          <w:rFonts w:hint="eastAsia" w:ascii="仿宋_GB2312" w:hAnsi="Cambria" w:eastAsia="仿宋_GB2312" w:cs="ArialUnicodeMS"/>
          <w:kern w:val="0"/>
          <w:sz w:val="32"/>
          <w:szCs w:val="32"/>
          <w:lang w:eastAsia="zh-CN"/>
        </w:rPr>
        <w:t>县</w:t>
      </w:r>
      <w:r>
        <w:rPr>
          <w:rFonts w:hint="eastAsia" w:ascii="仿宋_GB2312" w:hAnsi="Cambria" w:eastAsia="仿宋_GB2312" w:cs="ArialUnicodeMS"/>
          <w:kern w:val="0"/>
          <w:sz w:val="32"/>
          <w:szCs w:val="32"/>
        </w:rPr>
        <w:t>级预算单位，执行</w:t>
      </w:r>
      <w:r>
        <w:rPr>
          <w:rFonts w:hint="eastAsia" w:ascii="仿宋_GB2312" w:hAnsi="Cambria" w:eastAsia="仿宋_GB2312" w:cs="ArialUnicodeMS"/>
          <w:kern w:val="0"/>
          <w:sz w:val="32"/>
          <w:szCs w:val="32"/>
          <w:lang w:eastAsia="zh-CN"/>
        </w:rPr>
        <w:t>行政单位会计</w:t>
      </w:r>
      <w:r>
        <w:rPr>
          <w:rFonts w:hint="eastAsia" w:ascii="仿宋_GB2312" w:hAnsi="Cambria" w:eastAsia="仿宋_GB2312" w:cs="ArialUnicodeMS"/>
          <w:kern w:val="0"/>
          <w:sz w:val="32"/>
          <w:szCs w:val="32"/>
        </w:rPr>
        <w:t>制度，较上年无增减变化。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autoSpaceDE w:val="0"/>
        <w:autoSpaceDN w:val="0"/>
        <w:adjustRightInd w:val="0"/>
        <w:spacing w:line="560" w:lineRule="exact"/>
        <w:jc w:val="center"/>
        <w:rPr>
          <w:rFonts w:hint="eastAsia" w:ascii="仿宋" w:hAnsi="仿宋" w:eastAsia="仿宋" w:cs="仿宋"/>
          <w:b w:val="0"/>
          <w:bCs/>
          <w:color w:val="auto"/>
          <w:kern w:val="0"/>
          <w:sz w:val="32"/>
          <w:szCs w:val="32"/>
          <w:lang w:eastAsia="zh-CN"/>
        </w:rPr>
      </w:pPr>
      <w:r>
        <w:rPr>
          <w:rFonts w:hint="eastAsia" w:ascii="仿宋" w:hAnsi="仿宋" w:eastAsia="仿宋" w:cs="仿宋"/>
          <w:b w:val="0"/>
          <w:bCs/>
          <w:color w:val="auto"/>
          <w:kern w:val="0"/>
          <w:sz w:val="32"/>
          <w:szCs w:val="32"/>
          <w:lang w:eastAsia="zh-CN"/>
        </w:rPr>
        <w:t>（详见附件）</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收入支出决算总表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收入决算表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支出决算表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财政拨款收入支出决算总表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一般公共预算财政拨款收入支出决算表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一般公共预算财政拨款基本支出决算表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政府性基金预算财政拨款收入支出决算表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国有资本经营预算财政拨款收入支出决算表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“三公”经费及相关信息统计表</w:t>
      </w:r>
    </w:p>
    <w:p>
      <w:pPr>
        <w:numPr>
          <w:ilvl w:val="0"/>
          <w:numId w:val="1"/>
        </w:numPr>
        <w:autoSpaceDE w:val="0"/>
        <w:autoSpaceDN w:val="0"/>
        <w:adjustRightInd w:val="0"/>
        <w:spacing w:line="560" w:lineRule="exact"/>
        <w:ind w:left="883" w:leftChars="0" w:firstLine="0" w:firstLineChars="0"/>
        <w:jc w:val="left"/>
        <w:rPr>
          <w:rFonts w:hint="eastAsia" w:ascii="仿宋" w:hAnsi="仿宋" w:eastAsia="仿宋" w:cs="仿宋"/>
          <w:b w:val="0"/>
          <w:bCs/>
          <w:color w:val="auto"/>
          <w:kern w:val="0"/>
          <w:sz w:val="32"/>
          <w:szCs w:val="32"/>
          <w:lang w:val="en-US" w:eastAsia="zh-CN"/>
        </w:rPr>
      </w:pPr>
      <w:r>
        <w:rPr>
          <w:rFonts w:hint="eastAsia" w:ascii="仿宋" w:hAnsi="仿宋" w:eastAsia="仿宋" w:cs="仿宋"/>
          <w:b w:val="0"/>
          <w:bCs/>
          <w:color w:val="auto"/>
          <w:kern w:val="0"/>
          <w:sz w:val="32"/>
          <w:szCs w:val="32"/>
          <w:lang w:val="en-US" w:eastAsia="zh-CN"/>
        </w:rPr>
        <w:t>政府采购情况表</w:t>
      </w:r>
    </w:p>
    <w:p>
      <w:pPr>
        <w:widowControl w:val="0"/>
        <w:numPr>
          <w:ilvl w:val="0"/>
          <w:numId w:val="0"/>
        </w:numPr>
        <w:autoSpaceDE w:val="0"/>
        <w:autoSpaceDN w:val="0"/>
        <w:adjustRightInd w:val="0"/>
        <w:spacing w:after="160" w:line="560" w:lineRule="exact"/>
        <w:jc w:val="left"/>
        <w:rPr>
          <w:rFonts w:hint="eastAsia" w:ascii="仿宋" w:hAnsi="仿宋" w:eastAsia="仿宋" w:cs="仿宋"/>
          <w:b w:val="0"/>
          <w:bCs/>
          <w:color w:val="auto"/>
          <w:kern w:val="0"/>
          <w:sz w:val="32"/>
          <w:szCs w:val="32"/>
          <w:lang w:val="en-US" w:eastAsia="zh-CN"/>
        </w:rPr>
      </w:pPr>
    </w:p>
    <w:p>
      <w:pPr>
        <w:widowControl w:val="0"/>
        <w:numPr>
          <w:ilvl w:val="0"/>
          <w:numId w:val="0"/>
        </w:numPr>
        <w:autoSpaceDE w:val="0"/>
        <w:autoSpaceDN w:val="0"/>
        <w:adjustRightInd w:val="0"/>
        <w:spacing w:after="160" w:line="560" w:lineRule="exact"/>
        <w:jc w:val="left"/>
        <w:rPr>
          <w:rFonts w:hint="eastAsia" w:ascii="仿宋" w:hAnsi="仿宋" w:eastAsia="仿宋" w:cs="仿宋"/>
          <w:b w:val="0"/>
          <w:bCs/>
          <w:color w:val="auto"/>
          <w:kern w:val="0"/>
          <w:sz w:val="32"/>
          <w:szCs w:val="32"/>
          <w:lang w:val="en-US" w:eastAsia="zh-CN"/>
        </w:rPr>
      </w:pPr>
      <w:bookmarkStart w:id="0" w:name="_GoBack"/>
      <w:bookmarkEnd w:id="0"/>
    </w:p>
    <w:p>
      <w:pPr>
        <w:widowControl w:val="0"/>
        <w:numPr>
          <w:ilvl w:val="0"/>
          <w:numId w:val="0"/>
        </w:numPr>
        <w:autoSpaceDE w:val="0"/>
        <w:autoSpaceDN w:val="0"/>
        <w:adjustRightInd w:val="0"/>
        <w:spacing w:after="160" w:line="560" w:lineRule="exact"/>
        <w:jc w:val="left"/>
        <w:rPr>
          <w:rFonts w:hint="eastAsia" w:ascii="宋体" w:hAnsi="宋体" w:eastAsia="宋体" w:cs="黑体"/>
          <w:b/>
          <w:color w:val="auto"/>
          <w:kern w:val="0"/>
          <w:sz w:val="32"/>
          <w:szCs w:val="32"/>
          <w:lang w:val="en-US" w:eastAsia="zh-CN"/>
        </w:rPr>
      </w:pPr>
    </w:p>
    <w:p>
      <w:pPr>
        <w:widowControl w:val="0"/>
        <w:numPr>
          <w:ilvl w:val="0"/>
          <w:numId w:val="0"/>
        </w:numPr>
        <w:autoSpaceDE w:val="0"/>
        <w:autoSpaceDN w:val="0"/>
        <w:adjustRightInd w:val="0"/>
        <w:spacing w:after="160" w:line="560" w:lineRule="exact"/>
        <w:jc w:val="left"/>
        <w:rPr>
          <w:rFonts w:hint="eastAsia" w:ascii="宋体" w:hAnsi="宋体" w:eastAsia="宋体" w:cs="黑体"/>
          <w:b/>
          <w:color w:val="auto"/>
          <w:kern w:val="0"/>
          <w:sz w:val="32"/>
          <w:szCs w:val="32"/>
          <w:lang w:val="en-US" w:eastAsia="zh-CN"/>
        </w:rPr>
      </w:pPr>
    </w:p>
    <w:p>
      <w:pPr>
        <w:widowControl w:val="0"/>
        <w:numPr>
          <w:ilvl w:val="0"/>
          <w:numId w:val="0"/>
        </w:numPr>
        <w:autoSpaceDE w:val="0"/>
        <w:autoSpaceDN w:val="0"/>
        <w:adjustRightInd w:val="0"/>
        <w:spacing w:after="160" w:line="560" w:lineRule="exact"/>
        <w:jc w:val="left"/>
        <w:rPr>
          <w:rFonts w:hint="eastAsia" w:ascii="宋体" w:hAnsi="宋体" w:eastAsia="宋体" w:cs="黑体"/>
          <w:b/>
          <w:color w:val="auto"/>
          <w:kern w:val="0"/>
          <w:sz w:val="32"/>
          <w:szCs w:val="32"/>
          <w:lang w:val="en-US" w:eastAsia="zh-CN"/>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本部门2017年度年初结转和结余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1624.56</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1010.72</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613.84</w:t>
      </w:r>
      <w:r>
        <w:rPr>
          <w:rFonts w:hint="eastAsia" w:ascii="仿宋_GB2312" w:eastAsia="仿宋_GB2312" w:cs="DengXian-Regular"/>
          <w:sz w:val="32"/>
          <w:szCs w:val="32"/>
        </w:rPr>
        <w:t>万元。与2016年度决算相比，本年收入减少</w:t>
      </w:r>
      <w:r>
        <w:rPr>
          <w:rFonts w:hint="eastAsia" w:ascii="仿宋_GB2312" w:eastAsia="仿宋_GB2312" w:cs="DengXian-Regular"/>
          <w:sz w:val="32"/>
          <w:szCs w:val="32"/>
          <w:lang w:val="en-US" w:eastAsia="zh-CN"/>
        </w:rPr>
        <w:t>1611.59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99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节能环保支出减少</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2225.43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220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pStyle w:val="3"/>
        <w:spacing w:before="0" w:after="0" w:line="560" w:lineRule="exact"/>
        <w:ind w:firstLine="640" w:firstLineChars="200"/>
        <w:rPr>
          <w:rFonts w:hint="eastAsia" w:ascii="仿宋_GB2312" w:eastAsia="仿宋_GB2312" w:cs="DengXian-Regular"/>
          <w:b w:val="0"/>
          <w:bCs w:val="0"/>
          <w:sz w:val="32"/>
          <w:szCs w:val="32"/>
          <w:lang w:val="en-US" w:eastAsia="zh-CN"/>
        </w:rPr>
      </w:pPr>
      <w:r>
        <w:rPr>
          <w:rFonts w:hint="eastAsia" w:ascii="仿宋_GB2312" w:eastAsia="仿宋_GB2312" w:cs="DengXian-Regular"/>
          <w:b w:val="0"/>
          <w:bCs w:val="0"/>
          <w:sz w:val="32"/>
          <w:szCs w:val="32"/>
        </w:rPr>
        <w:t>本部门2017年度本年收入合计</w:t>
      </w:r>
      <w:r>
        <w:rPr>
          <w:rFonts w:hint="eastAsia" w:ascii="仿宋_GB2312" w:eastAsia="仿宋_GB2312" w:cs="DengXian-Regular"/>
          <w:b w:val="0"/>
          <w:bCs w:val="0"/>
          <w:sz w:val="32"/>
          <w:szCs w:val="32"/>
          <w:lang w:val="en-US" w:eastAsia="zh-CN"/>
        </w:rPr>
        <w:t>1624.56</w:t>
      </w:r>
      <w:r>
        <w:rPr>
          <w:rFonts w:hint="eastAsia" w:ascii="仿宋_GB2312" w:eastAsia="仿宋_GB2312" w:cs="DengXian-Regular"/>
          <w:b w:val="0"/>
          <w:bCs w:val="0"/>
          <w:sz w:val="32"/>
          <w:szCs w:val="32"/>
        </w:rPr>
        <w:t>万元，其中：财政拨款收入</w:t>
      </w:r>
      <w:r>
        <w:rPr>
          <w:rFonts w:hint="eastAsia" w:ascii="仿宋_GB2312" w:eastAsia="仿宋_GB2312" w:cs="DengXian-Regular"/>
          <w:b w:val="0"/>
          <w:bCs w:val="0"/>
          <w:sz w:val="32"/>
          <w:szCs w:val="32"/>
          <w:lang w:val="en-US" w:eastAsia="zh-CN"/>
        </w:rPr>
        <w:t>1624.56</w:t>
      </w:r>
      <w:r>
        <w:rPr>
          <w:rFonts w:hint="eastAsia" w:ascii="仿宋_GB2312" w:eastAsia="仿宋_GB2312" w:cs="DengXian-Regular"/>
          <w:b w:val="0"/>
          <w:bCs w:val="0"/>
          <w:sz w:val="32"/>
          <w:szCs w:val="32"/>
        </w:rPr>
        <w:t>万元，占</w:t>
      </w:r>
      <w:r>
        <w:rPr>
          <w:rFonts w:hint="eastAsia" w:ascii="仿宋_GB2312" w:eastAsia="仿宋_GB2312" w:cs="DengXian-Regular"/>
          <w:b w:val="0"/>
          <w:bCs w:val="0"/>
          <w:sz w:val="32"/>
          <w:szCs w:val="32"/>
          <w:lang w:val="en-US" w:eastAsia="zh-CN"/>
        </w:rPr>
        <w:t>100</w:t>
      </w:r>
      <w:r>
        <w:rPr>
          <w:rFonts w:hint="eastAsia" w:ascii="仿宋_GB2312" w:eastAsia="仿宋_GB2312" w:cs="DengXian-Regular"/>
          <w:b w:val="0"/>
          <w:bCs w:val="0"/>
          <w:sz w:val="32"/>
          <w:szCs w:val="32"/>
        </w:rPr>
        <w:t>%；事业收入</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万元，占</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%；经营收入</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万元，占</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%；其他收入</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万元，占</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w:t>
      </w:r>
      <w:r>
        <w:rPr>
          <w:rFonts w:hint="eastAsia" w:ascii="仿宋_GB2312" w:eastAsia="仿宋_GB2312" w:cs="DengXian-Regular"/>
          <w:b w:val="0"/>
          <w:bCs w:val="0"/>
          <w:sz w:val="32"/>
          <w:szCs w:val="32"/>
          <w:lang w:val="en-US" w:eastAsia="zh-CN"/>
        </w:rPr>
        <w:t>如图所示：</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图1：收入决算结构饼状图</w:t>
      </w:r>
    </w:p>
    <w:p>
      <w:pPr>
        <w:spacing w:after="0" w:line="240" w:lineRule="auto"/>
        <w:rPr>
          <w:rFonts w:hint="eastAsia" w:ascii="仿宋_GB2312" w:hAnsi="仿宋_GB2312" w:eastAsia="仿宋_GB2312" w:cs="仿宋_GB2312"/>
          <w:sz w:val="32"/>
          <w:szCs w:val="32"/>
          <w:lang w:val="en-US" w:eastAsia="zh-CN"/>
        </w:rPr>
      </w:pPr>
      <w:r>
        <w:pict>
          <v:shape id="_x0000_i1025" o:spt="75" type="#_x0000_t75" style="height:217.95pt;width:361.95pt;" filled="f" stroked="f" coordsize="21600,21600">
            <v:path/>
            <v:fill on="f" focussize="0,0"/>
            <v:stroke on="f"/>
            <v:imagedata r:id="rId4"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w:t>
      </w:r>
      <w:r>
        <w:rPr>
          <w:rFonts w:hint="eastAsia" w:ascii="仿宋_GB2312" w:eastAsia="仿宋_GB2312" w:cs="DengXian-Regular"/>
          <w:sz w:val="32"/>
          <w:szCs w:val="32"/>
          <w:lang w:val="en-US" w:eastAsia="zh-CN"/>
        </w:rPr>
        <w:t>1010.72</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443.72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44</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567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56</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pict>
          <v:shape id="_x0000_i1026" o:spt="75" type="#_x0000_t75" style="height:217.95pt;width:361.95pt;" filled="f" stroked="f" coordsize="21600,21600">
            <v:path/>
            <v:fill on="f" focussize="0,0"/>
            <v:stroke on="f"/>
            <v:imagedata r:id="rId5"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1624.56</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1010.72</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613.84</w:t>
      </w:r>
      <w:r>
        <w:rPr>
          <w:rFonts w:hint="eastAsia" w:ascii="仿宋_GB2312" w:eastAsia="仿宋_GB2312" w:cs="DengXian-Regular"/>
          <w:sz w:val="32"/>
          <w:szCs w:val="32"/>
        </w:rPr>
        <w:t>万元。与2016年度决算相比，财政拨款本年收入减少</w:t>
      </w:r>
      <w:r>
        <w:rPr>
          <w:rFonts w:hint="eastAsia" w:ascii="仿宋_GB2312" w:eastAsia="仿宋_GB2312" w:cs="DengXian-Regular"/>
          <w:sz w:val="32"/>
          <w:szCs w:val="32"/>
          <w:lang w:val="en-US" w:eastAsia="zh-CN"/>
        </w:rPr>
        <w:t>1611.59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99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节能环保支出减少</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2225.43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220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节能环保支出减少</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1551.37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937.54</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613.84</w:t>
      </w:r>
      <w:r>
        <w:rPr>
          <w:rFonts w:hint="eastAsia" w:ascii="仿宋_GB2312" w:eastAsia="仿宋_GB2312" w:cs="DengXian-Regular"/>
          <w:sz w:val="32"/>
          <w:szCs w:val="32"/>
        </w:rPr>
        <w:t>万元。与2016年度决算相比，一般公共预算财政拨款本年收入减少</w:t>
      </w:r>
      <w:r>
        <w:rPr>
          <w:rFonts w:hint="eastAsia" w:ascii="仿宋_GB2312" w:eastAsia="仿宋_GB2312" w:cs="DengXian-Regular"/>
          <w:sz w:val="32"/>
          <w:szCs w:val="32"/>
          <w:lang w:val="en-US" w:eastAsia="zh-CN"/>
        </w:rPr>
        <w:t>2298.61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节能环保支出减少</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2225.43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245</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节能环保支出减少</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73.19</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73.19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万元。与2016年度决算相比，政府性基金预算财政拨款本年收入增加</w:t>
      </w:r>
      <w:r>
        <w:rPr>
          <w:rFonts w:hint="eastAsia" w:ascii="仿宋_GB2312" w:eastAsia="仿宋_GB2312" w:cs="DengXian-Regular"/>
          <w:sz w:val="32"/>
          <w:szCs w:val="32"/>
          <w:lang w:val="en-US" w:eastAsia="zh-CN"/>
        </w:rPr>
        <w:t>73.18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增加破产或改制企业职工安置费</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73.18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支付破产或改制企业职工安置费</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w:t>
      </w:r>
      <w:r>
        <w:rPr>
          <w:rFonts w:hint="eastAsia" w:ascii="仿宋_GB2312" w:eastAsia="仿宋_GB2312" w:cs="DengXian-Regular"/>
          <w:sz w:val="32"/>
          <w:szCs w:val="32"/>
          <w:lang w:val="en-US" w:eastAsia="zh-CN"/>
        </w:rPr>
        <w:t>1197.44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74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节能环保支出增加</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583.6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w:t>
      </w:r>
      <w:r>
        <w:rPr>
          <w:rFonts w:hint="eastAsia" w:ascii="仿宋_GB2312" w:eastAsia="仿宋_GB2312" w:cs="DengXian-Regular"/>
          <w:sz w:val="32"/>
          <w:szCs w:val="32"/>
          <w:lang w:val="en-US" w:eastAsia="zh-CN"/>
        </w:rPr>
        <w:t>1124.25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72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节能环保支出增加</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510.42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节能环保支出增加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w:t>
      </w:r>
      <w:r>
        <w:rPr>
          <w:rFonts w:hint="eastAsia" w:ascii="仿宋_GB2312" w:eastAsia="仿宋_GB2312" w:cs="DengXian-Regular"/>
          <w:sz w:val="32"/>
          <w:szCs w:val="32"/>
          <w:lang w:val="en-US" w:eastAsia="zh-CN"/>
        </w:rPr>
        <w:t>73.18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增加支付破产或改制企业职工安置费</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73.18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支付破产或改制企业职工安置费</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hint="eastAsia" w:ascii="仿宋_GB2312" w:eastAsia="仿宋_GB2312" w:cs="DengXian-Regular"/>
          <w:sz w:val="32"/>
          <w:szCs w:val="32"/>
          <w:lang w:val="en-US" w:eastAsia="zh-CN"/>
        </w:rPr>
        <w:t>1.03</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2.47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240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公务用车运行维护费和公务接待费减少</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1.93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187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公务用车运行维护费和公务接待费减少</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0.77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本部门2017年度公务用车购置及运行维护费较年初预算减少</w:t>
      </w:r>
      <w:r>
        <w:rPr>
          <w:rFonts w:hint="eastAsia" w:ascii="仿宋_GB2312" w:eastAsia="仿宋_GB2312" w:cs="DengXian-Regular"/>
          <w:sz w:val="32"/>
          <w:szCs w:val="32"/>
          <w:lang w:val="en-US" w:eastAsia="zh-CN"/>
        </w:rPr>
        <w:t>2.23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290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公务用车改革压缩开支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1.7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220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公务用车改革压缩开支</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未发生“公务用车购置”经费支出</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2.23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290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公务用车改革压缩开支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1.7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220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公务用车改革压缩开支</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0.27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10</w:t>
      </w:r>
      <w:r>
        <w:rPr>
          <w:rFonts w:hint="eastAsia" w:ascii="仿宋_GB2312" w:eastAsia="仿宋_GB2312" w:cs="DengXian-Regular"/>
          <w:sz w:val="32"/>
          <w:szCs w:val="32"/>
        </w:rPr>
        <w:t>人次。公务接待费支出较年初预算减少</w:t>
      </w:r>
      <w:r>
        <w:rPr>
          <w:rFonts w:hint="eastAsia" w:ascii="仿宋_GB2312" w:eastAsia="仿宋_GB2312" w:cs="DengXian-Regular"/>
          <w:sz w:val="32"/>
          <w:szCs w:val="32"/>
          <w:lang w:val="en-US" w:eastAsia="zh-CN"/>
        </w:rPr>
        <w:t>0.23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85</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压缩开支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0.22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81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压缩开支</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ind w:firstLine="640" w:firstLineChars="200"/>
        <w:rPr>
          <w:rFonts w:ascii="仿宋_GB2312" w:eastAsia="仿宋_GB2312"/>
          <w:sz w:val="32"/>
        </w:rPr>
      </w:pPr>
      <w:r>
        <w:rPr>
          <w:rFonts w:hint="eastAsia" w:ascii="仿宋_GB2312" w:eastAsia="仿宋_GB2312"/>
          <w:sz w:val="32"/>
        </w:rPr>
        <w:t>根据绩效预算管理改革督察要求，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ascii="仿宋_GB2312" w:hAnsi="宋体" w:eastAsia="仿宋_GB2312" w:cs="宋体"/>
          <w:sz w:val="32"/>
        </w:rPr>
      </w:pPr>
      <w:r>
        <w:rPr>
          <w:rFonts w:hint="eastAsia" w:ascii="仿宋_GB2312" w:hAnsi="宋体" w:eastAsia="仿宋_GB2312" w:cs="宋体"/>
          <w:sz w:val="32"/>
        </w:rPr>
        <w:t>根据预算绩效管理要求，本单位组织对2017年度一般公共预算项目支出全面开展绩效自评，涉及</w:t>
      </w:r>
      <w:r>
        <w:rPr>
          <w:rFonts w:hint="eastAsia" w:ascii="仿宋_GB2312" w:eastAsia="仿宋_GB2312" w:cs="DengXian-Regular"/>
          <w:sz w:val="32"/>
          <w:szCs w:val="32"/>
        </w:rPr>
        <w:t>大气防治及锅炉改造</w:t>
      </w:r>
      <w:r>
        <w:rPr>
          <w:rFonts w:hint="eastAsia" w:ascii="仿宋_GB2312" w:hAnsi="宋体" w:eastAsia="仿宋_GB2312" w:cs="宋体"/>
          <w:sz w:val="32"/>
        </w:rPr>
        <w:t>1个项目，涉及资金567万元。从评价情况看，评价结果为优秀的项目有1个。</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pStyle w:val="22"/>
        <w:widowControl/>
        <w:spacing w:before="150" w:beforeAutospacing="0" w:after="210" w:afterAutospacing="0" w:line="375" w:lineRule="atLeast"/>
        <w:ind w:left="150" w:right="150" w:firstLine="640" w:firstLineChars="200"/>
        <w:rPr>
          <w:rFonts w:ascii="仿宋_GB2312" w:eastAsia="仿宋_GB2312" w:cs="DengXian-Regular"/>
          <w:sz w:val="32"/>
          <w:szCs w:val="32"/>
          <w:shd w:val="pct10" w:color="auto" w:fill="FFFFFF"/>
        </w:rPr>
      </w:pPr>
      <w:r>
        <w:rPr>
          <w:rFonts w:hint="eastAsia" w:ascii="仿宋_GB2312" w:hAnsi="宋体" w:eastAsia="仿宋_GB2312" w:cs="宋体"/>
          <w:kern w:val="2"/>
          <w:sz w:val="32"/>
        </w:rPr>
        <w:t>本单位</w:t>
      </w:r>
      <w:r>
        <w:rPr>
          <w:rFonts w:hint="eastAsia" w:ascii="仿宋_GB2312" w:eastAsia="仿宋_GB2312" w:cs="DengXian-Regular"/>
          <w:sz w:val="32"/>
          <w:szCs w:val="32"/>
        </w:rPr>
        <w:t>大气防治及锅炉改造</w:t>
      </w:r>
      <w:r>
        <w:rPr>
          <w:rFonts w:hint="eastAsia" w:ascii="仿宋_GB2312" w:hAnsi="宋体" w:eastAsia="仿宋_GB2312" w:cs="宋体"/>
          <w:kern w:val="2"/>
          <w:sz w:val="32"/>
        </w:rPr>
        <w:t>项目绩效自评：根据年初设定的绩效目标，</w:t>
      </w:r>
      <w:r>
        <w:rPr>
          <w:rFonts w:hint="eastAsia" w:ascii="仿宋_GB2312" w:eastAsia="仿宋_GB2312" w:cs="DengXian-Regular"/>
          <w:sz w:val="32"/>
          <w:szCs w:val="32"/>
        </w:rPr>
        <w:t>大气防治及锅炉改造</w:t>
      </w:r>
      <w:r>
        <w:rPr>
          <w:rFonts w:hint="eastAsia" w:ascii="仿宋_GB2312" w:hAnsi="宋体" w:eastAsia="仿宋_GB2312" w:cs="宋体"/>
          <w:kern w:val="2"/>
          <w:sz w:val="32"/>
        </w:rPr>
        <w:t>项目绩效自评结果为优秀。项目全年预算数为567万元，执行数为567万元，完成预算的100%。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w:t>
      </w:r>
      <w:r>
        <w:rPr>
          <w:rFonts w:hint="eastAsia" w:ascii="仿宋_GB2312" w:eastAsia="仿宋_GB2312" w:cs="DengXian-Regular"/>
          <w:sz w:val="32"/>
          <w:szCs w:val="32"/>
          <w:lang w:val="en-US" w:eastAsia="zh-CN"/>
        </w:rPr>
        <w:t>43.46</w:t>
      </w:r>
      <w:r>
        <w:rPr>
          <w:rFonts w:hint="eastAsia" w:ascii="仿宋_GB2312" w:eastAsia="仿宋_GB2312" w:cs="DengXian-Regular"/>
          <w:sz w:val="32"/>
          <w:szCs w:val="32"/>
        </w:rPr>
        <w:t>万元，比2016年度增加</w:t>
      </w:r>
      <w:r>
        <w:rPr>
          <w:rFonts w:hint="eastAsia" w:ascii="仿宋_GB2312" w:eastAsia="仿宋_GB2312" w:cs="DengXian-Regular"/>
          <w:sz w:val="32"/>
          <w:szCs w:val="32"/>
          <w:lang w:val="en-US" w:eastAsia="zh-CN"/>
        </w:rPr>
        <w:t>30.28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69</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办公费、水电费及差旅费增加</w:t>
      </w:r>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w:t>
      </w:r>
      <w:r>
        <w:rPr>
          <w:rFonts w:hint="eastAsia" w:ascii="仿宋_GB2312" w:eastAsia="仿宋_GB2312" w:cs="DengXian-Regular"/>
          <w:sz w:val="32"/>
          <w:szCs w:val="32"/>
          <w:lang w:val="en-US" w:eastAsia="zh-CN"/>
        </w:rPr>
        <w:t>237.3</w:t>
      </w:r>
      <w:r>
        <w:rPr>
          <w:rFonts w:hint="eastAsia" w:ascii="仿宋_GB2312" w:eastAsia="仿宋_GB2312" w:cs="DengXian-Regular"/>
          <w:sz w:val="32"/>
          <w:szCs w:val="32"/>
        </w:rPr>
        <w:t>万元，其中：政府采购货物支出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万元、政府采购工程支出</w:t>
      </w:r>
      <w:r>
        <w:rPr>
          <w:rFonts w:hint="eastAsia" w:ascii="仿宋_GB2312" w:eastAsia="仿宋_GB2312" w:cs="DengXian-Regular"/>
          <w:sz w:val="32"/>
          <w:szCs w:val="32"/>
          <w:lang w:val="en-US" w:eastAsia="zh-CN"/>
        </w:rPr>
        <w:t>237.3</w:t>
      </w:r>
      <w:r>
        <w:rPr>
          <w:rFonts w:hint="eastAsia" w:ascii="仿宋_GB2312" w:eastAsia="仿宋_GB2312" w:cs="DengXian-Regular"/>
          <w:sz w:val="32"/>
          <w:szCs w:val="32"/>
        </w:rPr>
        <w:t>万元、政府采购服务支出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辆，其中，市级领导干部用车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w:t>
      </w:r>
      <w:r>
        <w:rPr>
          <w:rFonts w:hint="eastAsia" w:ascii="仿宋_GB2312" w:eastAsia="仿宋_GB2312" w:cs="DengXian-Regular"/>
          <w:sz w:val="32"/>
          <w:szCs w:val="32"/>
          <w:lang w:eastAsia="zh-CN"/>
        </w:rPr>
        <w:t>国有资本经营预算财政拨款收入支出决算</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国有资本经营预算财政拨款收入支出决算表</w:t>
      </w:r>
      <w:r>
        <w:rPr>
          <w:rFonts w:hint="eastAsia" w:ascii="仿宋_GB2312" w:eastAsia="仿宋_GB2312" w:cs="DengXian-Regular"/>
          <w:sz w:val="32"/>
          <w:szCs w:val="32"/>
        </w:rPr>
        <w:t>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1"/>
      <w:numFmt w:val="chineseCounting"/>
      <w:suff w:val="nothing"/>
      <w:lvlText w:val="%1、"/>
      <w:lvlJc w:val="left"/>
      <w:pPr>
        <w:ind w:left="883"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BAD7227"/>
    <w:rsid w:val="145248A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黑体"/>
      <w:b/>
      <w:bCs/>
      <w:sz w:val="28"/>
      <w:szCs w:val="28"/>
    </w:rPr>
  </w:style>
  <w:style w:type="character" w:default="1" w:styleId="10">
    <w:name w:val="Default Paragraph Fon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6"/>
    <w:uiPriority w:val="0"/>
    <w:pPr>
      <w:tabs>
        <w:tab w:val="center" w:pos="4153"/>
        <w:tab w:val="right" w:pos="8306"/>
      </w:tabs>
      <w:snapToGrid w:val="0"/>
      <w:jc w:val="left"/>
    </w:pPr>
    <w:rPr>
      <w:sz w:val="18"/>
      <w:szCs w:val="18"/>
    </w:rPr>
  </w:style>
  <w:style w:type="paragraph" w:styleId="7">
    <w:name w:val="header"/>
    <w:basedOn w:val="1"/>
    <w:link w:val="17"/>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0"/>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0"/>
    <w:link w:val="3"/>
    <w:semiHidden/>
    <w:uiPriority w:val="0"/>
    <w:rPr>
      <w:rFonts w:ascii="Calibri" w:hAnsi="Calibri" w:eastAsia="宋体" w:cs="黑体"/>
      <w:b/>
      <w:bCs/>
      <w:sz w:val="32"/>
      <w:szCs w:val="32"/>
    </w:rPr>
  </w:style>
  <w:style w:type="character" w:customStyle="1" w:styleId="14">
    <w:name w:val="标题 3 Char"/>
    <w:basedOn w:val="10"/>
    <w:link w:val="4"/>
    <w:semiHidden/>
    <w:qFormat/>
    <w:uiPriority w:val="0"/>
    <w:rPr>
      <w:rFonts w:ascii="Times New Roman" w:hAnsi="Times New Roman" w:eastAsia="宋体" w:cs="Times New Roman"/>
      <w:b/>
      <w:bCs/>
      <w:sz w:val="32"/>
      <w:szCs w:val="32"/>
    </w:rPr>
  </w:style>
  <w:style w:type="character" w:customStyle="1" w:styleId="15">
    <w:name w:val="标题 4 Char"/>
    <w:basedOn w:val="10"/>
    <w:link w:val="5"/>
    <w:semiHidden/>
    <w:qFormat/>
    <w:uiPriority w:val="0"/>
    <w:rPr>
      <w:rFonts w:ascii="Calibri" w:hAnsi="Calibri" w:eastAsia="宋体" w:cs="黑体"/>
      <w:b/>
      <w:bCs/>
      <w:sz w:val="28"/>
      <w:szCs w:val="28"/>
    </w:rPr>
  </w:style>
  <w:style w:type="character" w:customStyle="1" w:styleId="16">
    <w:name w:val="页脚 Char"/>
    <w:basedOn w:val="10"/>
    <w:link w:val="6"/>
    <w:semiHidden/>
    <w:uiPriority w:val="0"/>
    <w:rPr>
      <w:sz w:val="18"/>
      <w:szCs w:val="18"/>
    </w:rPr>
  </w:style>
  <w:style w:type="character" w:customStyle="1" w:styleId="17">
    <w:name w:val="页眉 Char"/>
    <w:basedOn w:val="10"/>
    <w:link w:val="7"/>
    <w:semiHidden/>
    <w:qFormat/>
    <w:uiPriority w:val="0"/>
    <w:rPr>
      <w:sz w:val="18"/>
      <w:szCs w:val="18"/>
    </w:rPr>
  </w:style>
  <w:style w:type="character" w:customStyle="1" w:styleId="18">
    <w:name w:val="副标题 Char"/>
    <w:basedOn w:val="10"/>
    <w:link w:val="8"/>
    <w:semiHidden/>
    <w:uiPriority w:val="0"/>
    <w:rPr>
      <w:rFonts w:ascii="Calibri" w:hAnsi="Calibri" w:eastAsia="宋体" w:cs="黑体"/>
      <w:i/>
      <w:iCs/>
      <w:color w:val="F0A22E"/>
      <w:spacing w:val="15"/>
      <w:kern w:val="0"/>
      <w:sz w:val="24"/>
      <w:szCs w:val="24"/>
    </w:rPr>
  </w:style>
  <w:style w:type="character" w:customStyle="1" w:styleId="19">
    <w:name w:val="标题 Char"/>
    <w:basedOn w:val="10"/>
    <w:link w:val="9"/>
    <w:semiHidden/>
    <w:uiPriority w:val="0"/>
    <w:rPr>
      <w:rFonts w:ascii="Calibri" w:hAnsi="Calibri" w:eastAsia="宋体" w:cs="黑体"/>
      <w:color w:val="392B23"/>
      <w:spacing w:val="5"/>
      <w:kern w:val="28"/>
      <w:sz w:val="52"/>
      <w:szCs w:val="52"/>
    </w:rPr>
  </w:style>
  <w:style w:type="paragraph" w:customStyle="1" w:styleId="20">
    <w:name w:val="批注框文本 Char Char"/>
    <w:basedOn w:val="1"/>
    <w:link w:val="23"/>
    <w:uiPriority w:val="0"/>
    <w:rPr>
      <w:rFonts w:ascii="Times New Roman" w:hAnsi="Times New Roman" w:eastAsia="宋体" w:cs="Times New Roman"/>
      <w:sz w:val="18"/>
      <w:szCs w:val="18"/>
    </w:rPr>
  </w:style>
  <w:style w:type="paragraph" w:customStyle="1" w:styleId="21">
    <w:name w:val="No Spacing"/>
    <w:link w:val="24"/>
    <w:uiPriority w:val="0"/>
    <w:pPr>
      <w:spacing w:after="160" w:line="480" w:lineRule="auto"/>
    </w:pPr>
    <w:rPr>
      <w:rFonts w:ascii="Times New Roman" w:hAnsi="Times New Roman" w:eastAsia="宋体" w:cs="Times New Roman"/>
      <w:kern w:val="0"/>
      <w:sz w:val="22"/>
      <w:lang w:val="en-US" w:eastAsia="zh-CN" w:bidi="ar-SA"/>
    </w:rPr>
  </w:style>
  <w:style w:type="paragraph" w:customStyle="1" w:styleId="22">
    <w:name w:val="普通(网站)1"/>
    <w:basedOn w:val="1"/>
    <w:uiPriority w:val="0"/>
    <w:pPr>
      <w:spacing w:beforeAutospacing="1" w:after="100" w:afterAutospacing="1"/>
      <w:jc w:val="left"/>
    </w:pPr>
    <w:rPr>
      <w:kern w:val="0"/>
      <w:sz w:val="24"/>
    </w:rPr>
  </w:style>
  <w:style w:type="character" w:customStyle="1" w:styleId="23">
    <w:name w:val="批注框文本 Char Char Char Char"/>
    <w:basedOn w:val="10"/>
    <w:link w:val="20"/>
    <w:semiHidden/>
    <w:uiPriority w:val="0"/>
    <w:rPr>
      <w:rFonts w:ascii="Times New Roman" w:hAnsi="Times New Roman" w:eastAsia="宋体" w:cs="Times New Roman"/>
      <w:sz w:val="18"/>
      <w:szCs w:val="18"/>
    </w:rPr>
  </w:style>
  <w:style w:type="character" w:customStyle="1" w:styleId="24">
    <w:name w:val="无间隔 Char"/>
    <w:basedOn w:val="10"/>
    <w:link w:val="21"/>
    <w:semiHidden/>
    <w:uiPriority w:val="0"/>
    <w:rPr>
      <w:kern w:val="0"/>
      <w:sz w:val="22"/>
    </w:rPr>
  </w:style>
  <w:style w:type="character" w:customStyle="1" w:styleId="25">
    <w:name w:val="Style1"/>
    <w:basedOn w:val="10"/>
    <w:uiPriority w:val="0"/>
    <w:rPr>
      <w:rFonts w:ascii="Cambria" w:hAnsi="黑体" w:eastAsia="黑体" w:cs="黑体"/>
      <w:sz w:val="22"/>
      <w:szCs w:val="22"/>
      <w:lang w:eastAsia="zh-CN"/>
    </w:rPr>
  </w:style>
  <w:style w:type="character" w:customStyle="1" w:styleId="26">
    <w:name w:val="Style2"/>
    <w:basedOn w:val="10"/>
    <w:uiPriority w:val="0"/>
    <w:rPr>
      <w:rFonts w:ascii="Cambria" w:hAnsi="黑体" w:eastAsia="黑体" w:cs="黑体"/>
      <w:sz w:val="22"/>
      <w:szCs w:val="22"/>
      <w:lang w:eastAsia="zh-CN"/>
    </w:rPr>
  </w:style>
  <w:style w:type="character" w:customStyle="1" w:styleId="27">
    <w:name w:val="Style3"/>
    <w:basedOn w:val="10"/>
    <w:uiPriority w:val="0"/>
    <w:rPr>
      <w:rFonts w:ascii="Cambria" w:hAnsi="黑体" w:eastAsia="黑体" w:cs="黑体"/>
      <w:szCs w:val="22"/>
      <w:lang w:eastAsia="zh-CN"/>
    </w:rPr>
  </w:style>
  <w:style w:type="character" w:customStyle="1" w:styleId="28">
    <w:name w:val="Style4"/>
    <w:basedOn w:val="10"/>
    <w:uiPriority w:val="0"/>
    <w:rPr>
      <w:rFonts w:ascii="Cambria" w:hAnsi="黑体" w:eastAsia="黑体" w:cs="黑体"/>
      <w:szCs w:val="22"/>
      <w:lang w:eastAsia="zh-CN"/>
    </w:rPr>
  </w:style>
  <w:style w:type="character" w:customStyle="1" w:styleId="29">
    <w:name w:val="Style5"/>
    <w:basedOn w:val="10"/>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820</Words>
  <Characters>4675</Characters>
  <Lines>38</Lines>
  <Paragraphs>10</Paragraphs>
  <TotalTime>14</TotalTime>
  <ScaleCrop>false</ScaleCrop>
  <LinksUpToDate>false</LinksUpToDate>
  <CharactersWithSpaces>0</CharactersWithSpaces>
  <Application>WPS Office_11.1.0.7989_F1E327BC-269C-435d-A152-05C5408002CA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cp:lastModifiedBy>123</cp:lastModifiedBy>
  <dcterms:modified xsi:type="dcterms:W3CDTF">2019-02-13T09:03:14Z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