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sz w:val="72"/>
          <w:szCs w:val="72"/>
        </w:rPr>
      </w:pPr>
    </w:p>
    <w:p>
      <w:pPr>
        <w:widowControl/>
        <w:jc w:val="center"/>
        <w:rPr>
          <w:rFonts w:ascii="黑体" w:hAnsi="宋体" w:eastAsia="黑体"/>
          <w:color w:val="002060"/>
          <w:sz w:val="84"/>
          <w:szCs w:val="84"/>
        </w:rPr>
      </w:pPr>
      <w:r>
        <w:rPr>
          <w:rFonts w:hint="eastAsia" w:ascii="黑体" w:hAnsi="宋体" w:eastAsia="黑体"/>
          <w:color w:val="002060"/>
          <w:sz w:val="84"/>
          <w:szCs w:val="84"/>
        </w:rPr>
        <w:t>2017年度部门决算公开</w:t>
      </w: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黑体" w:hAnsi="黑体" w:eastAsia="黑体"/>
          <w:b/>
          <w:sz w:val="72"/>
          <w:szCs w:val="72"/>
        </w:rPr>
      </w:pPr>
    </w:p>
    <w:p>
      <w:pPr>
        <w:widowControl/>
        <w:jc w:val="center"/>
        <w:rPr>
          <w:rFonts w:ascii="宋体" w:hAnsi="宋体"/>
          <w:b/>
          <w:sz w:val="44"/>
          <w:szCs w:val="44"/>
        </w:rPr>
      </w:pPr>
      <w:r>
        <w:rPr>
          <w:rFonts w:hint="eastAsia" w:ascii="宋体" w:hAnsi="宋体"/>
          <w:b/>
          <w:sz w:val="44"/>
          <w:szCs w:val="44"/>
        </w:rPr>
        <w:t>无极县国土资源局</w:t>
      </w:r>
    </w:p>
    <w:p>
      <w:pPr>
        <w:widowControl/>
        <w:jc w:val="center"/>
        <w:rPr>
          <w:rFonts w:ascii="宋体" w:hAnsi="宋体"/>
          <w:b/>
          <w:sz w:val="44"/>
          <w:szCs w:val="44"/>
        </w:rPr>
      </w:pPr>
      <w:r>
        <w:rPr>
          <w:rFonts w:hint="eastAsia" w:ascii="宋体" w:hAnsi="宋体"/>
          <w:b/>
          <w:sz w:val="44"/>
          <w:szCs w:val="44"/>
        </w:rPr>
        <w:t>2018年9月18日</w:t>
      </w:r>
    </w:p>
    <w:p>
      <w:pPr>
        <w:widowControl/>
        <w:spacing w:line="580" w:lineRule="exact"/>
        <w:jc w:val="center"/>
        <w:rPr>
          <w:rFonts w:eastAsia="方正小标宋_GBK"/>
          <w:sz w:val="44"/>
          <w:szCs w:val="44"/>
        </w:rPr>
      </w:pPr>
    </w:p>
    <w:p>
      <w:pPr>
        <w:widowControl/>
        <w:spacing w:line="580" w:lineRule="exact"/>
        <w:jc w:val="center"/>
        <w:rPr>
          <w:rFonts w:ascii="黑体" w:eastAsia="黑体"/>
          <w:sz w:val="44"/>
          <w:szCs w:val="44"/>
        </w:rPr>
      </w:pPr>
      <w:r>
        <w:rPr>
          <w:rFonts w:hint="eastAsia" w:ascii="黑体" w:eastAsia="黑体"/>
          <w:sz w:val="44"/>
          <w:szCs w:val="44"/>
        </w:rPr>
        <w:t>部门决算公开目录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 xml:space="preserve">第一部分   </w:t>
      </w:r>
      <w:r>
        <w:rPr>
          <w:rFonts w:hint="eastAsia" w:eastAsia="黑体"/>
          <w:sz w:val="32"/>
          <w:szCs w:val="32"/>
        </w:rPr>
        <w:t>无极县国土资源局</w:t>
      </w:r>
      <w:r>
        <w:rPr>
          <w:rFonts w:eastAsia="黑体"/>
          <w:sz w:val="32"/>
          <w:szCs w:val="32"/>
        </w:rPr>
        <w:t>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二、部门决算单位构成</w:t>
      </w:r>
    </w:p>
    <w:p>
      <w:pPr>
        <w:widowControl/>
        <w:spacing w:line="580" w:lineRule="exact"/>
        <w:ind w:firstLine="640" w:firstLineChars="200"/>
        <w:rPr>
          <w:rFonts w:eastAsia="仿宋_GB2312"/>
          <w:sz w:val="20"/>
          <w:szCs w:val="32"/>
        </w:rPr>
      </w:pPr>
      <w:r>
        <w:rPr>
          <w:rFonts w:eastAsia="黑体"/>
          <w:sz w:val="32"/>
          <w:szCs w:val="32"/>
        </w:rPr>
        <w:t xml:space="preserve">第二部分   </w:t>
      </w:r>
      <w:r>
        <w:rPr>
          <w:rFonts w:hint="eastAsia" w:eastAsia="黑体"/>
          <w:sz w:val="32"/>
          <w:szCs w:val="32"/>
        </w:rPr>
        <w:t>无极县国土资源局</w:t>
      </w:r>
      <w:r>
        <w:rPr>
          <w:rFonts w:eastAsia="黑体"/>
          <w:sz w:val="32"/>
          <w:szCs w:val="32"/>
        </w:rPr>
        <w:t>2017年度部门决算报表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六、一般公共预算财政拨款基本支出决算经济分类表</w:t>
      </w:r>
    </w:p>
    <w:p>
      <w:pPr>
        <w:widowControl/>
        <w:spacing w:line="580" w:lineRule="exact"/>
        <w:ind w:left="640" w:firstLine="640" w:firstLineChars="200"/>
        <w:rPr>
          <w:rFonts w:eastAsia="仿宋_GB2312"/>
          <w:sz w:val="32"/>
          <w:szCs w:val="32"/>
        </w:rPr>
      </w:pPr>
      <w:r>
        <w:rPr>
          <w:rFonts w:eastAsia="仿宋_GB2312"/>
          <w:sz w:val="32"/>
          <w:szCs w:val="32"/>
        </w:rPr>
        <w:t>七、政府性基金预算财政拨款收入支出决算表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八、国有资本经营预算财政拨款收入支出决算表</w:t>
      </w:r>
    </w:p>
    <w:p>
      <w:pPr>
        <w:widowControl/>
        <w:spacing w:line="580" w:lineRule="exact"/>
        <w:ind w:left="640" w:firstLine="640" w:firstLineChars="200"/>
        <w:rPr>
          <w:rFonts w:eastAsia="仿宋_GB2312"/>
          <w:sz w:val="32"/>
          <w:szCs w:val="32"/>
        </w:rPr>
      </w:pPr>
      <w:r>
        <w:rPr>
          <w:rFonts w:eastAsia="仿宋_GB2312"/>
          <w:sz w:val="32"/>
          <w:szCs w:val="32"/>
        </w:rPr>
        <w:t>九、“三公”经费等相关信息统计表</w:t>
      </w:r>
    </w:p>
    <w:p>
      <w:pPr>
        <w:widowControl/>
        <w:spacing w:line="580" w:lineRule="exact"/>
        <w:ind w:left="640" w:firstLine="640" w:firstLineChars="200"/>
        <w:rPr>
          <w:rFonts w:eastAsia="仿宋_GB2312"/>
          <w:sz w:val="32"/>
          <w:szCs w:val="32"/>
        </w:rPr>
      </w:pPr>
      <w:r>
        <w:rPr>
          <w:rFonts w:eastAsia="仿宋_GB2312"/>
          <w:sz w:val="32"/>
          <w:szCs w:val="32"/>
        </w:rPr>
        <w:t>十、政府采购情况表</w:t>
      </w: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无极县国土资源局</w:t>
      </w:r>
      <w:r>
        <w:rPr>
          <w:rFonts w:eastAsia="黑体"/>
          <w:sz w:val="32"/>
          <w:szCs w:val="32"/>
        </w:rPr>
        <w:t>2017年部门决算情况说明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五、“三公”经费支出决算情况说明</w:t>
      </w:r>
    </w:p>
    <w:p>
      <w:pPr>
        <w:widowControl/>
        <w:spacing w:line="580" w:lineRule="exact"/>
        <w:ind w:left="640" w:firstLine="640" w:firstLineChars="200"/>
        <w:rPr>
          <w:rFonts w:eastAsia="仿宋_GB2312"/>
          <w:sz w:val="32"/>
          <w:szCs w:val="32"/>
        </w:rPr>
      </w:pPr>
      <w:r>
        <w:rPr>
          <w:rFonts w:eastAsia="仿宋_GB2312"/>
          <w:sz w:val="32"/>
          <w:szCs w:val="32"/>
        </w:rPr>
        <w:t>六、预算绩效管理工作开展情况说明</w:t>
      </w:r>
    </w:p>
    <w:p>
      <w:pPr>
        <w:widowControl/>
        <w:spacing w:line="580" w:lineRule="exact"/>
        <w:ind w:left="640" w:firstLine="640" w:firstLineChars="200"/>
        <w:rPr>
          <w:rFonts w:eastAsia="仿宋_GB2312"/>
          <w:sz w:val="32"/>
          <w:szCs w:val="32"/>
        </w:rPr>
      </w:pPr>
      <w:r>
        <w:rPr>
          <w:rFonts w:eastAsia="仿宋_GB2312"/>
          <w:sz w:val="32"/>
          <w:szCs w:val="32"/>
        </w:rPr>
        <w:t>七、其他重要事项的说明</w:t>
      </w:r>
    </w:p>
    <w:p>
      <w:pPr>
        <w:widowControl/>
        <w:spacing w:line="580" w:lineRule="exact"/>
        <w:ind w:left="640" w:firstLine="1344" w:firstLineChars="420"/>
        <w:rPr>
          <w:rFonts w:eastAsia="仿宋_GB2312"/>
          <w:sz w:val="32"/>
          <w:szCs w:val="32"/>
        </w:rPr>
      </w:pPr>
      <w:r>
        <w:rPr>
          <w:rFonts w:eastAsia="仿宋_GB2312"/>
          <w:sz w:val="32"/>
          <w:szCs w:val="32"/>
        </w:rPr>
        <w:t>1.机关运行经费情况</w:t>
      </w:r>
    </w:p>
    <w:p>
      <w:pPr>
        <w:widowControl/>
        <w:spacing w:line="580" w:lineRule="exact"/>
        <w:ind w:left="640" w:firstLine="1344" w:firstLineChars="420"/>
        <w:rPr>
          <w:rFonts w:eastAsia="仿宋_GB2312"/>
          <w:sz w:val="32"/>
          <w:szCs w:val="32"/>
        </w:rPr>
      </w:pPr>
      <w:r>
        <w:rPr>
          <w:rFonts w:eastAsia="仿宋_GB2312"/>
          <w:sz w:val="32"/>
          <w:szCs w:val="32"/>
        </w:rPr>
        <w:t>2.政府采购情况</w:t>
      </w:r>
    </w:p>
    <w:p>
      <w:pPr>
        <w:widowControl/>
        <w:spacing w:line="580" w:lineRule="exact"/>
        <w:ind w:left="640" w:firstLine="1344" w:firstLineChars="420"/>
        <w:rPr>
          <w:rFonts w:eastAsia="仿宋_GB2312"/>
          <w:sz w:val="32"/>
          <w:szCs w:val="32"/>
        </w:rPr>
      </w:pPr>
      <w:r>
        <w:rPr>
          <w:rFonts w:eastAsia="仿宋_GB2312"/>
          <w:sz w:val="32"/>
          <w:szCs w:val="32"/>
        </w:rPr>
        <w:t>3.国有资产占用情况</w:t>
      </w:r>
    </w:p>
    <w:p>
      <w:pPr>
        <w:widowControl/>
        <w:spacing w:line="580" w:lineRule="exact"/>
        <w:ind w:left="640" w:firstLine="1344" w:firstLineChars="420"/>
        <w:rPr>
          <w:rFonts w:eastAsia="仿宋_GB2312"/>
          <w:sz w:val="32"/>
          <w:szCs w:val="32"/>
        </w:rPr>
      </w:pPr>
      <w:r>
        <w:rPr>
          <w:rFonts w:eastAsia="仿宋_GB2312"/>
          <w:sz w:val="32"/>
          <w:szCs w:val="32"/>
        </w:rPr>
        <w:t>4.其他需要说明的情况</w:t>
      </w:r>
    </w:p>
    <w:p>
      <w:pPr>
        <w:widowControl/>
        <w:spacing w:line="580" w:lineRule="exact"/>
        <w:ind w:firstLine="640" w:firstLineChars="200"/>
        <w:rPr>
          <w:rFonts w:eastAsia="黑体"/>
          <w:sz w:val="32"/>
          <w:szCs w:val="32"/>
        </w:rPr>
      </w:pPr>
      <w:r>
        <w:rPr>
          <w:rFonts w:eastAsia="黑体"/>
          <w:sz w:val="32"/>
          <w:szCs w:val="32"/>
        </w:rPr>
        <w:t>第四部分  名词解释</w:t>
      </w:r>
    </w:p>
    <w:p/>
    <w:p/>
    <w:p/>
    <w:p/>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第一部分 部门概况</w:t>
      </w:r>
    </w:p>
    <w:p>
      <w:pPr>
        <w:pStyle w:val="3"/>
        <w:spacing w:before="0" w:after="0" w:line="560" w:lineRule="exact"/>
        <w:ind w:firstLine="643" w:firstLineChars="200"/>
        <w:rPr>
          <w:rFonts w:ascii="黑体" w:hAnsi="Cambria" w:eastAsia="黑体"/>
          <w:kern w:val="0"/>
        </w:rPr>
      </w:pPr>
      <w:r>
        <w:rPr>
          <w:rFonts w:hint="eastAsia" w:ascii="黑体" w:hAnsi="Cambria" w:eastAsia="黑体"/>
          <w:kern w:val="0"/>
        </w:rPr>
        <w:t>一、部门职责</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（一）贯彻执行国家和省、市、有关国土资源的方针、政策、法律、法规，负责组织实施和监督检查。</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制定全县管理、保护与合理利用土地、矿产资源的规范性文件；制订全县土地、矿产资源的技术指标、规程、规范和办法。</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编制和实施县级国土规划、土地利用总体规划、矿产资源总体规划及其他国土资源专项规划。</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贯彻落实国家耕地保护和鼓励土地开发政策，实施农用地用途管制、组织耕地保护，特别是基本农田保护；负责全县未利用土地开发、土地整理、土地复垦、和开发耕地工作，确保耕地只能增加，不减少。</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统一管理全县土地和城乡地政、地籍工作，主管全县土地调查、土地统计、土地登记发证工作，建立健全日常土地统计制度，地籍管理制度和土地动态监测体系。</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监督全县土地、矿产资源规划的执行情况；依法保护土地、矿产资源所有者和使用者的合法权益，调处全县土地、矿产权属纠纷。</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主管全县土地的征收、征用、出让工作；承办由市政府审批的农地转用和由省政府、国务院审批的农地转用、征用的组织、审批、报批和具体项目的供地工作。</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负责办理法律法规授权范围内的采矿权申请登记发证工作；授予企业采矿权和经营权，杜绝无效投资和危矿建立，指导企业合理有效地开发利用好资源。</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负责全县矿产资源开发利用的监督管理，依法查处无证开采、经营，违法开采和乱采乱挖行为，依法征收矿产资源补偿费、采矿登记费、采矿权使用费。</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组织监测、防治地质灾害和保护地质遗迹，监测管理地质环境、监测、监督防止地下水的过量开采与污染，保护地质环境，参与地下水资源的调查、评价、规划，协助水管行政主管部门管理好地下水资源；参与编制并协助实施地质环境保护和地质灾害监测防止的规划、计划，建立完善地质环境监测网络，组织协调地质灾害的整治工作。</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管理并监督、检查国家、省、市财政拨付的国土资源经费、专项经费与其他资金。</w:t>
      </w:r>
    </w:p>
    <w:p>
      <w:pPr>
        <w:autoSpaceDE w:val="0"/>
        <w:autoSpaceDN w:val="0"/>
        <w:adjustRightInd w:val="0"/>
        <w:spacing w:after="0" w:line="560" w:lineRule="exact"/>
        <w:ind w:firstLine="640" w:firstLineChars="200"/>
        <w:jc w:val="left"/>
        <w:rPr>
          <w:rFonts w:ascii="仿宋_GB2312" w:hAnsi="Cambria" w:eastAsia="仿宋_GB2312" w:cs="ArialUnicodeMS"/>
          <w:kern w:val="0"/>
          <w:sz w:val="32"/>
          <w:szCs w:val="32"/>
        </w:rPr>
      </w:pPr>
      <w:r>
        <w:rPr>
          <w:rFonts w:hint="eastAsia" w:ascii="仿宋_GB2312" w:hAnsi="Cambria" w:eastAsia="仿宋_GB2312" w:cs="ArialUnicodeMS"/>
          <w:kern w:val="0"/>
          <w:sz w:val="32"/>
          <w:szCs w:val="32"/>
        </w:rPr>
        <w:t>承办县政府交办的其他事项。</w:t>
      </w:r>
    </w:p>
    <w:p>
      <w:pPr>
        <w:pStyle w:val="3"/>
        <w:spacing w:before="0" w:after="0" w:line="560" w:lineRule="exact"/>
        <w:ind w:firstLine="643" w:firstLineChars="200"/>
        <w:rPr>
          <w:rFonts w:ascii="黑体" w:hAnsi="Cambria" w:eastAsia="黑体"/>
          <w:kern w:val="0"/>
        </w:rPr>
      </w:pPr>
      <w:r>
        <w:rPr>
          <w:rFonts w:hint="eastAsia" w:ascii="黑体" w:hAnsi="Cambria" w:eastAsia="黑体"/>
          <w:kern w:val="0"/>
        </w:rPr>
        <w:t>二、部门决算单位构成</w:t>
      </w:r>
    </w:p>
    <w:p>
      <w:pPr>
        <w:autoSpaceDE w:val="0"/>
        <w:autoSpaceDN w:val="0"/>
        <w:adjustRightInd w:val="0"/>
        <w:spacing w:after="0" w:line="560" w:lineRule="exact"/>
        <w:ind w:firstLine="640" w:firstLineChars="200"/>
        <w:jc w:val="left"/>
        <w:sectPr>
          <w:pgSz w:w="11906" w:h="16838"/>
          <w:pgMar w:top="2098" w:right="1474" w:bottom="1985" w:left="1588" w:header="851" w:footer="992" w:gutter="0"/>
          <w:pgNumType w:start="0"/>
          <w:cols w:space="720" w:num="1"/>
          <w:titlePg/>
          <w:docGrid w:type="lines" w:linePitch="312" w:charSpace="0"/>
        </w:sectPr>
      </w:pPr>
      <w:r>
        <w:rPr>
          <w:rFonts w:hint="eastAsia" w:ascii="仿宋_GB2312" w:hAnsi="Cambria" w:eastAsia="仿宋_GB2312" w:cs="ArialUnicodeMS"/>
          <w:kern w:val="0"/>
          <w:sz w:val="32"/>
          <w:szCs w:val="32"/>
        </w:rPr>
        <w:t>2017 年度，纳入本部门决算汇编范围的独立核算单位（以下简称“单位”）共 1个，即无极县国土资源局 ，单位基本性质为行政单位，预算管理级次为县级预算单位，执行行政单位会计制度，较上年无增减变化。</w:t>
      </w: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第二部分 2017年度部门决算报表</w:t>
      </w:r>
    </w:p>
    <w:p>
      <w:pPr>
        <w:keepNext w:val="0"/>
        <w:keepLines w:val="0"/>
        <w:pageBreakBefore w:val="0"/>
        <w:widowControl w:val="0"/>
        <w:kinsoku/>
        <w:wordWrap/>
        <w:overflowPunct/>
        <w:topLinePunct w:val="0"/>
        <w:autoSpaceDE w:val="0"/>
        <w:autoSpaceDN w:val="0"/>
        <w:bidi w:val="0"/>
        <w:adjustRightInd w:val="0"/>
        <w:snapToGrid/>
        <w:spacing w:after="0" w:line="720" w:lineRule="auto"/>
        <w:ind w:firstLine="640" w:firstLineChars="200"/>
        <w:jc w:val="left"/>
        <w:textAlignment w:val="auto"/>
        <w:rPr>
          <w:rFonts w:hint="eastAsia" w:ascii="仿宋" w:hAnsi="仿宋" w:eastAsia="仿宋" w:cs="仿宋"/>
          <w:kern w:val="0"/>
          <w:sz w:val="32"/>
          <w:szCs w:val="32"/>
        </w:rPr>
      </w:pPr>
      <w:r>
        <w:rPr>
          <w:rFonts w:hint="eastAsia" w:ascii="仿宋" w:hAnsi="仿宋" w:eastAsia="仿宋" w:cs="仿宋"/>
          <w:kern w:val="0"/>
          <w:sz w:val="32"/>
          <w:szCs w:val="32"/>
        </w:rPr>
        <w:t>一、收入支出决算总表</w:t>
      </w:r>
    </w:p>
    <w:p>
      <w:pPr>
        <w:keepNext w:val="0"/>
        <w:keepLines w:val="0"/>
        <w:pageBreakBefore w:val="0"/>
        <w:widowControl w:val="0"/>
        <w:kinsoku/>
        <w:wordWrap/>
        <w:overflowPunct/>
        <w:topLinePunct w:val="0"/>
        <w:autoSpaceDE w:val="0"/>
        <w:autoSpaceDN w:val="0"/>
        <w:bidi w:val="0"/>
        <w:adjustRightInd w:val="0"/>
        <w:snapToGrid/>
        <w:spacing w:after="0" w:line="720" w:lineRule="auto"/>
        <w:ind w:firstLine="640" w:firstLineChars="200"/>
        <w:jc w:val="left"/>
        <w:textAlignment w:val="auto"/>
        <w:rPr>
          <w:rFonts w:hint="eastAsia" w:ascii="仿宋" w:hAnsi="仿宋" w:eastAsia="仿宋" w:cs="仿宋"/>
          <w:kern w:val="0"/>
          <w:sz w:val="32"/>
          <w:szCs w:val="32"/>
        </w:rPr>
      </w:pPr>
      <w:r>
        <w:rPr>
          <w:rFonts w:hint="eastAsia" w:ascii="仿宋" w:hAnsi="仿宋" w:eastAsia="仿宋" w:cs="仿宋"/>
          <w:kern w:val="0"/>
          <w:sz w:val="32"/>
          <w:szCs w:val="32"/>
        </w:rPr>
        <w:t>二、收入决算表</w:t>
      </w:r>
    </w:p>
    <w:p>
      <w:pPr>
        <w:keepNext w:val="0"/>
        <w:keepLines w:val="0"/>
        <w:pageBreakBefore w:val="0"/>
        <w:widowControl w:val="0"/>
        <w:kinsoku/>
        <w:wordWrap/>
        <w:overflowPunct/>
        <w:topLinePunct w:val="0"/>
        <w:autoSpaceDE w:val="0"/>
        <w:autoSpaceDN w:val="0"/>
        <w:bidi w:val="0"/>
        <w:adjustRightInd w:val="0"/>
        <w:snapToGrid/>
        <w:spacing w:after="0" w:line="720" w:lineRule="auto"/>
        <w:ind w:firstLine="640" w:firstLineChars="200"/>
        <w:jc w:val="left"/>
        <w:textAlignment w:val="auto"/>
        <w:rPr>
          <w:rFonts w:hint="eastAsia" w:ascii="仿宋" w:hAnsi="仿宋" w:eastAsia="仿宋" w:cs="仿宋"/>
          <w:kern w:val="0"/>
          <w:sz w:val="32"/>
          <w:szCs w:val="32"/>
        </w:rPr>
      </w:pPr>
      <w:r>
        <w:rPr>
          <w:rFonts w:hint="eastAsia" w:ascii="仿宋" w:hAnsi="仿宋" w:eastAsia="仿宋" w:cs="仿宋"/>
          <w:kern w:val="0"/>
          <w:sz w:val="32"/>
          <w:szCs w:val="32"/>
        </w:rPr>
        <w:t xml:space="preserve">三、支出决算表 </w:t>
      </w:r>
    </w:p>
    <w:p>
      <w:pPr>
        <w:keepNext w:val="0"/>
        <w:keepLines w:val="0"/>
        <w:pageBreakBefore w:val="0"/>
        <w:widowControl w:val="0"/>
        <w:kinsoku/>
        <w:wordWrap/>
        <w:overflowPunct/>
        <w:topLinePunct w:val="0"/>
        <w:autoSpaceDE w:val="0"/>
        <w:autoSpaceDN w:val="0"/>
        <w:bidi w:val="0"/>
        <w:adjustRightInd w:val="0"/>
        <w:snapToGrid/>
        <w:spacing w:after="0" w:line="720" w:lineRule="auto"/>
        <w:ind w:firstLine="640" w:firstLineChars="200"/>
        <w:jc w:val="left"/>
        <w:textAlignment w:val="auto"/>
        <w:rPr>
          <w:rFonts w:hint="eastAsia" w:ascii="仿宋" w:hAnsi="仿宋" w:eastAsia="仿宋" w:cs="仿宋"/>
          <w:kern w:val="0"/>
          <w:sz w:val="32"/>
          <w:szCs w:val="32"/>
        </w:rPr>
      </w:pPr>
      <w:r>
        <w:rPr>
          <w:rFonts w:hint="eastAsia" w:ascii="仿宋" w:hAnsi="仿宋" w:eastAsia="仿宋" w:cs="仿宋"/>
          <w:kern w:val="0"/>
          <w:sz w:val="32"/>
          <w:szCs w:val="32"/>
        </w:rPr>
        <w:t>四、财政拨款收入支出决算总表</w:t>
      </w:r>
    </w:p>
    <w:p>
      <w:pPr>
        <w:keepNext w:val="0"/>
        <w:keepLines w:val="0"/>
        <w:pageBreakBefore w:val="0"/>
        <w:widowControl w:val="0"/>
        <w:kinsoku/>
        <w:wordWrap/>
        <w:overflowPunct/>
        <w:topLinePunct w:val="0"/>
        <w:autoSpaceDE w:val="0"/>
        <w:autoSpaceDN w:val="0"/>
        <w:bidi w:val="0"/>
        <w:adjustRightInd w:val="0"/>
        <w:snapToGrid/>
        <w:spacing w:after="0" w:line="720" w:lineRule="auto"/>
        <w:ind w:firstLine="640" w:firstLineChars="200"/>
        <w:jc w:val="left"/>
        <w:textAlignment w:val="auto"/>
        <w:rPr>
          <w:rFonts w:hint="eastAsia" w:ascii="仿宋" w:hAnsi="仿宋" w:eastAsia="仿宋" w:cs="仿宋"/>
          <w:kern w:val="0"/>
          <w:sz w:val="32"/>
          <w:szCs w:val="32"/>
        </w:rPr>
      </w:pPr>
      <w:r>
        <w:rPr>
          <w:rFonts w:hint="eastAsia" w:ascii="仿宋" w:hAnsi="仿宋" w:eastAsia="仿宋" w:cs="仿宋"/>
          <w:kern w:val="0"/>
          <w:sz w:val="32"/>
          <w:szCs w:val="32"/>
        </w:rPr>
        <w:t>五、一般公共预算财政拨款支出决算表</w:t>
      </w:r>
    </w:p>
    <w:p>
      <w:pPr>
        <w:keepNext w:val="0"/>
        <w:keepLines w:val="0"/>
        <w:pageBreakBefore w:val="0"/>
        <w:widowControl w:val="0"/>
        <w:kinsoku/>
        <w:wordWrap/>
        <w:overflowPunct/>
        <w:topLinePunct w:val="0"/>
        <w:autoSpaceDE w:val="0"/>
        <w:autoSpaceDN w:val="0"/>
        <w:bidi w:val="0"/>
        <w:adjustRightInd w:val="0"/>
        <w:snapToGrid/>
        <w:spacing w:after="0" w:line="720" w:lineRule="auto"/>
        <w:ind w:firstLine="640" w:firstLineChars="200"/>
        <w:jc w:val="left"/>
        <w:textAlignment w:val="auto"/>
        <w:rPr>
          <w:rFonts w:hint="eastAsia" w:ascii="仿宋" w:hAnsi="仿宋" w:eastAsia="仿宋" w:cs="仿宋"/>
          <w:kern w:val="0"/>
          <w:sz w:val="32"/>
          <w:szCs w:val="32"/>
        </w:rPr>
      </w:pPr>
      <w:r>
        <w:rPr>
          <w:rFonts w:hint="eastAsia" w:ascii="仿宋" w:hAnsi="仿宋" w:eastAsia="仿宋" w:cs="仿宋"/>
          <w:kern w:val="0"/>
          <w:sz w:val="32"/>
          <w:szCs w:val="32"/>
        </w:rPr>
        <w:t>六、一般公共预算财政拨款基本支出决算表</w:t>
      </w:r>
    </w:p>
    <w:p>
      <w:pPr>
        <w:keepNext w:val="0"/>
        <w:keepLines w:val="0"/>
        <w:pageBreakBefore w:val="0"/>
        <w:widowControl w:val="0"/>
        <w:kinsoku/>
        <w:wordWrap/>
        <w:overflowPunct/>
        <w:topLinePunct w:val="0"/>
        <w:autoSpaceDE w:val="0"/>
        <w:autoSpaceDN w:val="0"/>
        <w:bidi w:val="0"/>
        <w:adjustRightInd w:val="0"/>
        <w:snapToGrid/>
        <w:spacing w:after="0" w:line="720" w:lineRule="auto"/>
        <w:ind w:firstLine="640" w:firstLineChars="200"/>
        <w:jc w:val="left"/>
        <w:textAlignment w:val="auto"/>
        <w:rPr>
          <w:rFonts w:hint="eastAsia" w:ascii="仿宋" w:hAnsi="仿宋" w:eastAsia="仿宋" w:cs="仿宋"/>
          <w:kern w:val="0"/>
          <w:sz w:val="32"/>
          <w:szCs w:val="32"/>
        </w:rPr>
      </w:pPr>
      <w:r>
        <w:rPr>
          <w:rFonts w:hint="eastAsia" w:ascii="仿宋" w:hAnsi="仿宋" w:eastAsia="仿宋" w:cs="仿宋"/>
          <w:kern w:val="0"/>
          <w:sz w:val="32"/>
          <w:szCs w:val="32"/>
        </w:rPr>
        <w:t xml:space="preserve">七、政府性基金预算财政拨款收入支出决算表 </w:t>
      </w:r>
    </w:p>
    <w:p>
      <w:pPr>
        <w:keepNext w:val="0"/>
        <w:keepLines w:val="0"/>
        <w:pageBreakBefore w:val="0"/>
        <w:widowControl w:val="0"/>
        <w:kinsoku/>
        <w:wordWrap/>
        <w:overflowPunct/>
        <w:topLinePunct w:val="0"/>
        <w:autoSpaceDE w:val="0"/>
        <w:autoSpaceDN w:val="0"/>
        <w:bidi w:val="0"/>
        <w:adjustRightInd w:val="0"/>
        <w:snapToGrid/>
        <w:spacing w:after="0" w:line="720" w:lineRule="auto"/>
        <w:ind w:firstLine="640" w:firstLineChars="200"/>
        <w:jc w:val="left"/>
        <w:textAlignment w:val="auto"/>
        <w:rPr>
          <w:rFonts w:hint="eastAsia" w:ascii="仿宋" w:hAnsi="仿宋" w:eastAsia="仿宋" w:cs="仿宋"/>
          <w:kern w:val="0"/>
          <w:sz w:val="32"/>
          <w:szCs w:val="32"/>
        </w:rPr>
      </w:pPr>
      <w:r>
        <w:rPr>
          <w:rFonts w:hint="eastAsia" w:ascii="仿宋" w:hAnsi="仿宋" w:eastAsia="仿宋" w:cs="仿宋"/>
          <w:kern w:val="0"/>
          <w:sz w:val="32"/>
          <w:szCs w:val="32"/>
        </w:rPr>
        <w:t>八、国有资本经营预算财政拨款收入支出决算表</w:t>
      </w:r>
    </w:p>
    <w:p>
      <w:pPr>
        <w:keepNext w:val="0"/>
        <w:keepLines w:val="0"/>
        <w:pageBreakBefore w:val="0"/>
        <w:widowControl w:val="0"/>
        <w:kinsoku/>
        <w:wordWrap/>
        <w:overflowPunct/>
        <w:topLinePunct w:val="0"/>
        <w:autoSpaceDE w:val="0"/>
        <w:autoSpaceDN w:val="0"/>
        <w:bidi w:val="0"/>
        <w:adjustRightInd w:val="0"/>
        <w:snapToGrid/>
        <w:spacing w:after="0" w:line="720" w:lineRule="auto"/>
        <w:ind w:firstLine="640" w:firstLineChars="200"/>
        <w:jc w:val="left"/>
        <w:textAlignment w:val="auto"/>
        <w:rPr>
          <w:rFonts w:hint="eastAsia" w:ascii="仿宋" w:hAnsi="仿宋" w:eastAsia="仿宋" w:cs="仿宋"/>
          <w:kern w:val="0"/>
          <w:sz w:val="32"/>
          <w:szCs w:val="32"/>
        </w:rPr>
      </w:pPr>
      <w:r>
        <w:rPr>
          <w:rFonts w:hint="eastAsia" w:ascii="仿宋" w:hAnsi="仿宋" w:eastAsia="仿宋" w:cs="仿宋"/>
          <w:kern w:val="0"/>
          <w:sz w:val="32"/>
          <w:szCs w:val="32"/>
        </w:rPr>
        <w:t>九、“三公”经费及相关信息统计表</w:t>
      </w:r>
    </w:p>
    <w:p>
      <w:pPr>
        <w:keepNext w:val="0"/>
        <w:keepLines w:val="0"/>
        <w:pageBreakBefore w:val="0"/>
        <w:widowControl w:val="0"/>
        <w:kinsoku/>
        <w:wordWrap/>
        <w:overflowPunct/>
        <w:topLinePunct w:val="0"/>
        <w:autoSpaceDE w:val="0"/>
        <w:autoSpaceDN w:val="0"/>
        <w:bidi w:val="0"/>
        <w:adjustRightInd w:val="0"/>
        <w:snapToGrid/>
        <w:spacing w:after="0" w:line="720" w:lineRule="auto"/>
        <w:ind w:firstLine="640" w:firstLineChars="200"/>
        <w:jc w:val="left"/>
        <w:textAlignment w:val="auto"/>
        <w:rPr>
          <w:rFonts w:hint="eastAsia" w:ascii="仿宋" w:hAnsi="仿宋" w:eastAsia="仿宋" w:cs="仿宋"/>
          <w:kern w:val="0"/>
          <w:sz w:val="32"/>
          <w:szCs w:val="32"/>
        </w:rPr>
      </w:pPr>
      <w:r>
        <w:rPr>
          <w:rFonts w:hint="eastAsia" w:ascii="仿宋" w:hAnsi="仿宋" w:eastAsia="仿宋" w:cs="仿宋"/>
          <w:kern w:val="0"/>
          <w:sz w:val="32"/>
          <w:szCs w:val="32"/>
        </w:rPr>
        <w:t>十、政府采购情况表</w:t>
      </w:r>
    </w:p>
    <w:p>
      <w:pPr>
        <w:keepNext w:val="0"/>
        <w:keepLines w:val="0"/>
        <w:pageBreakBefore w:val="0"/>
        <w:widowControl w:val="0"/>
        <w:kinsoku/>
        <w:wordWrap/>
        <w:overflowPunct/>
        <w:topLinePunct w:val="0"/>
        <w:autoSpaceDE w:val="0"/>
        <w:autoSpaceDN w:val="0"/>
        <w:bidi w:val="0"/>
        <w:adjustRightInd w:val="0"/>
        <w:snapToGrid/>
        <w:spacing w:line="720" w:lineRule="auto"/>
        <w:jc w:val="left"/>
        <w:textAlignment w:val="auto"/>
        <w:rPr>
          <w:rFonts w:hint="eastAsia" w:ascii="仿宋" w:hAnsi="仿宋" w:eastAsia="仿宋" w:cs="仿宋"/>
          <w:b/>
          <w:color w:val="FF0000"/>
          <w:kern w:val="0"/>
          <w:sz w:val="32"/>
          <w:szCs w:val="32"/>
        </w:rPr>
      </w:pPr>
    </w:p>
    <w:p>
      <w:pPr>
        <w:keepNext w:val="0"/>
        <w:keepLines w:val="0"/>
        <w:pageBreakBefore w:val="0"/>
        <w:widowControl w:val="0"/>
        <w:kinsoku/>
        <w:wordWrap/>
        <w:overflowPunct/>
        <w:topLinePunct w:val="0"/>
        <w:autoSpaceDE w:val="0"/>
        <w:autoSpaceDN w:val="0"/>
        <w:bidi w:val="0"/>
        <w:adjustRightInd w:val="0"/>
        <w:snapToGrid/>
        <w:spacing w:line="720" w:lineRule="auto"/>
        <w:jc w:val="left"/>
        <w:textAlignment w:val="auto"/>
        <w:rPr>
          <w:rFonts w:ascii="宋体" w:hAnsi="宋体" w:cs="黑体"/>
          <w:b/>
          <w:color w:val="FF0000"/>
          <w:kern w:val="0"/>
          <w:sz w:val="44"/>
          <w:szCs w:val="44"/>
        </w:rPr>
      </w:pPr>
    </w:p>
    <w:p>
      <w:pPr>
        <w:autoSpaceDE w:val="0"/>
        <w:autoSpaceDN w:val="0"/>
        <w:adjustRightInd w:val="0"/>
        <w:spacing w:line="560" w:lineRule="exact"/>
        <w:jc w:val="left"/>
        <w:rPr>
          <w:rFonts w:ascii="宋体" w:hAnsi="宋体" w:cs="黑体"/>
          <w:b/>
          <w:color w:val="FF0000"/>
          <w:kern w:val="0"/>
          <w:sz w:val="44"/>
          <w:szCs w:val="44"/>
        </w:rPr>
      </w:pPr>
    </w:p>
    <w:p>
      <w:pPr>
        <w:autoSpaceDE w:val="0"/>
        <w:autoSpaceDN w:val="0"/>
        <w:adjustRightInd w:val="0"/>
        <w:spacing w:line="560" w:lineRule="exact"/>
        <w:jc w:val="left"/>
        <w:rPr>
          <w:rFonts w:ascii="宋体" w:hAnsi="宋体" w:cs="黑体"/>
          <w:b/>
          <w:color w:val="FF0000"/>
          <w:kern w:val="0"/>
          <w:sz w:val="44"/>
          <w:szCs w:val="44"/>
        </w:rPr>
      </w:pPr>
    </w:p>
    <w:p>
      <w:pPr>
        <w:autoSpaceDE w:val="0"/>
        <w:autoSpaceDN w:val="0"/>
        <w:adjustRightInd w:val="0"/>
        <w:spacing w:line="560" w:lineRule="exact"/>
        <w:jc w:val="left"/>
        <w:rPr>
          <w:rFonts w:ascii="宋体" w:hAnsi="宋体" w:cs="黑体"/>
          <w:b/>
          <w:color w:val="FF0000"/>
          <w:kern w:val="0"/>
          <w:sz w:val="44"/>
          <w:szCs w:val="44"/>
        </w:rPr>
      </w:pPr>
    </w:p>
    <w:p>
      <w:pPr>
        <w:autoSpaceDE w:val="0"/>
        <w:autoSpaceDN w:val="0"/>
        <w:adjustRightInd w:val="0"/>
        <w:spacing w:line="560" w:lineRule="exact"/>
        <w:jc w:val="left"/>
        <w:rPr>
          <w:rFonts w:ascii="宋体" w:hAnsi="宋体" w:cs="黑体"/>
          <w:b/>
          <w:color w:val="FF0000"/>
          <w:kern w:val="0"/>
          <w:sz w:val="44"/>
          <w:szCs w:val="44"/>
        </w:rPr>
      </w:pPr>
    </w:p>
    <w:p>
      <w:pPr>
        <w:pStyle w:val="2"/>
        <w:spacing w:line="560" w:lineRule="exact"/>
        <w:jc w:val="center"/>
        <w:rPr>
          <w:rFonts w:ascii="宋体" w:hAnsi="宋体" w:cs="ArialUnicodeMS"/>
          <w:color w:val="000000"/>
          <w:kern w:val="0"/>
        </w:rPr>
      </w:pPr>
      <w:r>
        <w:rPr>
          <w:rFonts w:hint="eastAsia" w:ascii="宋体" w:hAnsi="宋体" w:cs="ArialUnicodeMS"/>
          <w:color w:val="000000"/>
          <w:kern w:val="0"/>
        </w:rPr>
        <w:t>第三部分部门决算情况说明</w:t>
      </w:r>
    </w:p>
    <w:p>
      <w:pPr>
        <w:pStyle w:val="3"/>
        <w:spacing w:before="0" w:after="0" w:line="560" w:lineRule="exact"/>
        <w:ind w:firstLine="643" w:firstLineChars="200"/>
        <w:rPr>
          <w:rFonts w:ascii="黑体" w:eastAsia="黑体"/>
        </w:rPr>
      </w:pPr>
      <w:r>
        <w:rPr>
          <w:rFonts w:hint="eastAsia" w:ascii="黑体" w:eastAsia="黑体"/>
        </w:rPr>
        <w:t>一、收入</w:t>
      </w:r>
      <w:r>
        <w:rPr>
          <w:rFonts w:hint="eastAsia" w:ascii="黑体" w:hAnsi="Cambria" w:eastAsia="黑体"/>
          <w:kern w:val="0"/>
        </w:rPr>
        <w:t>支出</w:t>
      </w:r>
      <w:r>
        <w:rPr>
          <w:rFonts w:hint="eastAsia" w:ascii="黑体" w:eastAsia="黑体"/>
        </w:rPr>
        <w:t>决算总体情况说明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年初结转和结余463万元，本年收入6734.05万元；本年支出6258.97万元、年末结转和结余938.08万元。与2016年度决算相比，本年收入减少673.24万元，降低9.09%，主要原因是项目支出收入减少；本年支出减少386.89万元，降低5.82%，主要原因是项目支出减少。</w:t>
      </w:r>
    </w:p>
    <w:p>
      <w:pPr>
        <w:pStyle w:val="3"/>
        <w:spacing w:before="0" w:after="0" w:line="560" w:lineRule="exact"/>
        <w:ind w:firstLine="643" w:firstLineChars="200"/>
        <w:rPr>
          <w:rFonts w:ascii="黑体" w:eastAsia="黑体"/>
        </w:rPr>
      </w:pPr>
      <w:r>
        <w:rPr>
          <w:rFonts w:hint="eastAsia" w:ascii="黑体" w:eastAsia="黑体"/>
        </w:rPr>
        <w:t>二、收入决算情况说明</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本部门2017年度本年收入合计6734.05万元，其中：财政拨款收入6734.05万元，占100%；事业收入0万元，占0%；经营收入0万元，占0%；其他收入0万元，占0%。</w:t>
      </w:r>
      <w:r>
        <w:rPr>
          <w:rFonts w:hint="eastAsia" w:ascii="仿宋_GB2312" w:eastAsia="仿宋_GB2312" w:cs="DengXian-Regular"/>
          <w:sz w:val="32"/>
          <w:szCs w:val="32"/>
          <w:lang w:val="en-US" w:eastAsia="zh-CN"/>
        </w:rPr>
        <w:t>如图所示：</w:t>
      </w:r>
    </w:p>
    <w:p>
      <w:pPr>
        <w:adjustRightInd w:val="0"/>
        <w:snapToGrid w:val="0"/>
        <w:spacing w:line="560" w:lineRule="exact"/>
        <w:ind w:firstLine="640" w:firstLineChars="200"/>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图1：收入决算结构饼状图</w:t>
      </w:r>
    </w:p>
    <w:p>
      <w:pPr>
        <w:adjustRightInd w:val="0"/>
        <w:snapToGrid w:val="0"/>
        <w:spacing w:after="0" w:line="240" w:lineRule="auto"/>
        <w:ind w:firstLine="0" w:firstLineChars="0"/>
        <w:rPr>
          <w:rFonts w:hint="eastAsia" w:ascii="仿宋_GB2312" w:eastAsia="仿宋_GB2312" w:cs="DengXian-Regular"/>
          <w:sz w:val="32"/>
          <w:szCs w:val="32"/>
          <w:lang w:val="en-US" w:eastAsia="zh-CN"/>
        </w:rPr>
      </w:pPr>
      <w:r>
        <w:pict>
          <v:shape id="_x0000_i1025" o:spt="75" type="#_x0000_t75" style="height:217.5pt;width:361.5pt;" filled="f" stroked="f" coordsize="21600,21600" o:gfxdata="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">
            <v:path/>
            <v:fill on="f" focussize="0,0"/>
            <v:stroke on="f"/>
            <v:imagedata r:id="rId4" o:title=""/>
            <o:lock v:ext="edit" aspectratio="t"/>
            <w10:wrap type="none"/>
            <w10:anchorlock/>
          </v:shape>
        </w:pict>
      </w:r>
    </w:p>
    <w:p>
      <w:pPr>
        <w:pStyle w:val="3"/>
        <w:spacing w:before="0" w:after="0" w:line="560" w:lineRule="exact"/>
        <w:ind w:firstLine="643" w:firstLineChars="200"/>
        <w:rPr>
          <w:rFonts w:ascii="黑体" w:eastAsia="黑体"/>
        </w:rPr>
      </w:pPr>
      <w:r>
        <w:rPr>
          <w:rFonts w:hint="eastAsia" w:ascii="黑体" w:eastAsia="黑体"/>
        </w:rPr>
        <w:t>三、支出决算情况说明</w:t>
      </w:r>
    </w:p>
    <w:p>
      <w:pPr>
        <w:keepNext w:val="0"/>
        <w:keepLines w:val="0"/>
        <w:pageBreakBefore w:val="0"/>
        <w:widowControl w:val="0"/>
        <w:kinsoku/>
        <w:wordWrap/>
        <w:overflowPunct/>
        <w:topLinePunct w:val="0"/>
        <w:autoSpaceDE/>
        <w:autoSpaceDN/>
        <w:bidi w:val="0"/>
        <w:adjustRightInd w:val="0"/>
        <w:snapToGrid w:val="0"/>
        <w:spacing w:line="560" w:lineRule="exact"/>
        <w:ind w:firstLine="640" w:firstLineChars="200"/>
        <w:textAlignment w:val="auto"/>
        <w:rPr>
          <w:rFonts w:hint="eastAsia" w:ascii="仿宋_GB2312" w:eastAsia="仿宋_GB2312" w:cs="DengXian-Regular"/>
          <w:sz w:val="32"/>
          <w:szCs w:val="32"/>
          <w:lang w:val="en-US" w:eastAsia="zh-CN"/>
        </w:rPr>
      </w:pPr>
      <w:r>
        <w:rPr>
          <w:rFonts w:hint="eastAsia" w:ascii="仿宋_GB2312" w:eastAsia="仿宋_GB2312" w:cs="DengXian-Regular"/>
          <w:sz w:val="32"/>
          <w:szCs w:val="32"/>
        </w:rPr>
        <w:t>本部门2017年度本年支出合计6258.97万元，其中：基本支出1379.63万元，占22.04%；项目支出4879.34万元，占77.96%；经营支出0万元，占0%。</w:t>
      </w:r>
      <w:r>
        <w:rPr>
          <w:rFonts w:hint="eastAsia" w:ascii="仿宋_GB2312" w:eastAsia="仿宋_GB2312" w:cs="DengXian-Regular"/>
          <w:sz w:val="32"/>
          <w:szCs w:val="32"/>
          <w:lang w:val="en-US" w:eastAsia="zh-CN"/>
        </w:rPr>
        <w:t>如图所示：</w:t>
      </w:r>
    </w:p>
    <w:p>
      <w:pPr>
        <w:adjustRightInd w:val="0"/>
        <w:snapToGrid w:val="0"/>
        <w:spacing w:line="560" w:lineRule="exact"/>
        <w:jc w:val="center"/>
        <w:rPr>
          <w:rFonts w:hint="eastAsia" w:ascii="仿宋_GB2312" w:eastAsia="仿宋_GB2312" w:cs="DengXian-Regular"/>
          <w:sz w:val="32"/>
          <w:szCs w:val="32"/>
          <w:lang w:val="en-US" w:eastAsia="zh-CN"/>
        </w:rPr>
      </w:pPr>
      <w:r>
        <w:rPr>
          <w:rFonts w:hint="eastAsia" w:ascii="仿宋_GB2312" w:eastAsia="仿宋_GB2312" w:cs="DengXian-Regular"/>
          <w:sz w:val="32"/>
          <w:szCs w:val="32"/>
          <w:lang w:val="en-US" w:eastAsia="zh-CN"/>
        </w:rPr>
        <w:t>图2：支出决算结构饼状图</w:t>
      </w:r>
    </w:p>
    <w:p>
      <w:pPr>
        <w:adjustRightInd w:val="0"/>
        <w:snapToGrid w:val="0"/>
        <w:spacing w:after="0" w:line="240" w:lineRule="auto"/>
        <w:rPr>
          <w:rFonts w:hint="eastAsia" w:ascii="仿宋_GB2312" w:eastAsia="仿宋_GB2312" w:cs="DengXian-Regular"/>
          <w:sz w:val="32"/>
          <w:szCs w:val="32"/>
          <w:lang w:val="en-US" w:eastAsia="zh-CN"/>
        </w:rPr>
      </w:pPr>
      <w:r>
        <w:pict>
          <v:shape id="_x0000_i1026" o:spt="75" type="#_x0000_t75" style="height:217.5pt;width:361.5pt;" filled="f" stroked="f" coordsize="21600,21600" o:gfxdata="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">
            <v:path/>
            <v:fill on="f" focussize="0,0"/>
            <v:stroke on="f"/>
            <v:imagedata r:id="rId5" o:title=""/>
            <o:lock v:ext="edit" aspectratio="t"/>
            <w10:wrap type="none"/>
            <w10:anchorlock/>
          </v:shape>
        </w:pict>
      </w:r>
    </w:p>
    <w:p>
      <w:pPr>
        <w:pStyle w:val="3"/>
        <w:spacing w:before="0" w:after="0" w:line="560" w:lineRule="exact"/>
        <w:ind w:firstLine="643" w:firstLineChars="200"/>
        <w:rPr>
          <w:rFonts w:ascii="黑体" w:eastAsia="黑体"/>
        </w:rPr>
      </w:pPr>
      <w:r>
        <w:rPr>
          <w:rFonts w:hint="eastAsia" w:ascii="黑体" w:eastAsia="黑体"/>
        </w:rPr>
        <w:t>四、</w:t>
      </w:r>
      <w:r>
        <w:rPr>
          <w:rFonts w:hint="eastAsia" w:ascii="黑体" w:hAnsi="Cambria" w:eastAsia="黑体"/>
          <w:kern w:val="0"/>
        </w:rPr>
        <w:t>财政</w:t>
      </w:r>
      <w:r>
        <w:rPr>
          <w:rFonts w:hint="eastAsia" w:ascii="黑体" w:eastAsia="黑体"/>
        </w:rPr>
        <w:t>拨款收入支出决算总体情况说明</w:t>
      </w:r>
    </w:p>
    <w:p>
      <w:pPr>
        <w:spacing w:after="0" w:line="56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（一）财政拨款收支与2016 年度决算对比情况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收支全部为财政拨款收支。财政拨款年初结转和结余463万元、本年收入6734.05万元；本年支出6258.97万元、年末结转和结余938.08万元。与2016年度决算相比，财政拨款本年收入减少673.24万元，降低9.09%，主要原因是项目支出收入减少；本年支出减少386.89万元，降低5.82%，主要原因是项目支出减少。</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一般公共预算财政拨款年初结转和结余144.92万元、本年收入6160.77万元；本年支出5374.19万元、年末结转和结余931.5万元。与2016年度决算相比，一般公共预算财政拨款本年收入增加727.91万元，增长13.4%，主要原因是项目支出收入增加；本年支出增加82.11万元，增长1.55%，主要原因是项目支出增加。</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政府性基金预算财政拨款年初结转和结余318.08万元、本年收入573.28万元；本年支出884.78万元、年末结转和结余6.58万元。与2016年度决算相比，政府性基金预算财政拨款本年收入减少1401.15万元，降低70.96%，主要原因是项目支出收入减少；本年支出减469万元，降低34.64%，主要原因是项目支出减少。</w:t>
      </w:r>
    </w:p>
    <w:p>
      <w:pPr>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（二）财政拨款收支与年初预算数对比情况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本部门2017年度财政拨款本年收入较2017年初预算2281.52万元，增长51.24%，主要是专项资金收入增加；本年支出增加1806.44万元，增长40.57%，主要原因是项目支出增加。</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其中，本部门2017年度一般公共预算财政拨款本年收入较2017年初预算增加2108.31万元，增长52.03%，主要原因是专项资金收入增加；本年支出增加921.66万元，增长20.7%，主要原因是项目支出增加。</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本部门2017年度政府性基金预算财政拨款本年收入较2017年初预算增加573.28万元，增长100%，主要原因是专项资金收入增加；本年支出增加884.78万元，增长100%，主要原因是项目支出增加。</w:t>
      </w:r>
    </w:p>
    <w:p>
      <w:pPr>
        <w:pStyle w:val="3"/>
        <w:spacing w:before="0" w:after="0" w:line="560" w:lineRule="exact"/>
        <w:ind w:firstLine="643" w:firstLineChars="200"/>
        <w:rPr>
          <w:rFonts w:ascii="黑体" w:eastAsia="黑体"/>
        </w:rPr>
      </w:pPr>
      <w:r>
        <w:rPr>
          <w:rFonts w:hint="eastAsia" w:ascii="黑体" w:eastAsia="黑体"/>
        </w:rPr>
        <w:t>五、“三公” 经费支出决算情况说明</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本部门2017年度“三公”经费支出共计3.1万元，较年初预算减少1.4万元，降低31.11%，主要原因是降低了运行成本；较2016年度决算减少0.83万元，降低21.12%，主要原因是降低了运行成本。具体情况如下：</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（一）因公出国（境）费支出0万元。</w:t>
      </w:r>
      <w:r>
        <w:rPr>
          <w:rFonts w:hint="eastAsia" w:ascii="仿宋_GB2312" w:eastAsia="仿宋_GB2312" w:cs="DengXian-Regular"/>
          <w:sz w:val="32"/>
          <w:szCs w:val="32"/>
        </w:rPr>
        <w:t>本部门2017年度参加其他单位组织的因公出国（境）团组0个、共0人/无本单位组织的出国（境）团组。因公出国（境）费支出较年初预算增加</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,主要是未发生该项经费支出，较年初预算无增减变化；较2016年度决算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,主要是未发生该项经费支出。</w:t>
      </w:r>
    </w:p>
    <w:p>
      <w:pPr>
        <w:adjustRightInd w:val="0"/>
        <w:snapToGrid w:val="0"/>
        <w:spacing w:after="0" w:line="56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（二）公务用车购置及运行维护费支出2.9万元。</w:t>
      </w:r>
      <w:r>
        <w:rPr>
          <w:rFonts w:hint="eastAsia" w:ascii="仿宋_GB2312" w:eastAsia="仿宋_GB2312" w:cs="DengXian-Regular"/>
          <w:sz w:val="32"/>
          <w:szCs w:val="32"/>
        </w:rPr>
        <w:t>本部门2017年度公务用车购置及运行维护费较年初预算减少0.1万元，降低3.33%,主要原因是压缩运行成本；较2016年度决算减少0.1万元，降低3.33%,主要原因是压缩运行成本。</w:t>
      </w:r>
      <w:r>
        <w:rPr>
          <w:rFonts w:hint="eastAsia" w:ascii="仿宋_GB2312" w:eastAsia="仿宋_GB2312" w:cs="DengXian-Bold"/>
          <w:b/>
          <w:bCs/>
          <w:sz w:val="32"/>
          <w:szCs w:val="32"/>
        </w:rPr>
        <w:t>其中：</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本部门2017年度公务用车购置量0辆，发生“公务用车购置”经费支出0万元。公务用车购置费支出较年初预算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,主要是未发生该项经费支出；较2016年度决算</w:t>
      </w:r>
      <w:r>
        <w:rPr>
          <w:rFonts w:hint="eastAsia" w:ascii="仿宋_GB2312" w:eastAsia="仿宋_GB2312" w:cs="DengXian-Regular"/>
          <w:sz w:val="32"/>
          <w:szCs w:val="32"/>
          <w:lang w:val="en-US" w:eastAsia="zh-CN"/>
        </w:rPr>
        <w:t>无增减变化</w:t>
      </w:r>
      <w:r>
        <w:rPr>
          <w:rFonts w:hint="eastAsia" w:ascii="仿宋_GB2312" w:eastAsia="仿宋_GB2312" w:cs="DengXian-Regular"/>
          <w:sz w:val="32"/>
          <w:szCs w:val="32"/>
        </w:rPr>
        <w:t>,主要是未发生该项经费支出。</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本部门2017年度单位公务用车保有量1辆。公车运行维护费支出较年初预算减少0.1万元，降低3.33%,主要原因是压缩运行成本；较2016年度决算减少0.1万元，降低3.33%，主要原因是压缩运行成本。</w:t>
      </w:r>
    </w:p>
    <w:p>
      <w:pPr>
        <w:adjustRightInd w:val="0"/>
        <w:snapToGrid w:val="0"/>
        <w:spacing w:after="0" w:line="56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（三）公务接待费支出0.21万元。</w:t>
      </w:r>
      <w:r>
        <w:rPr>
          <w:rFonts w:hint="eastAsia" w:ascii="仿宋_GB2312" w:eastAsia="仿宋_GB2312" w:cs="DengXian-Regular"/>
          <w:sz w:val="32"/>
          <w:szCs w:val="32"/>
        </w:rPr>
        <w:t>本部门2017年度公务接待共1批次、12人次。公务接待费支出较年初预算减少1.29万元，降低86%,主要原因是减少了公务接待人次；较2016年度决算减少0.72万元，降低77.42%,主要原因是减少了公务接待人次。</w:t>
      </w:r>
    </w:p>
    <w:p>
      <w:pPr>
        <w:pStyle w:val="3"/>
        <w:spacing w:before="0" w:after="0" w:line="560" w:lineRule="exact"/>
        <w:ind w:firstLine="643" w:firstLineChars="200"/>
        <w:rPr>
          <w:rFonts w:ascii="黑体" w:eastAsia="黑体" w:cs="Times New Roman"/>
        </w:rPr>
      </w:pPr>
      <w:r>
        <w:rPr>
          <w:rFonts w:hint="eastAsia" w:ascii="黑体" w:eastAsia="黑体" w:cs="Times New Roman"/>
        </w:rPr>
        <w:t>六、绩效预算</w:t>
      </w:r>
      <w:r>
        <w:rPr>
          <w:rFonts w:hint="eastAsia" w:ascii="黑体" w:hAnsi="Cambria" w:eastAsia="黑体"/>
          <w:kern w:val="0"/>
        </w:rPr>
        <w:t>管理</w:t>
      </w:r>
      <w:r>
        <w:rPr>
          <w:rFonts w:hint="eastAsia" w:ascii="黑体" w:eastAsia="黑体" w:cs="Times New Roman"/>
        </w:rPr>
        <w:t>工作开展情况说明</w:t>
      </w:r>
    </w:p>
    <w:p>
      <w:pPr>
        <w:pStyle w:val="9"/>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ind w:left="0" w:firstLine="640" w:firstLineChars="200"/>
        <w:jc w:val="left"/>
        <w:textAlignment w:val="auto"/>
        <w:rPr>
          <w:rFonts w:hint="eastAsia" w:ascii="仿宋" w:hAnsi="仿宋" w:eastAsia="仿宋" w:cs="仿宋"/>
          <w:i w:val="0"/>
          <w:caps w:val="0"/>
          <w:color w:val="000000"/>
          <w:spacing w:val="0"/>
          <w:sz w:val="32"/>
          <w:szCs w:val="32"/>
          <w:u w:val="none"/>
        </w:rPr>
      </w:pPr>
      <w:r>
        <w:rPr>
          <w:rFonts w:hint="eastAsia" w:ascii="仿宋" w:hAnsi="仿宋" w:eastAsia="仿宋" w:cs="仿宋"/>
          <w:i w:val="0"/>
          <w:caps w:val="0"/>
          <w:color w:val="000000"/>
          <w:spacing w:val="0"/>
          <w:sz w:val="32"/>
          <w:szCs w:val="32"/>
          <w:u w:val="none"/>
        </w:rPr>
        <w:t xml:space="preserve">（一）绩效管理工作开展情况 </w:t>
      </w:r>
    </w:p>
    <w:p>
      <w:pPr>
        <w:pStyle w:val="9"/>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ind w:left="0" w:firstLine="640" w:firstLineChars="200"/>
        <w:jc w:val="left"/>
        <w:textAlignment w:val="auto"/>
        <w:rPr>
          <w:rFonts w:hint="eastAsia" w:ascii="仿宋" w:hAnsi="仿宋" w:eastAsia="仿宋" w:cs="仿宋"/>
          <w:i w:val="0"/>
          <w:caps w:val="0"/>
          <w:color w:val="000000"/>
          <w:spacing w:val="0"/>
          <w:sz w:val="32"/>
          <w:szCs w:val="32"/>
          <w:u w:val="none"/>
        </w:rPr>
      </w:pPr>
      <w:r>
        <w:rPr>
          <w:rFonts w:hint="eastAsia" w:ascii="仿宋" w:hAnsi="仿宋" w:eastAsia="仿宋" w:cs="仿宋"/>
          <w:i w:val="0"/>
          <w:caps w:val="0"/>
          <w:color w:val="000000"/>
          <w:spacing w:val="0"/>
          <w:sz w:val="32"/>
          <w:szCs w:val="32"/>
          <w:u w:val="none"/>
        </w:rPr>
        <w:t xml:space="preserve">根据绩效预算管理改革督察要求，本单位认真开展了预算绩效管理改革开展情况自查，对部门全面规范绩效预算编制、严格预算执行管理、推进绩效评价工作、推进预决算信息公开等方面进行了自评，考核结果为优秀。 </w:t>
      </w:r>
    </w:p>
    <w:p>
      <w:pPr>
        <w:pStyle w:val="9"/>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ind w:left="0" w:firstLine="640" w:firstLineChars="200"/>
        <w:jc w:val="left"/>
        <w:textAlignment w:val="auto"/>
        <w:rPr>
          <w:rFonts w:hint="eastAsia" w:ascii="仿宋" w:hAnsi="仿宋" w:eastAsia="仿宋" w:cs="仿宋"/>
          <w:i w:val="0"/>
          <w:caps w:val="0"/>
          <w:color w:val="000000"/>
          <w:spacing w:val="0"/>
          <w:sz w:val="32"/>
          <w:szCs w:val="32"/>
          <w:u w:val="none"/>
        </w:rPr>
      </w:pPr>
      <w:r>
        <w:rPr>
          <w:rFonts w:hint="eastAsia" w:ascii="仿宋" w:hAnsi="仿宋" w:eastAsia="仿宋" w:cs="仿宋"/>
          <w:i w:val="0"/>
          <w:caps w:val="0"/>
          <w:color w:val="000000"/>
          <w:spacing w:val="0"/>
          <w:sz w:val="32"/>
          <w:szCs w:val="32"/>
          <w:u w:val="none"/>
        </w:rPr>
        <w:t xml:space="preserve">（二）预算项目绩效评价开展情况 </w:t>
      </w:r>
    </w:p>
    <w:p>
      <w:pPr>
        <w:pStyle w:val="9"/>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ind w:left="0" w:firstLine="640" w:firstLineChars="200"/>
        <w:jc w:val="left"/>
        <w:textAlignment w:val="auto"/>
        <w:rPr>
          <w:rFonts w:hint="eastAsia" w:ascii="仿宋" w:hAnsi="仿宋" w:eastAsia="仿宋" w:cs="仿宋"/>
          <w:i w:val="0"/>
          <w:caps w:val="0"/>
          <w:color w:val="000000"/>
          <w:spacing w:val="0"/>
          <w:sz w:val="32"/>
          <w:szCs w:val="32"/>
          <w:u w:val="none"/>
        </w:rPr>
      </w:pPr>
      <w:r>
        <w:rPr>
          <w:rFonts w:hint="eastAsia" w:ascii="仿宋" w:hAnsi="仿宋" w:eastAsia="仿宋" w:cs="仿宋"/>
          <w:i w:val="0"/>
          <w:caps w:val="0"/>
          <w:color w:val="000000"/>
          <w:spacing w:val="0"/>
          <w:sz w:val="32"/>
          <w:szCs w:val="32"/>
          <w:u w:val="none"/>
        </w:rPr>
        <w:t xml:space="preserve">根据预算绩效管理要求，本单位组织对2017年度一般公共预算项目支出和政府性基金预算项目支出全面开展绩效自评，涉及高头乡等三乡镇十九个村高标准农田建设项目等26个项目，涉及资金4879.34万元。从评价情况看，评价结果为优秀的项目有26个。 </w:t>
      </w:r>
    </w:p>
    <w:p>
      <w:pPr>
        <w:pStyle w:val="9"/>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ind w:left="0" w:firstLine="640" w:firstLineChars="200"/>
        <w:jc w:val="left"/>
        <w:textAlignment w:val="auto"/>
        <w:rPr>
          <w:rFonts w:hint="eastAsia" w:ascii="仿宋" w:hAnsi="仿宋" w:eastAsia="仿宋" w:cs="仿宋"/>
          <w:i w:val="0"/>
          <w:caps w:val="0"/>
          <w:color w:val="000000"/>
          <w:spacing w:val="0"/>
          <w:sz w:val="32"/>
          <w:szCs w:val="32"/>
          <w:u w:val="none"/>
        </w:rPr>
      </w:pPr>
      <w:r>
        <w:rPr>
          <w:rFonts w:hint="eastAsia" w:ascii="仿宋" w:hAnsi="仿宋" w:eastAsia="仿宋" w:cs="仿宋"/>
          <w:i w:val="0"/>
          <w:caps w:val="0"/>
          <w:color w:val="000000"/>
          <w:spacing w:val="0"/>
          <w:sz w:val="32"/>
          <w:szCs w:val="32"/>
          <w:u w:val="none"/>
        </w:rPr>
        <w:t xml:space="preserve">（三）预算项目绩效自评选例 </w:t>
      </w:r>
    </w:p>
    <w:p>
      <w:pPr>
        <w:pStyle w:val="9"/>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ind w:left="0" w:firstLine="640" w:firstLineChars="200"/>
        <w:jc w:val="left"/>
        <w:textAlignment w:val="auto"/>
        <w:rPr>
          <w:rFonts w:hint="eastAsia" w:ascii="仿宋" w:hAnsi="仿宋" w:eastAsia="仿宋" w:cs="仿宋"/>
          <w:i w:val="0"/>
          <w:caps w:val="0"/>
          <w:color w:val="000000"/>
          <w:spacing w:val="0"/>
          <w:sz w:val="32"/>
          <w:szCs w:val="32"/>
          <w:u w:val="none"/>
        </w:rPr>
      </w:pPr>
      <w:r>
        <w:rPr>
          <w:rFonts w:hint="eastAsia" w:ascii="仿宋" w:hAnsi="仿宋" w:eastAsia="仿宋" w:cs="仿宋"/>
          <w:i w:val="0"/>
          <w:caps w:val="0"/>
          <w:color w:val="000000"/>
          <w:spacing w:val="0"/>
          <w:sz w:val="32"/>
          <w:szCs w:val="32"/>
          <w:u w:val="none"/>
        </w:rPr>
        <w:t>本单位高头乡等三乡镇十九个村高标准农田建设项目绩效自评：根据年初设定的绩效目标，高头乡等三乡镇十九个村</w:t>
      </w:r>
    </w:p>
    <w:p>
      <w:pPr>
        <w:pStyle w:val="9"/>
        <w:keepNext w:val="0"/>
        <w:keepLines w:val="0"/>
        <w:pageBreakBefore w:val="0"/>
        <w:widowControl/>
        <w:suppressLineNumbers w:val="0"/>
        <w:kinsoku/>
        <w:wordWrap/>
        <w:overflowPunct/>
        <w:topLinePunct w:val="0"/>
        <w:autoSpaceDE/>
        <w:autoSpaceDN/>
        <w:bidi w:val="0"/>
        <w:adjustRightInd/>
        <w:snapToGrid/>
        <w:spacing w:beforeAutospacing="0" w:afterAutospacing="0" w:line="240" w:lineRule="auto"/>
        <w:ind w:left="0" w:firstLine="640" w:firstLineChars="200"/>
        <w:jc w:val="left"/>
        <w:textAlignment w:val="auto"/>
        <w:rPr>
          <w:rFonts w:hint="eastAsia" w:ascii="仿宋" w:hAnsi="仿宋" w:eastAsia="仿宋" w:cs="仿宋"/>
          <w:i w:val="0"/>
          <w:caps w:val="0"/>
          <w:color w:val="000000"/>
          <w:spacing w:val="0"/>
          <w:sz w:val="32"/>
          <w:szCs w:val="32"/>
          <w:u w:val="none"/>
        </w:rPr>
      </w:pPr>
      <w:r>
        <w:rPr>
          <w:rFonts w:hint="eastAsia" w:ascii="仿宋" w:hAnsi="仿宋" w:eastAsia="仿宋" w:cs="仿宋"/>
          <w:i w:val="0"/>
          <w:caps w:val="0"/>
          <w:color w:val="000000"/>
          <w:spacing w:val="0"/>
          <w:sz w:val="32"/>
          <w:szCs w:val="32"/>
          <w:u w:val="none"/>
        </w:rPr>
        <w:t xml:space="preserve">高标准农田建设项目绩效自评结果为优秀。项目全年预算数为300.9万元，执行数为300.9万元，完成预算的100%。 </w:t>
      </w:r>
    </w:p>
    <w:p>
      <w:pPr>
        <w:pStyle w:val="3"/>
        <w:spacing w:before="0" w:after="0" w:line="560" w:lineRule="exact"/>
        <w:ind w:firstLine="643" w:firstLineChars="200"/>
        <w:rPr>
          <w:rFonts w:ascii="黑体" w:eastAsia="黑体" w:cs="Times New Roman"/>
        </w:rPr>
      </w:pPr>
      <w:r>
        <w:rPr>
          <w:rFonts w:hint="eastAsia" w:ascii="黑体" w:eastAsia="黑体" w:cs="Times New Roman"/>
        </w:rPr>
        <w:t>七、其他重要事项的说明</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本部门2017年度机关运行经费支出253.82万元，比2016年度减少55.02万元，降低17.82%。主要原因是办公设备购置减少、压缩行政运行成本。</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（二）政府采购情况</w:t>
      </w:r>
      <w:bookmarkStart w:id="0" w:name="_GoBack"/>
      <w:bookmarkEnd w:id="0"/>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本部门2017年度政府采购支出总额1285.05万元，其中：政府采购货物支出0万元、政府采购工程支出0万元、政府采购服务支出1285.05万元。</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截至2017年12月31日，本部门共有车辆20辆，其中，市级领导干部用车0辆、一般公务用车1辆、一般执法执勤用车0辆、特种专业技术用车0辆、其他用车19辆，其他用车主要是国土行政执法用车；单位价值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万元以上大型设备0台（套），单位价值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万元以上大型设备0台（套）。</w:t>
      </w:r>
    </w:p>
    <w:p>
      <w:pPr>
        <w:pStyle w:val="4"/>
        <w:spacing w:before="0" w:after="0" w:line="56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1、本部门2017年度国有资本经营预算财政拨款收入支出无收支及结转结余情况，故公开08表以空表列示。</w:t>
      </w:r>
    </w:p>
    <w:p>
      <w:pPr>
        <w:adjustRightInd w:val="0"/>
        <w:snapToGrid w:val="0"/>
        <w:spacing w:after="0" w:line="56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pStyle w:val="2"/>
        <w:jc w:val="center"/>
        <w:rPr>
          <w:rFonts w:ascii="宋体" w:hAnsi="宋体" w:cs="SimSun,Bold"/>
        </w:rPr>
      </w:pPr>
      <w:r>
        <w:rPr>
          <w:rFonts w:hint="eastAsia" w:ascii="宋体" w:hAnsi="宋体" w:cs="SimSun,Bold"/>
        </w:rPr>
        <w:t>第四部分名词解释</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（一）财政拨款收入：本年度从本级财政部门取得的财政拨款，包括一般公共预算财政拨款和政府性基金预算财政拨款。</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（二）事业收入：指事业单位开展专业业务活动及辅助活动所取得的收入。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（三）其他收入：指除上述“财政拨款收入”、“事业收入”、“经营收入”等以外的收入。</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四）用事业基金弥补收支差额：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（五）年初结转和结余：指以前年度尚未完成、结转到本年仍按原规定用途继续使用的资金，或项目已完成等产生的结余资金。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（六）结余分配：指事业单位按照事业单位会计制度的规定从非财政补助结余中分配的事业基金和职工福利基金等。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（七）年末结转和结余：指单位按有关规定结转到下年或以后年度继续使用的资金，或项目已完成等产生的结余资金。</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（八）基本支出：填列单位为保障机构正常运转、完成日常工作任务而发生的各项支出。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（九）项目支出：填列单位为完成特定的行政工作任务或事业发展目标，在基本支出之外发生的各项支出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基本建设支出：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（十一）其他资本性支出：填列由各级非发展与改革部门集中安排的用于购置固定资产、战备性和应急性储备、土地和无形资产，以及购建基础设施、大型修缮和财政支持企业更新改造所发生的支出。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二）“三公”经费：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（十三）其他交通费用：填列单位除公务用车运行维护费以外的其他交通费用。如飞机、船舶等的燃料费、维修费、过桥过路费、保险费、出租车费用、公务交通补贴等。</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（十四）公务用车购置：填列单位公务用车车辆购置支出（含车辆购置税）。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（十五）其他交通工具购置：填列单位除公务用车外的其他各类交通工具（如船舶、飞机）购置支出（含车辆购置税）。</w:t>
      </w:r>
    </w:p>
    <w:p>
      <w:pPr>
        <w:widowControl/>
        <w:spacing w:after="0" w:line="560" w:lineRule="exact"/>
        <w:ind w:firstLine="640" w:firstLineChars="200"/>
        <w:rPr>
          <w:rFonts w:ascii="仿宋_GB2312" w:hAnsi="宋体" w:eastAsia="仿宋_GB2312"/>
          <w:color w:val="000000"/>
          <w:kern w:val="0"/>
          <w:sz w:val="32"/>
          <w:szCs w:val="32"/>
        </w:rPr>
      </w:pPr>
      <w:r>
        <w:rPr>
          <w:rFonts w:hint="eastAsia" w:ascii="仿宋_GB2312" w:hAnsi="宋体" w:eastAsia="仿宋_GB2312"/>
          <w:color w:val="000000"/>
          <w:kern w:val="0"/>
          <w:sz w:val="32"/>
          <w:szCs w:val="32"/>
        </w:rPr>
        <w:t>（十六） 机关运行经费：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74" w:bottom="1985" w:left="1588"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A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_GBK">
    <w:altName w:val="微软雅黑"/>
    <w:panose1 w:val="00000000000000000000"/>
    <w:charset w:val="86"/>
    <w:family w:val="auto"/>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ArialUnicodeMS">
    <w:altName w:val="Malgun Gothic"/>
    <w:panose1 w:val="00000000000000000000"/>
    <w:charset w:val="81"/>
    <w:family w:val="auto"/>
    <w:pitch w:val="default"/>
    <w:sig w:usb0="00000000" w:usb1="00000000" w:usb2="00000010" w:usb3="00000000" w:csb0="00080001" w:csb1="00000000"/>
  </w:font>
  <w:font w:name="仿宋">
    <w:panose1 w:val="02010609060101010101"/>
    <w:charset w:val="86"/>
    <w:family w:val="auto"/>
    <w:pitch w:val="default"/>
    <w:sig w:usb0="800002BF" w:usb1="38CF7CFA" w:usb2="00000016" w:usb3="00000000" w:csb0="00040001" w:csb1="00000000"/>
  </w:font>
  <w:font w:name="DengXian-Regular">
    <w:altName w:val="宋体"/>
    <w:panose1 w:val="00000000000000000000"/>
    <w:charset w:val="86"/>
    <w:family w:val="auto"/>
    <w:pitch w:val="default"/>
    <w:sig w:usb0="00000000" w:usb1="00000000" w:usb2="00000010"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DengXian-Bold">
    <w:altName w:val="宋体"/>
    <w:panose1 w:val="00000000000000000000"/>
    <w:charset w:val="86"/>
    <w:family w:val="auto"/>
    <w:pitch w:val="default"/>
    <w:sig w:usb0="00000000" w:usb1="00000000" w:usb2="00000010"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SimSun,Bold">
    <w:altName w:val="宋体"/>
    <w:panose1 w:val="00000000000000000000"/>
    <w:charset w:val="86"/>
    <w:family w:val="auto"/>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Malgun Gothic">
    <w:panose1 w:val="020B0503020000020004"/>
    <w:charset w:val="81"/>
    <w:family w:val="auto"/>
    <w:pitch w:val="default"/>
    <w:sig w:usb0="9000002F" w:usb1="29D77CFB" w:usb2="00000012" w:usb3="00000000" w:csb0="0008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3A2ACA"/>
    <w:rsid w:val="003A2ACA"/>
    <w:rsid w:val="00E00D03"/>
    <w:rsid w:val="00FC4E81"/>
    <w:rsid w:val="43CA3D9A"/>
    <w:rsid w:val="54E5281D"/>
    <w:rsid w:val="57CC1AEB"/>
    <w:rsid w:val="779D0F39"/>
  </w:rsids>
  <m:mathPr>
    <m:mathFont m:val="Cambria Math"/>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unhideWhenUsed="0" w:uiPriority="0" w:semiHidden="0" w:name="heading 3"/>
    <w:lsdException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3"/>
    <w:uiPriority w:val="0"/>
    <w:pPr>
      <w:keepNext/>
      <w:keepLines/>
      <w:spacing w:before="340" w:after="330" w:line="578" w:lineRule="auto"/>
      <w:outlineLvl w:val="0"/>
    </w:pPr>
    <w:rPr>
      <w:b/>
      <w:bCs/>
      <w:kern w:val="44"/>
      <w:sz w:val="44"/>
      <w:szCs w:val="44"/>
    </w:rPr>
  </w:style>
  <w:style w:type="paragraph" w:styleId="3">
    <w:name w:val="heading 2"/>
    <w:basedOn w:val="1"/>
    <w:next w:val="1"/>
    <w:link w:val="14"/>
    <w:uiPriority w:val="0"/>
    <w:pPr>
      <w:keepNext/>
      <w:keepLines/>
      <w:spacing w:before="260" w:after="260" w:line="416" w:lineRule="auto"/>
      <w:outlineLvl w:val="1"/>
    </w:pPr>
    <w:rPr>
      <w:rFonts w:ascii="Calibri" w:hAnsi="Calibri" w:cs="黑体"/>
      <w:b/>
      <w:bCs/>
      <w:sz w:val="32"/>
      <w:szCs w:val="32"/>
    </w:rPr>
  </w:style>
  <w:style w:type="paragraph" w:styleId="4">
    <w:name w:val="heading 3"/>
    <w:basedOn w:val="1"/>
    <w:next w:val="1"/>
    <w:link w:val="15"/>
    <w:uiPriority w:val="0"/>
    <w:pPr>
      <w:keepNext/>
      <w:keepLines/>
      <w:spacing w:before="260" w:after="260" w:line="416" w:lineRule="auto"/>
      <w:outlineLvl w:val="2"/>
    </w:pPr>
    <w:rPr>
      <w:b/>
      <w:bCs/>
      <w:sz w:val="32"/>
      <w:szCs w:val="32"/>
    </w:rPr>
  </w:style>
  <w:style w:type="paragraph" w:styleId="5">
    <w:name w:val="heading 4"/>
    <w:basedOn w:val="1"/>
    <w:next w:val="1"/>
    <w:link w:val="16"/>
    <w:uiPriority w:val="0"/>
    <w:pPr>
      <w:keepNext/>
      <w:keepLines/>
      <w:spacing w:before="280" w:after="290" w:line="376" w:lineRule="auto"/>
      <w:outlineLvl w:val="3"/>
    </w:pPr>
    <w:rPr>
      <w:rFonts w:ascii="Calibri" w:hAnsi="Calibri" w:cs="黑体"/>
      <w:b/>
      <w:bCs/>
      <w:sz w:val="28"/>
      <w:szCs w:val="28"/>
    </w:rPr>
  </w:style>
  <w:style w:type="character" w:default="1" w:styleId="12">
    <w:name w:val="Default Paragraph Font"/>
    <w:semiHidden/>
    <w:unhideWhenUsed/>
    <w:uiPriority w:val="1"/>
  </w:style>
  <w:style w:type="table" w:default="1" w:styleId="11">
    <w:name w:val="Normal Table"/>
    <w:semiHidden/>
    <w:unhideWhenUsed/>
    <w:qFormat/>
    <w:uiPriority w:val="99"/>
    <w:tblPr>
      <w:tblLayout w:type="fixed"/>
      <w:tblCellMar>
        <w:top w:w="0" w:type="dxa"/>
        <w:left w:w="108" w:type="dxa"/>
        <w:bottom w:w="0" w:type="dxa"/>
        <w:right w:w="108" w:type="dxa"/>
      </w:tblCellMar>
    </w:tblPr>
  </w:style>
  <w:style w:type="paragraph" w:styleId="6">
    <w:name w:val="footer"/>
    <w:basedOn w:val="1"/>
    <w:link w:val="17"/>
    <w:qFormat/>
    <w:uiPriority w:val="0"/>
    <w:pPr>
      <w:tabs>
        <w:tab w:val="center" w:pos="4153"/>
        <w:tab w:val="right" w:pos="8306"/>
      </w:tabs>
      <w:snapToGrid w:val="0"/>
      <w:jc w:val="left"/>
    </w:pPr>
    <w:rPr>
      <w:sz w:val="18"/>
      <w:szCs w:val="18"/>
    </w:rPr>
  </w:style>
  <w:style w:type="paragraph" w:styleId="7">
    <w:name w:val="header"/>
    <w:basedOn w:val="1"/>
    <w:link w:val="18"/>
    <w:qFormat/>
    <w:uiPriority w:val="0"/>
    <w:pPr>
      <w:pBdr>
        <w:bottom w:val="single" w:color="auto" w:sz="6" w:space="1"/>
      </w:pBdr>
      <w:tabs>
        <w:tab w:val="center" w:pos="4153"/>
        <w:tab w:val="right" w:pos="8306"/>
      </w:tabs>
      <w:snapToGrid w:val="0"/>
      <w:jc w:val="center"/>
    </w:pPr>
    <w:rPr>
      <w:sz w:val="18"/>
      <w:szCs w:val="18"/>
    </w:rPr>
  </w:style>
  <w:style w:type="paragraph" w:styleId="8">
    <w:name w:val="Subtitle"/>
    <w:basedOn w:val="1"/>
    <w:next w:val="1"/>
    <w:link w:val="19"/>
    <w:qFormat/>
    <w:uiPriority w:val="0"/>
    <w:pPr>
      <w:widowControl/>
      <w:spacing w:after="200" w:line="276" w:lineRule="auto"/>
      <w:jc w:val="left"/>
    </w:pPr>
    <w:rPr>
      <w:rFonts w:ascii="Calibri" w:hAnsi="Calibri" w:cs="黑体"/>
      <w:i/>
      <w:iCs/>
      <w:color w:val="F0A22E"/>
      <w:spacing w:val="15"/>
      <w:kern w:val="0"/>
      <w:sz w:val="24"/>
    </w:rPr>
  </w:style>
  <w:style w:type="paragraph" w:styleId="9">
    <w:name w:val="Normal (Web)"/>
    <w:basedOn w:val="1"/>
    <w:semiHidden/>
    <w:unhideWhenUsed/>
    <w:uiPriority w:val="99"/>
    <w:pPr>
      <w:spacing w:before="0" w:beforeAutospacing="1" w:after="0" w:afterAutospacing="1"/>
      <w:ind w:left="0" w:right="0"/>
      <w:jc w:val="left"/>
    </w:pPr>
    <w:rPr>
      <w:kern w:val="0"/>
      <w:sz w:val="24"/>
      <w:lang w:val="en-US" w:eastAsia="zh-CN" w:bidi="ar"/>
    </w:rPr>
  </w:style>
  <w:style w:type="paragraph" w:styleId="10">
    <w:name w:val="Title"/>
    <w:basedOn w:val="1"/>
    <w:next w:val="1"/>
    <w:link w:val="20"/>
    <w:qFormat/>
    <w:uiPriority w:val="0"/>
    <w:pPr>
      <w:widowControl/>
      <w:pBdr>
        <w:bottom w:val="single" w:color="F0A22E" w:sz="8" w:space="4"/>
      </w:pBdr>
      <w:spacing w:after="300"/>
      <w:contextualSpacing/>
      <w:jc w:val="left"/>
    </w:pPr>
    <w:rPr>
      <w:rFonts w:ascii="Calibri" w:hAnsi="Calibri" w:cs="黑体"/>
      <w:color w:val="392B23"/>
      <w:spacing w:val="5"/>
      <w:kern w:val="28"/>
      <w:sz w:val="52"/>
      <w:szCs w:val="52"/>
    </w:rPr>
  </w:style>
  <w:style w:type="character" w:customStyle="1" w:styleId="13">
    <w:name w:val="标题 1 Char"/>
    <w:basedOn w:val="12"/>
    <w:link w:val="2"/>
    <w:semiHidden/>
    <w:qFormat/>
    <w:uiPriority w:val="0"/>
    <w:rPr>
      <w:rFonts w:ascii="Times New Roman" w:hAnsi="Times New Roman" w:eastAsia="宋体" w:cs="Times New Roman"/>
      <w:b/>
      <w:bCs/>
      <w:kern w:val="44"/>
      <w:sz w:val="44"/>
      <w:szCs w:val="44"/>
    </w:rPr>
  </w:style>
  <w:style w:type="character" w:customStyle="1" w:styleId="14">
    <w:name w:val="标题 2 Char"/>
    <w:basedOn w:val="12"/>
    <w:link w:val="3"/>
    <w:semiHidden/>
    <w:qFormat/>
    <w:uiPriority w:val="0"/>
    <w:rPr>
      <w:rFonts w:ascii="Calibri" w:hAnsi="Calibri" w:eastAsia="宋体" w:cs="黑体"/>
      <w:b/>
      <w:bCs/>
      <w:sz w:val="32"/>
      <w:szCs w:val="32"/>
    </w:rPr>
  </w:style>
  <w:style w:type="character" w:customStyle="1" w:styleId="15">
    <w:name w:val="标题 3 Char"/>
    <w:basedOn w:val="12"/>
    <w:link w:val="4"/>
    <w:semiHidden/>
    <w:uiPriority w:val="0"/>
    <w:rPr>
      <w:rFonts w:ascii="Times New Roman" w:hAnsi="Times New Roman" w:eastAsia="宋体" w:cs="Times New Roman"/>
      <w:b/>
      <w:bCs/>
      <w:sz w:val="32"/>
      <w:szCs w:val="32"/>
    </w:rPr>
  </w:style>
  <w:style w:type="character" w:customStyle="1" w:styleId="16">
    <w:name w:val="标题 4 Char"/>
    <w:basedOn w:val="12"/>
    <w:link w:val="5"/>
    <w:semiHidden/>
    <w:qFormat/>
    <w:uiPriority w:val="0"/>
    <w:rPr>
      <w:rFonts w:ascii="Calibri" w:hAnsi="Calibri" w:eastAsia="宋体" w:cs="黑体"/>
      <w:b/>
      <w:bCs/>
      <w:sz w:val="28"/>
      <w:szCs w:val="28"/>
    </w:rPr>
  </w:style>
  <w:style w:type="character" w:customStyle="1" w:styleId="17">
    <w:name w:val="页脚 Char"/>
    <w:basedOn w:val="12"/>
    <w:link w:val="6"/>
    <w:semiHidden/>
    <w:qFormat/>
    <w:uiPriority w:val="0"/>
    <w:rPr>
      <w:sz w:val="18"/>
      <w:szCs w:val="18"/>
    </w:rPr>
  </w:style>
  <w:style w:type="character" w:customStyle="1" w:styleId="18">
    <w:name w:val="页眉 Char"/>
    <w:basedOn w:val="12"/>
    <w:link w:val="7"/>
    <w:semiHidden/>
    <w:qFormat/>
    <w:uiPriority w:val="0"/>
    <w:rPr>
      <w:sz w:val="18"/>
      <w:szCs w:val="18"/>
    </w:rPr>
  </w:style>
  <w:style w:type="character" w:customStyle="1" w:styleId="19">
    <w:name w:val="副标题 Char"/>
    <w:basedOn w:val="12"/>
    <w:link w:val="8"/>
    <w:semiHidden/>
    <w:qFormat/>
    <w:uiPriority w:val="0"/>
    <w:rPr>
      <w:rFonts w:ascii="Calibri" w:hAnsi="Calibri" w:eastAsia="宋体" w:cs="黑体"/>
      <w:i/>
      <w:iCs/>
      <w:color w:val="F0A22E"/>
      <w:spacing w:val="15"/>
      <w:kern w:val="0"/>
      <w:sz w:val="24"/>
      <w:szCs w:val="24"/>
    </w:rPr>
  </w:style>
  <w:style w:type="character" w:customStyle="1" w:styleId="20">
    <w:name w:val="标题 Char"/>
    <w:basedOn w:val="12"/>
    <w:link w:val="10"/>
    <w:semiHidden/>
    <w:qFormat/>
    <w:uiPriority w:val="0"/>
    <w:rPr>
      <w:rFonts w:ascii="Calibri" w:hAnsi="Calibri" w:eastAsia="宋体" w:cs="黑体"/>
      <w:color w:val="392B23"/>
      <w:spacing w:val="5"/>
      <w:kern w:val="28"/>
      <w:sz w:val="52"/>
      <w:szCs w:val="52"/>
    </w:rPr>
  </w:style>
  <w:style w:type="paragraph" w:customStyle="1" w:styleId="21">
    <w:name w:val="批注框文本 Char Char"/>
    <w:basedOn w:val="1"/>
    <w:link w:val="23"/>
    <w:qFormat/>
    <w:uiPriority w:val="0"/>
    <w:rPr>
      <w:sz w:val="18"/>
      <w:szCs w:val="18"/>
    </w:rPr>
  </w:style>
  <w:style w:type="paragraph" w:customStyle="1" w:styleId="22">
    <w:name w:val="无间隔1"/>
    <w:link w:val="24"/>
    <w:qFormat/>
    <w:uiPriority w:val="0"/>
    <w:pPr>
      <w:spacing w:after="160" w:line="480" w:lineRule="auto"/>
    </w:pPr>
    <w:rPr>
      <w:rFonts w:ascii="Times New Roman" w:hAnsi="Times New Roman" w:eastAsia="宋体" w:cs="Times New Roman"/>
      <w:sz w:val="22"/>
      <w:lang w:val="en-US" w:eastAsia="zh-CN" w:bidi="ar-SA"/>
    </w:rPr>
  </w:style>
  <w:style w:type="character" w:customStyle="1" w:styleId="23">
    <w:name w:val="批注框文本 Char Char Char Char"/>
    <w:basedOn w:val="12"/>
    <w:link w:val="21"/>
    <w:semiHidden/>
    <w:qFormat/>
    <w:uiPriority w:val="0"/>
    <w:rPr>
      <w:rFonts w:ascii="Times New Roman" w:hAnsi="Times New Roman" w:eastAsia="宋体" w:cs="Times New Roman"/>
      <w:sz w:val="18"/>
      <w:szCs w:val="18"/>
    </w:rPr>
  </w:style>
  <w:style w:type="character" w:customStyle="1" w:styleId="24">
    <w:name w:val="无间隔 Char"/>
    <w:basedOn w:val="12"/>
    <w:link w:val="22"/>
    <w:qFormat/>
    <w:uiPriority w:val="0"/>
    <w:rPr>
      <w:sz w:val="22"/>
      <w:lang w:val="en-US" w:eastAsia="zh-CN" w:bidi="ar-SA"/>
    </w:rPr>
  </w:style>
  <w:style w:type="character" w:customStyle="1" w:styleId="25">
    <w:name w:val="Style1"/>
    <w:basedOn w:val="12"/>
    <w:qFormat/>
    <w:uiPriority w:val="0"/>
    <w:rPr>
      <w:rFonts w:ascii="Cambria" w:hAnsi="黑体" w:eastAsia="黑体" w:cs="黑体"/>
      <w:sz w:val="22"/>
      <w:szCs w:val="22"/>
      <w:lang w:eastAsia="zh-CN"/>
    </w:rPr>
  </w:style>
  <w:style w:type="character" w:customStyle="1" w:styleId="26">
    <w:name w:val="Style2"/>
    <w:basedOn w:val="12"/>
    <w:qFormat/>
    <w:uiPriority w:val="0"/>
    <w:rPr>
      <w:rFonts w:ascii="Cambria" w:hAnsi="黑体" w:eastAsia="黑体" w:cs="黑体"/>
      <w:sz w:val="22"/>
      <w:szCs w:val="22"/>
      <w:lang w:eastAsia="zh-CN"/>
    </w:rPr>
  </w:style>
  <w:style w:type="character" w:customStyle="1" w:styleId="27">
    <w:name w:val="Style3"/>
    <w:basedOn w:val="12"/>
    <w:qFormat/>
    <w:uiPriority w:val="0"/>
    <w:rPr>
      <w:rFonts w:ascii="Cambria" w:hAnsi="黑体" w:eastAsia="黑体" w:cs="黑体"/>
      <w:szCs w:val="22"/>
      <w:lang w:eastAsia="zh-CN"/>
    </w:rPr>
  </w:style>
  <w:style w:type="character" w:customStyle="1" w:styleId="28">
    <w:name w:val="Style4"/>
    <w:basedOn w:val="12"/>
    <w:qFormat/>
    <w:uiPriority w:val="0"/>
    <w:rPr>
      <w:rFonts w:ascii="Cambria" w:hAnsi="黑体" w:eastAsia="黑体" w:cs="黑体"/>
      <w:szCs w:val="22"/>
      <w:lang w:eastAsia="zh-CN"/>
    </w:rPr>
  </w:style>
  <w:style w:type="character" w:customStyle="1" w:styleId="29">
    <w:name w:val="Style5"/>
    <w:basedOn w:val="12"/>
    <w:qFormat/>
    <w:uiPriority w:val="0"/>
    <w:rPr>
      <w:rFonts w:ascii="Cambria" w:hAnsi="黑体" w:eastAsia="黑体" w:cs="黑体"/>
      <w:sz w:val="22"/>
      <w:szCs w:val="22"/>
      <w:lang w:eastAsia="zh-CN"/>
    </w:rPr>
  </w:style>
  <w:style w:type="paragraph" w:customStyle="1" w:styleId="30">
    <w:name w:val="普通(网站)1"/>
    <w:basedOn w:val="1"/>
    <w:qFormat/>
    <w:uiPriority w:val="0"/>
    <w:pPr>
      <w:spacing w:beforeAutospacing="1" w:after="100" w:afterAutospacing="1"/>
      <w:jc w:val="left"/>
    </w:pPr>
    <w:rPr>
      <w:kern w:val="0"/>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15</Pages>
  <Words>932</Words>
  <Characters>5315</Characters>
  <Lines>44</Lines>
  <Paragraphs>12</Paragraphs>
  <TotalTime>6</TotalTime>
  <ScaleCrop>false</ScaleCrop>
  <LinksUpToDate>false</LinksUpToDate>
  <CharactersWithSpaces>6235</CharactersWithSpaces>
  <Application>WPS Office_11.1.0.8415_F1E327BC-269C-435d-A152-05C5408002CA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2018-08-30T08:38:00Z</dcterms:created>
  <dc:creator>User</dc:creator>
  <cp:lastModifiedBy>123</cp:lastModifiedBy>
  <dcterms:modified xsi:type="dcterms:W3CDTF">2019-02-14T07:00:15Z</dcterms:modified>
  <dc:subject>石家庄市xxx部门</dc:subject>
  <dc:title>hp</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2052-11.1.0.8415</vt:lpwstr>
  </property>
</Properties>
</file>