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center"/>
        <w:rPr>
          <w:rFonts w:ascii="黑体" w:hAnsi="黑体" w:eastAsia="黑体"/>
          <w:b/>
          <w:sz w:val="72"/>
          <w:szCs w:val="72"/>
        </w:rPr>
      </w:pPr>
    </w:p>
    <w:p>
      <w:pPr>
        <w:widowControl/>
        <w:jc w:val="center"/>
        <w:rPr>
          <w:rFonts w:ascii="黑体" w:hAnsi="黑体" w:eastAsia="黑体"/>
          <w:b/>
          <w:sz w:val="72"/>
          <w:szCs w:val="72"/>
        </w:rPr>
      </w:pPr>
    </w:p>
    <w:p>
      <w:pPr>
        <w:widowControl/>
        <w:jc w:val="center"/>
        <w:rPr>
          <w:rFonts w:ascii="黑体" w:hAnsi="黑体" w:eastAsia="黑体"/>
          <w:sz w:val="72"/>
          <w:szCs w:val="72"/>
        </w:rPr>
      </w:pPr>
    </w:p>
    <w:p>
      <w:pPr>
        <w:widowControl/>
        <w:jc w:val="center"/>
        <w:rPr>
          <w:rFonts w:ascii="黑体" w:hAnsi="宋体" w:eastAsia="黑体"/>
          <w:color w:val="002060"/>
          <w:sz w:val="72"/>
          <w:szCs w:val="72"/>
        </w:rPr>
      </w:pPr>
      <w:r>
        <w:rPr>
          <w:rFonts w:hint="eastAsia" w:ascii="黑体" w:hAnsi="宋体" w:eastAsia="黑体"/>
          <w:color w:val="002060"/>
          <w:sz w:val="72"/>
          <w:szCs w:val="72"/>
        </w:rPr>
        <w:t>2017年度部门决算公开</w:t>
      </w:r>
    </w:p>
    <w:p>
      <w:pPr>
        <w:widowControl/>
        <w:jc w:val="center"/>
        <w:rPr>
          <w:rFonts w:ascii="黑体" w:hAnsi="黑体" w:eastAsia="黑体"/>
          <w:b/>
          <w:sz w:val="72"/>
          <w:szCs w:val="72"/>
        </w:rPr>
      </w:pPr>
    </w:p>
    <w:p>
      <w:pPr>
        <w:widowControl/>
        <w:jc w:val="center"/>
        <w:rPr>
          <w:rFonts w:ascii="黑体" w:hAnsi="黑体" w:eastAsia="黑体"/>
          <w:b/>
          <w:sz w:val="72"/>
          <w:szCs w:val="72"/>
        </w:rPr>
      </w:pPr>
    </w:p>
    <w:p>
      <w:pPr>
        <w:widowControl/>
        <w:jc w:val="center"/>
        <w:rPr>
          <w:rFonts w:ascii="黑体" w:hAnsi="黑体" w:eastAsia="黑体"/>
          <w:b/>
          <w:sz w:val="72"/>
          <w:szCs w:val="72"/>
        </w:rPr>
      </w:pPr>
    </w:p>
    <w:p>
      <w:pPr>
        <w:widowControl/>
        <w:jc w:val="center"/>
        <w:rPr>
          <w:rFonts w:ascii="黑体" w:hAnsi="黑体" w:eastAsia="黑体"/>
          <w:b/>
          <w:sz w:val="72"/>
          <w:szCs w:val="72"/>
        </w:rPr>
      </w:pPr>
    </w:p>
    <w:p>
      <w:pPr>
        <w:widowControl/>
        <w:jc w:val="center"/>
        <w:rPr>
          <w:rFonts w:ascii="黑体" w:hAnsi="黑体" w:eastAsia="黑体"/>
          <w:b/>
          <w:sz w:val="72"/>
          <w:szCs w:val="72"/>
        </w:rPr>
      </w:pPr>
    </w:p>
    <w:p>
      <w:pPr>
        <w:widowControl/>
        <w:jc w:val="center"/>
        <w:rPr>
          <w:rFonts w:ascii="宋体" w:hAnsi="宋体"/>
          <w:b/>
          <w:sz w:val="44"/>
          <w:szCs w:val="44"/>
        </w:rPr>
      </w:pPr>
      <w:r>
        <w:rPr>
          <w:rFonts w:hint="eastAsia" w:ascii="宋体" w:hAnsi="宋体"/>
          <w:b/>
          <w:sz w:val="44"/>
          <w:szCs w:val="44"/>
        </w:rPr>
        <w:t>无极县审计局</w:t>
      </w:r>
    </w:p>
    <w:p>
      <w:pPr>
        <w:widowControl/>
        <w:jc w:val="center"/>
        <w:rPr>
          <w:rFonts w:ascii="宋体" w:hAnsi="宋体"/>
          <w:b/>
          <w:sz w:val="44"/>
          <w:szCs w:val="44"/>
        </w:rPr>
      </w:pPr>
      <w:r>
        <w:rPr>
          <w:rFonts w:hint="eastAsia" w:ascii="宋体" w:hAnsi="宋体"/>
          <w:b/>
          <w:sz w:val="44"/>
          <w:szCs w:val="44"/>
        </w:rPr>
        <w:t>2018年9月18日</w:t>
      </w:r>
    </w:p>
    <w:p>
      <w:pPr>
        <w:widowControl/>
        <w:spacing w:line="580" w:lineRule="exact"/>
        <w:jc w:val="center"/>
        <w:rPr>
          <w:rFonts w:hint="eastAsia" w:eastAsia="方正小标宋_GBK"/>
          <w:sz w:val="44"/>
          <w:szCs w:val="44"/>
        </w:rPr>
      </w:pPr>
    </w:p>
    <w:p>
      <w:pPr>
        <w:widowControl/>
        <w:spacing w:line="580" w:lineRule="exact"/>
        <w:jc w:val="center"/>
        <w:rPr>
          <w:rFonts w:eastAsia="方正小标宋_GBK"/>
          <w:sz w:val="44"/>
          <w:szCs w:val="44"/>
        </w:rPr>
      </w:pPr>
    </w:p>
    <w:p>
      <w:pPr>
        <w:widowControl/>
        <w:spacing w:line="580" w:lineRule="exact"/>
        <w:jc w:val="center"/>
        <w:rPr>
          <w:rFonts w:ascii="黑体" w:eastAsia="黑体"/>
          <w:sz w:val="44"/>
          <w:szCs w:val="44"/>
        </w:rPr>
      </w:pPr>
      <w:r>
        <w:rPr>
          <w:rFonts w:hint="eastAsia" w:ascii="黑体" w:eastAsia="黑体"/>
          <w:sz w:val="44"/>
          <w:szCs w:val="44"/>
        </w:rPr>
        <w:t>部门决算公开目录</w:t>
      </w:r>
    </w:p>
    <w:p>
      <w:pPr>
        <w:widowControl/>
        <w:spacing w:line="580" w:lineRule="exact"/>
        <w:ind w:firstLine="640" w:firstLineChars="200"/>
        <w:rPr>
          <w:rFonts w:eastAsia="黑体"/>
          <w:sz w:val="32"/>
          <w:szCs w:val="32"/>
        </w:rPr>
      </w:pPr>
    </w:p>
    <w:p>
      <w:pPr>
        <w:widowControl/>
        <w:spacing w:line="580" w:lineRule="exact"/>
        <w:ind w:firstLine="640" w:firstLineChars="200"/>
        <w:rPr>
          <w:rFonts w:eastAsia="仿宋_GB2312"/>
          <w:sz w:val="24"/>
          <w:szCs w:val="32"/>
        </w:rPr>
      </w:pPr>
      <w:r>
        <w:rPr>
          <w:rFonts w:eastAsia="黑体"/>
          <w:sz w:val="32"/>
          <w:szCs w:val="32"/>
        </w:rPr>
        <w:t xml:space="preserve">第一部分   </w:t>
      </w:r>
      <w:r>
        <w:rPr>
          <w:rFonts w:hint="eastAsia" w:eastAsia="黑体"/>
          <w:sz w:val="32"/>
          <w:szCs w:val="32"/>
        </w:rPr>
        <w:t>无极县审计局</w:t>
      </w:r>
      <w:r>
        <w:rPr>
          <w:rFonts w:eastAsia="黑体"/>
          <w:sz w:val="32"/>
          <w:szCs w:val="32"/>
        </w:rPr>
        <w:t>概况</w:t>
      </w:r>
    </w:p>
    <w:p>
      <w:pPr>
        <w:widowControl/>
        <w:spacing w:line="580" w:lineRule="exact"/>
        <w:ind w:firstLine="1273" w:firstLineChars="398"/>
        <w:rPr>
          <w:rFonts w:eastAsia="仿宋_GB2312"/>
          <w:sz w:val="32"/>
          <w:szCs w:val="32"/>
        </w:rPr>
      </w:pPr>
      <w:r>
        <w:rPr>
          <w:rFonts w:eastAsia="仿宋_GB2312"/>
          <w:sz w:val="32"/>
          <w:szCs w:val="32"/>
        </w:rPr>
        <w:t>一、部门</w:t>
      </w:r>
      <w:r>
        <w:rPr>
          <w:rFonts w:hint="eastAsia" w:eastAsia="仿宋_GB2312"/>
          <w:sz w:val="32"/>
          <w:szCs w:val="32"/>
        </w:rPr>
        <w:t>职责</w:t>
      </w:r>
    </w:p>
    <w:p>
      <w:pPr>
        <w:widowControl/>
        <w:spacing w:line="580" w:lineRule="exact"/>
        <w:ind w:firstLine="1273" w:firstLineChars="398"/>
        <w:rPr>
          <w:rFonts w:eastAsia="仿宋_GB2312"/>
          <w:sz w:val="32"/>
          <w:szCs w:val="32"/>
        </w:rPr>
      </w:pPr>
      <w:r>
        <w:rPr>
          <w:rFonts w:eastAsia="仿宋_GB2312"/>
          <w:sz w:val="32"/>
          <w:szCs w:val="32"/>
        </w:rPr>
        <w:t>二、部门决算单位构成</w:t>
      </w:r>
    </w:p>
    <w:p>
      <w:pPr>
        <w:widowControl/>
        <w:spacing w:line="580" w:lineRule="exact"/>
        <w:ind w:firstLine="640" w:firstLineChars="200"/>
        <w:rPr>
          <w:rFonts w:eastAsia="仿宋_GB2312"/>
          <w:sz w:val="20"/>
          <w:szCs w:val="32"/>
        </w:rPr>
      </w:pPr>
      <w:r>
        <w:rPr>
          <w:rFonts w:eastAsia="黑体"/>
          <w:sz w:val="32"/>
          <w:szCs w:val="32"/>
        </w:rPr>
        <w:t xml:space="preserve">第二部分   </w:t>
      </w:r>
      <w:r>
        <w:rPr>
          <w:rFonts w:hint="eastAsia" w:eastAsia="黑体"/>
          <w:sz w:val="32"/>
          <w:szCs w:val="32"/>
        </w:rPr>
        <w:t>无极县审计局</w:t>
      </w:r>
      <w:r>
        <w:rPr>
          <w:rFonts w:eastAsia="黑体"/>
          <w:sz w:val="32"/>
          <w:szCs w:val="32"/>
        </w:rPr>
        <w:t>2017年度部门决算报表</w:t>
      </w:r>
    </w:p>
    <w:p>
      <w:pPr>
        <w:widowControl/>
        <w:spacing w:line="580" w:lineRule="exact"/>
        <w:ind w:left="640" w:firstLine="640" w:firstLineChars="200"/>
        <w:rPr>
          <w:rFonts w:eastAsia="仿宋_GB2312"/>
          <w:sz w:val="32"/>
          <w:szCs w:val="32"/>
        </w:rPr>
      </w:pPr>
      <w:r>
        <w:rPr>
          <w:rFonts w:eastAsia="仿宋_GB2312"/>
          <w:sz w:val="32"/>
          <w:szCs w:val="32"/>
        </w:rPr>
        <w:t>一、收入支出决算总表</w:t>
      </w:r>
    </w:p>
    <w:p>
      <w:pPr>
        <w:widowControl/>
        <w:spacing w:line="580" w:lineRule="exact"/>
        <w:ind w:left="640" w:firstLine="640" w:firstLineChars="200"/>
        <w:rPr>
          <w:rFonts w:eastAsia="仿宋_GB2312"/>
          <w:sz w:val="32"/>
          <w:szCs w:val="32"/>
        </w:rPr>
      </w:pPr>
      <w:r>
        <w:rPr>
          <w:rFonts w:eastAsia="仿宋_GB2312"/>
          <w:sz w:val="32"/>
          <w:szCs w:val="32"/>
        </w:rPr>
        <w:t>二、收入决算表</w:t>
      </w:r>
    </w:p>
    <w:p>
      <w:pPr>
        <w:widowControl/>
        <w:spacing w:line="580" w:lineRule="exact"/>
        <w:ind w:left="640" w:firstLine="640" w:firstLineChars="200"/>
        <w:rPr>
          <w:rFonts w:eastAsia="仿宋_GB2312"/>
          <w:sz w:val="32"/>
          <w:szCs w:val="32"/>
        </w:rPr>
      </w:pPr>
      <w:r>
        <w:rPr>
          <w:rFonts w:eastAsia="仿宋_GB2312"/>
          <w:sz w:val="32"/>
          <w:szCs w:val="32"/>
        </w:rPr>
        <w:t>三、支出决算表</w:t>
      </w:r>
    </w:p>
    <w:p>
      <w:pPr>
        <w:widowControl/>
        <w:spacing w:line="580" w:lineRule="exact"/>
        <w:ind w:left="640" w:firstLine="640" w:firstLineChars="200"/>
        <w:rPr>
          <w:rFonts w:eastAsia="仿宋_GB2312"/>
          <w:sz w:val="32"/>
          <w:szCs w:val="32"/>
        </w:rPr>
      </w:pPr>
      <w:r>
        <w:rPr>
          <w:rFonts w:eastAsia="仿宋_GB2312"/>
          <w:sz w:val="32"/>
          <w:szCs w:val="32"/>
        </w:rPr>
        <w:t>四、财政拨款收入支出决算总表</w:t>
      </w:r>
    </w:p>
    <w:p>
      <w:pPr>
        <w:widowControl/>
        <w:spacing w:line="580" w:lineRule="exact"/>
        <w:ind w:left="640" w:firstLine="640" w:firstLineChars="200"/>
        <w:rPr>
          <w:rFonts w:eastAsia="仿宋_GB2312"/>
          <w:sz w:val="32"/>
          <w:szCs w:val="32"/>
        </w:rPr>
      </w:pPr>
      <w:r>
        <w:rPr>
          <w:rFonts w:eastAsia="仿宋_GB2312"/>
          <w:sz w:val="32"/>
          <w:szCs w:val="32"/>
        </w:rPr>
        <w:t>五、一般公共预算财政拨款收入支出决算表</w:t>
      </w:r>
    </w:p>
    <w:p>
      <w:pPr>
        <w:widowControl/>
        <w:spacing w:line="580" w:lineRule="exact"/>
        <w:ind w:left="640" w:firstLine="640" w:firstLineChars="200"/>
        <w:rPr>
          <w:rFonts w:eastAsia="仿宋_GB2312"/>
          <w:sz w:val="32"/>
          <w:szCs w:val="32"/>
        </w:rPr>
      </w:pPr>
      <w:r>
        <w:rPr>
          <w:rFonts w:eastAsia="仿宋_GB2312"/>
          <w:sz w:val="32"/>
          <w:szCs w:val="32"/>
        </w:rPr>
        <w:t>六、一般公共预算财政拨款基本支出决算经济分类表</w:t>
      </w:r>
    </w:p>
    <w:p>
      <w:pPr>
        <w:widowControl/>
        <w:spacing w:line="580" w:lineRule="exact"/>
        <w:ind w:left="640" w:firstLine="640" w:firstLineChars="200"/>
        <w:rPr>
          <w:rFonts w:eastAsia="仿宋_GB2312"/>
          <w:sz w:val="32"/>
          <w:szCs w:val="32"/>
        </w:rPr>
      </w:pPr>
      <w:r>
        <w:rPr>
          <w:rFonts w:eastAsia="仿宋_GB2312"/>
          <w:sz w:val="32"/>
          <w:szCs w:val="32"/>
        </w:rPr>
        <w:t>七、政府性基金预算财政拨款收入支出决算表</w:t>
      </w:r>
    </w:p>
    <w:p>
      <w:pPr>
        <w:widowControl/>
        <w:spacing w:line="580" w:lineRule="exact"/>
        <w:ind w:left="640" w:firstLine="640" w:firstLineChars="200"/>
        <w:rPr>
          <w:rFonts w:eastAsia="仿宋_GB2312"/>
          <w:sz w:val="32"/>
          <w:szCs w:val="32"/>
        </w:rPr>
      </w:pPr>
      <w:r>
        <w:rPr>
          <w:rFonts w:eastAsia="仿宋_GB2312"/>
          <w:sz w:val="32"/>
          <w:szCs w:val="32"/>
        </w:rPr>
        <w:t>八、国有资本经营预算财政拨款收入支出决算表</w:t>
      </w:r>
    </w:p>
    <w:p>
      <w:pPr>
        <w:widowControl/>
        <w:spacing w:line="580" w:lineRule="exact"/>
        <w:ind w:left="640" w:firstLine="640" w:firstLineChars="200"/>
        <w:rPr>
          <w:rFonts w:eastAsia="仿宋_GB2312"/>
          <w:sz w:val="32"/>
          <w:szCs w:val="32"/>
        </w:rPr>
      </w:pPr>
      <w:r>
        <w:rPr>
          <w:rFonts w:eastAsia="仿宋_GB2312"/>
          <w:sz w:val="32"/>
          <w:szCs w:val="32"/>
        </w:rPr>
        <w:t>九、“三公”经费等相关信息统计表</w:t>
      </w:r>
    </w:p>
    <w:p>
      <w:pPr>
        <w:widowControl/>
        <w:spacing w:line="580" w:lineRule="exact"/>
        <w:ind w:left="640" w:firstLine="640" w:firstLineChars="200"/>
        <w:rPr>
          <w:rFonts w:eastAsia="仿宋_GB2312"/>
          <w:sz w:val="32"/>
          <w:szCs w:val="32"/>
        </w:rPr>
      </w:pPr>
      <w:r>
        <w:rPr>
          <w:rFonts w:eastAsia="仿宋_GB2312"/>
          <w:sz w:val="32"/>
          <w:szCs w:val="32"/>
        </w:rPr>
        <w:t>十、政府采购情况表</w:t>
      </w:r>
    </w:p>
    <w:p>
      <w:pPr>
        <w:widowControl/>
        <w:spacing w:line="580" w:lineRule="exact"/>
        <w:ind w:firstLine="640" w:firstLineChars="200"/>
        <w:rPr>
          <w:rFonts w:eastAsia="黑体"/>
          <w:sz w:val="32"/>
          <w:szCs w:val="32"/>
        </w:rPr>
      </w:pPr>
      <w:r>
        <w:rPr>
          <w:rFonts w:eastAsia="黑体"/>
          <w:sz w:val="32"/>
          <w:szCs w:val="32"/>
        </w:rPr>
        <w:t xml:space="preserve">第三部分 </w:t>
      </w:r>
      <w:r>
        <w:rPr>
          <w:rFonts w:hint="eastAsia" w:eastAsia="黑体"/>
          <w:sz w:val="32"/>
          <w:szCs w:val="32"/>
        </w:rPr>
        <w:t>无极县审计局</w:t>
      </w:r>
      <w:r>
        <w:rPr>
          <w:rFonts w:eastAsia="黑体"/>
          <w:sz w:val="32"/>
          <w:szCs w:val="32"/>
        </w:rPr>
        <w:t>2017年部门决算情况说明</w:t>
      </w:r>
    </w:p>
    <w:p>
      <w:pPr>
        <w:widowControl/>
        <w:spacing w:line="580" w:lineRule="exact"/>
        <w:ind w:left="640" w:firstLine="640" w:firstLineChars="200"/>
        <w:rPr>
          <w:rFonts w:eastAsia="仿宋_GB2312"/>
          <w:sz w:val="32"/>
          <w:szCs w:val="32"/>
        </w:rPr>
      </w:pPr>
      <w:r>
        <w:rPr>
          <w:rFonts w:eastAsia="仿宋_GB2312"/>
          <w:sz w:val="32"/>
          <w:szCs w:val="32"/>
        </w:rPr>
        <w:t>一、收入支出决算总体情况说明</w:t>
      </w:r>
    </w:p>
    <w:p>
      <w:pPr>
        <w:widowControl/>
        <w:spacing w:line="580" w:lineRule="exact"/>
        <w:ind w:left="640" w:firstLine="640" w:firstLineChars="200"/>
        <w:rPr>
          <w:rFonts w:eastAsia="仿宋_GB2312"/>
          <w:sz w:val="32"/>
          <w:szCs w:val="32"/>
        </w:rPr>
      </w:pPr>
      <w:r>
        <w:rPr>
          <w:rFonts w:eastAsia="仿宋_GB2312"/>
          <w:sz w:val="32"/>
          <w:szCs w:val="32"/>
        </w:rPr>
        <w:t>二、收入决算情况说明</w:t>
      </w:r>
    </w:p>
    <w:p>
      <w:pPr>
        <w:widowControl/>
        <w:spacing w:line="580" w:lineRule="exact"/>
        <w:ind w:left="640" w:firstLine="640" w:firstLineChars="200"/>
        <w:rPr>
          <w:rFonts w:eastAsia="仿宋_GB2312"/>
          <w:sz w:val="32"/>
          <w:szCs w:val="32"/>
        </w:rPr>
      </w:pPr>
      <w:r>
        <w:rPr>
          <w:rFonts w:eastAsia="仿宋_GB2312"/>
          <w:sz w:val="32"/>
          <w:szCs w:val="32"/>
        </w:rPr>
        <w:t>三、支出决算情况说明</w:t>
      </w:r>
    </w:p>
    <w:p>
      <w:pPr>
        <w:widowControl/>
        <w:spacing w:line="580" w:lineRule="exact"/>
        <w:ind w:left="640" w:firstLine="640" w:firstLineChars="200"/>
        <w:rPr>
          <w:rFonts w:eastAsia="仿宋_GB2312"/>
          <w:sz w:val="32"/>
          <w:szCs w:val="32"/>
        </w:rPr>
      </w:pPr>
      <w:r>
        <w:rPr>
          <w:rFonts w:eastAsia="仿宋_GB2312"/>
          <w:sz w:val="32"/>
          <w:szCs w:val="32"/>
        </w:rPr>
        <w:t>四、财政拨款收入支出决算总体情况说明</w:t>
      </w:r>
    </w:p>
    <w:p>
      <w:pPr>
        <w:widowControl/>
        <w:spacing w:line="580" w:lineRule="exact"/>
        <w:ind w:left="640" w:firstLine="640" w:firstLineChars="200"/>
        <w:rPr>
          <w:rFonts w:eastAsia="仿宋_GB2312"/>
          <w:sz w:val="32"/>
          <w:szCs w:val="32"/>
        </w:rPr>
      </w:pPr>
      <w:r>
        <w:rPr>
          <w:rFonts w:eastAsia="仿宋_GB2312"/>
          <w:sz w:val="32"/>
          <w:szCs w:val="32"/>
        </w:rPr>
        <w:t>五、“三公”经费支出决算情况说明</w:t>
      </w:r>
    </w:p>
    <w:p>
      <w:pPr>
        <w:widowControl/>
        <w:spacing w:line="580" w:lineRule="exact"/>
        <w:ind w:left="640" w:firstLine="640" w:firstLineChars="200"/>
        <w:rPr>
          <w:rFonts w:eastAsia="仿宋_GB2312"/>
          <w:sz w:val="32"/>
          <w:szCs w:val="32"/>
        </w:rPr>
      </w:pPr>
      <w:r>
        <w:rPr>
          <w:rFonts w:eastAsia="仿宋_GB2312"/>
          <w:sz w:val="32"/>
          <w:szCs w:val="32"/>
        </w:rPr>
        <w:t>六、预算绩效管理工作开展情况说明</w:t>
      </w:r>
    </w:p>
    <w:p>
      <w:pPr>
        <w:widowControl/>
        <w:spacing w:line="580" w:lineRule="exact"/>
        <w:ind w:left="640" w:firstLine="640" w:firstLineChars="200"/>
        <w:rPr>
          <w:rFonts w:eastAsia="仿宋_GB2312"/>
          <w:sz w:val="32"/>
          <w:szCs w:val="32"/>
        </w:rPr>
      </w:pPr>
      <w:r>
        <w:rPr>
          <w:rFonts w:eastAsia="仿宋_GB2312"/>
          <w:sz w:val="32"/>
          <w:szCs w:val="32"/>
        </w:rPr>
        <w:t>七、其他重要事项的说明</w:t>
      </w:r>
    </w:p>
    <w:p>
      <w:pPr>
        <w:widowControl/>
        <w:spacing w:line="580" w:lineRule="exact"/>
        <w:ind w:left="640" w:firstLine="1344" w:firstLineChars="420"/>
        <w:rPr>
          <w:rFonts w:eastAsia="仿宋_GB2312"/>
          <w:sz w:val="32"/>
          <w:szCs w:val="32"/>
        </w:rPr>
      </w:pPr>
      <w:r>
        <w:rPr>
          <w:rFonts w:eastAsia="仿宋_GB2312"/>
          <w:sz w:val="32"/>
          <w:szCs w:val="32"/>
        </w:rPr>
        <w:t>1.机关运行经费情况</w:t>
      </w:r>
    </w:p>
    <w:p>
      <w:pPr>
        <w:widowControl/>
        <w:spacing w:line="580" w:lineRule="exact"/>
        <w:ind w:left="640" w:firstLine="1344" w:firstLineChars="420"/>
        <w:rPr>
          <w:rFonts w:eastAsia="仿宋_GB2312"/>
          <w:sz w:val="32"/>
          <w:szCs w:val="32"/>
        </w:rPr>
      </w:pPr>
      <w:r>
        <w:rPr>
          <w:rFonts w:eastAsia="仿宋_GB2312"/>
          <w:sz w:val="32"/>
          <w:szCs w:val="32"/>
        </w:rPr>
        <w:t>2.政府采购情况</w:t>
      </w:r>
    </w:p>
    <w:p>
      <w:pPr>
        <w:widowControl/>
        <w:spacing w:line="580" w:lineRule="exact"/>
        <w:ind w:left="640" w:firstLine="1344" w:firstLineChars="420"/>
        <w:rPr>
          <w:rFonts w:eastAsia="仿宋_GB2312"/>
          <w:sz w:val="32"/>
          <w:szCs w:val="32"/>
        </w:rPr>
      </w:pPr>
      <w:r>
        <w:rPr>
          <w:rFonts w:eastAsia="仿宋_GB2312"/>
          <w:sz w:val="32"/>
          <w:szCs w:val="32"/>
        </w:rPr>
        <w:t>3.国有资产占用情况</w:t>
      </w:r>
    </w:p>
    <w:p>
      <w:pPr>
        <w:widowControl/>
        <w:spacing w:line="580" w:lineRule="exact"/>
        <w:ind w:left="640" w:firstLine="1344" w:firstLineChars="420"/>
        <w:rPr>
          <w:rFonts w:eastAsia="仿宋_GB2312"/>
          <w:sz w:val="32"/>
          <w:szCs w:val="32"/>
        </w:rPr>
      </w:pPr>
      <w:r>
        <w:rPr>
          <w:rFonts w:eastAsia="仿宋_GB2312"/>
          <w:sz w:val="32"/>
          <w:szCs w:val="32"/>
        </w:rPr>
        <w:t>4.其他需要说明的情况</w:t>
      </w:r>
    </w:p>
    <w:p>
      <w:pPr>
        <w:widowControl/>
        <w:spacing w:line="580" w:lineRule="exact"/>
        <w:ind w:firstLine="640" w:firstLineChars="200"/>
        <w:rPr>
          <w:rFonts w:eastAsia="黑体"/>
          <w:sz w:val="32"/>
          <w:szCs w:val="32"/>
        </w:rPr>
      </w:pPr>
      <w:r>
        <w:rPr>
          <w:rFonts w:eastAsia="黑体"/>
          <w:sz w:val="32"/>
          <w:szCs w:val="32"/>
        </w:rPr>
        <w:t>第四部分  名词解释</w:t>
      </w:r>
    </w:p>
    <w:p/>
    <w:p/>
    <w:p/>
    <w:p/>
    <w:p/>
    <w:p>
      <w:pPr>
        <w:pStyle w:val="2"/>
        <w:spacing w:line="560" w:lineRule="exact"/>
        <w:jc w:val="center"/>
        <w:rPr>
          <w:rFonts w:ascii="宋体" w:hAnsi="宋体" w:cs="ArialUnicodeMS"/>
          <w:color w:val="000000"/>
          <w:kern w:val="0"/>
        </w:rPr>
      </w:pPr>
      <w:r>
        <w:rPr>
          <w:rFonts w:hint="eastAsia" w:ascii="宋体" w:hAnsi="宋体" w:cs="ArialUnicodeMS"/>
          <w:color w:val="000000"/>
          <w:kern w:val="0"/>
        </w:rPr>
        <w:t>第一部分 部门概况</w:t>
      </w:r>
    </w:p>
    <w:p>
      <w:pPr>
        <w:pStyle w:val="3"/>
        <w:numPr>
          <w:ilvl w:val="0"/>
          <w:numId w:val="1"/>
        </w:numPr>
        <w:spacing w:before="0" w:after="0" w:line="560" w:lineRule="exact"/>
        <w:ind w:firstLine="643" w:firstLineChars="200"/>
        <w:rPr>
          <w:rFonts w:ascii="黑体" w:hAnsi="Cambria" w:eastAsia="黑体"/>
          <w:kern w:val="0"/>
        </w:rPr>
      </w:pPr>
      <w:r>
        <w:rPr>
          <w:rFonts w:hint="eastAsia" w:ascii="黑体" w:hAnsi="Cambria" w:eastAsia="黑体"/>
          <w:kern w:val="0"/>
        </w:rPr>
        <w:t>部门职责</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60" w:lineRule="auto"/>
        <w:ind w:firstLine="640"/>
        <w:rPr>
          <w:sz w:val="32"/>
          <w:szCs w:val="32"/>
        </w:rPr>
      </w:pPr>
      <w:r>
        <w:rPr>
          <w:rFonts w:ascii="仿宋_GB2312" w:hAnsi="仿宋_GB2312" w:eastAsia="仿宋_GB2312"/>
          <w:sz w:val="32"/>
          <w:szCs w:val="32"/>
        </w:rPr>
        <w:t>（一）对县直各部门（含直属单位）和乡镇政府预算执行情况和决算以及预算外资金的管理和使用情况进行审计监督。</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60" w:lineRule="auto"/>
        <w:ind w:firstLine="640"/>
        <w:rPr>
          <w:sz w:val="32"/>
          <w:szCs w:val="32"/>
        </w:rPr>
      </w:pPr>
      <w:r>
        <w:rPr>
          <w:rFonts w:ascii="仿宋_GB2312" w:hAnsi="仿宋_GB2312" w:eastAsia="仿宋_GB2312"/>
          <w:sz w:val="32"/>
          <w:szCs w:val="32"/>
        </w:rPr>
        <w:t>（二）对县级财政预算执行情况进行审计，并代表县政府向人大常委会提交审计工作报告。</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60" w:lineRule="auto"/>
        <w:ind w:firstLine="640"/>
        <w:rPr>
          <w:sz w:val="32"/>
          <w:szCs w:val="32"/>
        </w:rPr>
      </w:pPr>
      <w:r>
        <w:rPr>
          <w:rFonts w:ascii="仿宋_GB2312" w:hAnsi="仿宋_GB2312" w:eastAsia="仿宋_GB2312"/>
          <w:sz w:val="32"/>
          <w:szCs w:val="32"/>
        </w:rPr>
        <w:t>（三）对全县国有企业的资产、负债、损益情况进行审计。</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60" w:lineRule="auto"/>
        <w:ind w:firstLine="640"/>
        <w:rPr>
          <w:sz w:val="32"/>
          <w:szCs w:val="32"/>
        </w:rPr>
      </w:pPr>
      <w:r>
        <w:rPr>
          <w:rFonts w:ascii="仿宋_GB2312" w:hAnsi="仿宋_GB2312" w:eastAsia="仿宋_GB2312"/>
          <w:sz w:val="32"/>
          <w:szCs w:val="32"/>
        </w:rPr>
        <w:t>（四）对全县国有事业组织的财务收支进行审计监督。</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60" w:lineRule="auto"/>
        <w:ind w:firstLine="640"/>
        <w:rPr>
          <w:sz w:val="32"/>
          <w:szCs w:val="32"/>
        </w:rPr>
      </w:pPr>
      <w:r>
        <w:rPr>
          <w:rFonts w:ascii="仿宋_GB2312" w:hAnsi="仿宋_GB2312" w:eastAsia="仿宋_GB2312"/>
          <w:sz w:val="32"/>
          <w:szCs w:val="32"/>
        </w:rPr>
        <w:t>（五）对全县基建项目预算的执行情况和决算进行审计监督。</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60" w:lineRule="auto"/>
        <w:ind w:firstLine="640"/>
        <w:rPr>
          <w:sz w:val="32"/>
          <w:szCs w:val="32"/>
        </w:rPr>
      </w:pPr>
      <w:r>
        <w:rPr>
          <w:rFonts w:ascii="仿宋_GB2312" w:hAnsi="仿宋_GB2312" w:eastAsia="仿宋_GB2312"/>
          <w:sz w:val="32"/>
          <w:szCs w:val="32"/>
        </w:rPr>
        <w:t>（六）对政府部门管理和社会团体受政府委托管理的社会保障基金以及其他有关基金、资金的财务收支进行审计监督。</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60" w:lineRule="auto"/>
        <w:ind w:firstLine="640"/>
        <w:rPr>
          <w:sz w:val="32"/>
          <w:szCs w:val="32"/>
        </w:rPr>
      </w:pPr>
      <w:r>
        <w:rPr>
          <w:rFonts w:ascii="仿宋_GB2312" w:hAnsi="仿宋_GB2312" w:eastAsia="仿宋_GB2312"/>
          <w:sz w:val="32"/>
          <w:szCs w:val="32"/>
        </w:rPr>
        <w:t>（七）对全县国际组织和外国政府援助、贷款项目的财务收支进行审计监督。</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60" w:lineRule="auto"/>
        <w:ind w:firstLine="640"/>
        <w:rPr>
          <w:sz w:val="32"/>
          <w:szCs w:val="32"/>
        </w:rPr>
      </w:pPr>
      <w:r>
        <w:rPr>
          <w:rFonts w:ascii="仿宋_GB2312" w:hAnsi="仿宋_GB2312" w:eastAsia="仿宋_GB2312"/>
          <w:sz w:val="32"/>
          <w:szCs w:val="32"/>
        </w:rPr>
        <w:t>（八）受政府委托，对地方非银行金融机构的财务收支及资产、负债、损益情况进行审计监督。</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60" w:lineRule="auto"/>
        <w:ind w:firstLine="640"/>
        <w:rPr>
          <w:sz w:val="32"/>
          <w:szCs w:val="32"/>
        </w:rPr>
      </w:pPr>
      <w:r>
        <w:rPr>
          <w:rFonts w:ascii="仿宋_GB2312" w:hAnsi="仿宋_GB2312" w:eastAsia="仿宋_GB2312"/>
          <w:sz w:val="32"/>
          <w:szCs w:val="32"/>
        </w:rPr>
        <w:t>（九）受县委、县政府、纪检、组织部门委托进行领导干部任期经济责任审计。</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60" w:lineRule="auto"/>
        <w:ind w:firstLine="640"/>
        <w:rPr>
          <w:sz w:val="32"/>
          <w:szCs w:val="32"/>
        </w:rPr>
      </w:pPr>
      <w:r>
        <w:rPr>
          <w:rFonts w:ascii="仿宋_GB2312" w:hAnsi="仿宋_GB2312" w:eastAsia="仿宋_GB2312"/>
          <w:sz w:val="32"/>
          <w:szCs w:val="32"/>
        </w:rPr>
        <w:t>（十）对社会审计组织进行审计质量执业检查。</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60" w:lineRule="auto"/>
        <w:ind w:firstLine="640"/>
        <w:rPr>
          <w:sz w:val="32"/>
          <w:szCs w:val="32"/>
        </w:rPr>
      </w:pPr>
      <w:r>
        <w:rPr>
          <w:rFonts w:ascii="仿宋_GB2312" w:hAnsi="仿宋_GB2312" w:eastAsia="仿宋_GB2312"/>
          <w:sz w:val="32"/>
          <w:szCs w:val="32"/>
        </w:rPr>
        <w:t>（十一）指导和监督内部审计工作。</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60" w:lineRule="auto"/>
        <w:ind w:firstLine="640"/>
      </w:pPr>
      <w:r>
        <w:rPr>
          <w:rFonts w:ascii="仿宋_GB2312" w:hAnsi="仿宋_GB2312" w:eastAsia="仿宋_GB2312"/>
          <w:sz w:val="32"/>
          <w:szCs w:val="32"/>
        </w:rPr>
        <w:t>（十二）对其他法律、法规规定应当进行审计的事项进行审计监督。</w:t>
      </w:r>
    </w:p>
    <w:p>
      <w:pPr>
        <w:pStyle w:val="3"/>
        <w:spacing w:before="0" w:after="0" w:line="560" w:lineRule="exact"/>
        <w:ind w:firstLine="643" w:firstLineChars="200"/>
        <w:rPr>
          <w:rFonts w:ascii="黑体" w:hAnsi="Cambria" w:eastAsia="黑体"/>
          <w:kern w:val="0"/>
        </w:rPr>
      </w:pPr>
      <w:r>
        <w:rPr>
          <w:rFonts w:hint="eastAsia" w:ascii="黑体" w:hAnsi="Cambria" w:eastAsia="黑体"/>
          <w:kern w:val="0"/>
        </w:rPr>
        <w:t>二、部门决算单位构成</w:t>
      </w:r>
    </w:p>
    <w:p>
      <w:pPr>
        <w:autoSpaceDE w:val="0"/>
        <w:autoSpaceDN w:val="0"/>
        <w:adjustRightInd w:val="0"/>
        <w:spacing w:after="0" w:line="560" w:lineRule="exact"/>
        <w:ind w:firstLine="640" w:firstLineChars="200"/>
        <w:jc w:val="left"/>
        <w:rPr>
          <w:rFonts w:ascii="仿宋_GB2312" w:hAnsi="Cambria" w:eastAsia="仿宋_GB2312" w:cs="ArialUnicodeMS"/>
          <w:kern w:val="0"/>
          <w:sz w:val="32"/>
          <w:szCs w:val="32"/>
        </w:rPr>
      </w:pPr>
      <w:r>
        <w:rPr>
          <w:rFonts w:hint="eastAsia" w:ascii="仿宋_GB2312" w:hAnsi="Cambria" w:eastAsia="仿宋_GB2312" w:cs="ArialUnicodeMS"/>
          <w:kern w:val="0"/>
          <w:sz w:val="32"/>
          <w:szCs w:val="32"/>
        </w:rPr>
        <w:t>2017 年度，纳入本部门决算汇编范围的独立核算单位</w:t>
      </w:r>
    </w:p>
    <w:p>
      <w:pPr>
        <w:autoSpaceDE w:val="0"/>
        <w:autoSpaceDN w:val="0"/>
        <w:adjustRightInd w:val="0"/>
        <w:spacing w:after="0" w:line="560" w:lineRule="exact"/>
        <w:jc w:val="left"/>
        <w:rPr>
          <w:rFonts w:ascii="黑体" w:hAnsi="Cambria" w:eastAsia="黑体" w:cs="MS-UIGothic,Bold"/>
          <w:bCs/>
          <w:kern w:val="0"/>
          <w:sz w:val="52"/>
          <w:szCs w:val="52"/>
        </w:rPr>
      </w:pPr>
      <w:r>
        <w:rPr>
          <w:rFonts w:hint="eastAsia" w:ascii="仿宋_GB2312" w:hAnsi="Cambria" w:eastAsia="仿宋_GB2312" w:cs="ArialUnicodeMS"/>
          <w:kern w:val="0"/>
          <w:sz w:val="32"/>
          <w:szCs w:val="32"/>
        </w:rPr>
        <w:t>（以下简称“单位”）共1个，无极县审计局，单位基本性质为行政单位，预算管理级次为一级预算单位，执行行政单位会计制度，较上年无增减变化。</w:t>
      </w:r>
    </w:p>
    <w:p>
      <w:pPr>
        <w:widowControl/>
        <w:spacing w:line="560" w:lineRule="exact"/>
        <w:jc w:val="center"/>
        <w:rPr>
          <w:rFonts w:ascii="黑体" w:hAnsi="Cambria" w:eastAsia="黑体" w:cs="MS-UIGothic,Bold"/>
          <w:bCs/>
          <w:kern w:val="0"/>
          <w:sz w:val="52"/>
          <w:szCs w:val="52"/>
        </w:rPr>
      </w:pPr>
    </w:p>
    <w:p>
      <w:pPr>
        <w:pStyle w:val="2"/>
        <w:spacing w:line="560" w:lineRule="exact"/>
        <w:jc w:val="center"/>
        <w:rPr>
          <w:rFonts w:hint="eastAsia" w:ascii="宋体" w:hAnsi="宋体" w:cs="ArialUnicodeMS"/>
          <w:color w:val="000000"/>
          <w:kern w:val="0"/>
        </w:rPr>
      </w:pPr>
    </w:p>
    <w:p>
      <w:pPr>
        <w:pStyle w:val="2"/>
        <w:spacing w:before="0" w:after="0" w:line="240" w:lineRule="auto"/>
        <w:jc w:val="both"/>
        <w:rPr>
          <w:rFonts w:hint="eastAsia" w:ascii="宋体" w:hAnsi="宋体" w:cs="ArialUnicodeMS"/>
          <w:color w:val="000000"/>
          <w:kern w:val="0"/>
        </w:rPr>
      </w:pPr>
      <w:r>
        <w:rPr>
          <w:rFonts w:hint="eastAsia" w:ascii="宋体" w:hAnsi="宋体" w:cs="ArialUnicodeMS"/>
          <w:color w:val="000000"/>
          <w:kern w:val="0"/>
          <w:lang w:val="en-US" w:eastAsia="zh-CN"/>
        </w:rPr>
        <w:t xml:space="preserve">     </w:t>
      </w:r>
      <w:r>
        <w:rPr>
          <w:rFonts w:hint="eastAsia" w:ascii="宋体" w:hAnsi="宋体" w:cs="ArialUnicodeMS"/>
          <w:color w:val="000000"/>
          <w:kern w:val="0"/>
        </w:rPr>
        <w:t>第二部分 2017年度部门决算报表</w:t>
      </w:r>
    </w:p>
    <w:p>
      <w:pPr>
        <w:widowControl/>
        <w:spacing w:line="580" w:lineRule="exact"/>
        <w:ind w:left="640" w:firstLine="640" w:firstLineChars="200"/>
        <w:jc w:val="center"/>
        <w:rPr>
          <w:rFonts w:eastAsia="仿宋_GB2312"/>
          <w:sz w:val="32"/>
          <w:szCs w:val="32"/>
        </w:rPr>
      </w:pPr>
      <w:r>
        <w:rPr>
          <w:rFonts w:hint="eastAsia" w:eastAsia="仿宋_GB2312"/>
          <w:sz w:val="32"/>
          <w:szCs w:val="32"/>
        </w:rPr>
        <w:t>（详见附表）</w:t>
      </w:r>
    </w:p>
    <w:p>
      <w:pPr>
        <w:widowControl/>
        <w:spacing w:line="580" w:lineRule="exact"/>
        <w:ind w:left="640" w:firstLine="640" w:firstLineChars="200"/>
        <w:rPr>
          <w:rFonts w:eastAsia="仿宋_GB2312"/>
          <w:sz w:val="32"/>
          <w:szCs w:val="32"/>
        </w:rPr>
      </w:pPr>
      <w:r>
        <w:rPr>
          <w:rFonts w:eastAsia="仿宋_GB2312"/>
          <w:sz w:val="32"/>
          <w:szCs w:val="32"/>
        </w:rPr>
        <w:t>一、收入支出决算总表</w:t>
      </w:r>
    </w:p>
    <w:p>
      <w:pPr>
        <w:widowControl/>
        <w:spacing w:line="580" w:lineRule="exact"/>
        <w:ind w:left="640" w:firstLine="640" w:firstLineChars="200"/>
        <w:rPr>
          <w:rFonts w:eastAsia="仿宋_GB2312"/>
          <w:sz w:val="32"/>
          <w:szCs w:val="32"/>
        </w:rPr>
      </w:pPr>
      <w:r>
        <w:rPr>
          <w:rFonts w:eastAsia="仿宋_GB2312"/>
          <w:sz w:val="32"/>
          <w:szCs w:val="32"/>
        </w:rPr>
        <w:t>二、收入决算表</w:t>
      </w:r>
    </w:p>
    <w:p>
      <w:pPr>
        <w:widowControl/>
        <w:spacing w:line="580" w:lineRule="exact"/>
        <w:ind w:left="640" w:firstLine="640" w:firstLineChars="200"/>
        <w:rPr>
          <w:rFonts w:eastAsia="仿宋_GB2312"/>
          <w:sz w:val="32"/>
          <w:szCs w:val="32"/>
        </w:rPr>
      </w:pPr>
      <w:r>
        <w:rPr>
          <w:rFonts w:eastAsia="仿宋_GB2312"/>
          <w:sz w:val="32"/>
          <w:szCs w:val="32"/>
        </w:rPr>
        <w:t>三、支出决算表</w:t>
      </w:r>
    </w:p>
    <w:p>
      <w:pPr>
        <w:widowControl/>
        <w:spacing w:line="580" w:lineRule="exact"/>
        <w:ind w:left="640" w:firstLine="640" w:firstLineChars="200"/>
        <w:rPr>
          <w:rFonts w:eastAsia="仿宋_GB2312"/>
          <w:sz w:val="32"/>
          <w:szCs w:val="32"/>
        </w:rPr>
      </w:pPr>
      <w:r>
        <w:rPr>
          <w:rFonts w:eastAsia="仿宋_GB2312"/>
          <w:sz w:val="32"/>
          <w:szCs w:val="32"/>
        </w:rPr>
        <w:t>四、财政拨款收入支出决算总表</w:t>
      </w:r>
    </w:p>
    <w:p>
      <w:pPr>
        <w:widowControl/>
        <w:spacing w:line="580" w:lineRule="exact"/>
        <w:ind w:left="640" w:firstLine="640" w:firstLineChars="200"/>
        <w:rPr>
          <w:rFonts w:eastAsia="仿宋_GB2312"/>
          <w:sz w:val="32"/>
          <w:szCs w:val="32"/>
        </w:rPr>
      </w:pPr>
      <w:r>
        <w:rPr>
          <w:rFonts w:eastAsia="仿宋_GB2312"/>
          <w:sz w:val="32"/>
          <w:szCs w:val="32"/>
        </w:rPr>
        <w:t>五、一般公共预算财政拨款收入支出决算表</w:t>
      </w:r>
    </w:p>
    <w:p>
      <w:pPr>
        <w:widowControl/>
        <w:spacing w:line="580" w:lineRule="exact"/>
        <w:ind w:left="640" w:firstLine="640" w:firstLineChars="200"/>
        <w:rPr>
          <w:rFonts w:eastAsia="仿宋_GB2312"/>
          <w:sz w:val="32"/>
          <w:szCs w:val="32"/>
        </w:rPr>
      </w:pPr>
      <w:r>
        <w:rPr>
          <w:rFonts w:eastAsia="仿宋_GB2312"/>
          <w:sz w:val="32"/>
          <w:szCs w:val="32"/>
        </w:rPr>
        <w:t>六、一般公共预算财政拨款基本支出决算经济分类表</w:t>
      </w:r>
    </w:p>
    <w:p>
      <w:pPr>
        <w:widowControl/>
        <w:spacing w:line="580" w:lineRule="exact"/>
        <w:ind w:left="640" w:firstLine="640" w:firstLineChars="200"/>
        <w:rPr>
          <w:rFonts w:eastAsia="仿宋_GB2312"/>
          <w:sz w:val="32"/>
          <w:szCs w:val="32"/>
        </w:rPr>
      </w:pPr>
      <w:r>
        <w:rPr>
          <w:rFonts w:eastAsia="仿宋_GB2312"/>
          <w:sz w:val="32"/>
          <w:szCs w:val="32"/>
        </w:rPr>
        <w:t>七、政府性基金预算财政拨款收入支出决算表</w:t>
      </w:r>
    </w:p>
    <w:p>
      <w:pPr>
        <w:widowControl/>
        <w:spacing w:line="580" w:lineRule="exact"/>
        <w:ind w:left="640" w:firstLine="640" w:firstLineChars="200"/>
        <w:rPr>
          <w:rFonts w:eastAsia="仿宋_GB2312"/>
          <w:sz w:val="32"/>
          <w:szCs w:val="32"/>
        </w:rPr>
      </w:pPr>
      <w:r>
        <w:rPr>
          <w:rFonts w:eastAsia="仿宋_GB2312"/>
          <w:sz w:val="32"/>
          <w:szCs w:val="32"/>
        </w:rPr>
        <w:t>八、国有资本经营预算财政拨款收入支出决算表</w:t>
      </w:r>
    </w:p>
    <w:p>
      <w:pPr>
        <w:widowControl/>
        <w:spacing w:line="580" w:lineRule="exact"/>
        <w:ind w:left="640" w:firstLine="640" w:firstLineChars="200"/>
        <w:rPr>
          <w:rFonts w:eastAsia="仿宋_GB2312"/>
          <w:sz w:val="32"/>
          <w:szCs w:val="32"/>
        </w:rPr>
      </w:pPr>
      <w:r>
        <w:rPr>
          <w:rFonts w:eastAsia="仿宋_GB2312"/>
          <w:sz w:val="32"/>
          <w:szCs w:val="32"/>
        </w:rPr>
        <w:t>九、“三公”经费等相关信息统计表</w:t>
      </w:r>
    </w:p>
    <w:p>
      <w:pPr>
        <w:widowControl/>
        <w:spacing w:line="580" w:lineRule="exact"/>
        <w:ind w:left="640" w:firstLine="640" w:firstLineChars="200"/>
        <w:rPr>
          <w:rFonts w:eastAsia="仿宋_GB2312"/>
          <w:sz w:val="32"/>
          <w:szCs w:val="32"/>
        </w:rPr>
      </w:pPr>
      <w:r>
        <w:rPr>
          <w:rFonts w:eastAsia="仿宋_GB2312"/>
          <w:sz w:val="32"/>
          <w:szCs w:val="32"/>
        </w:rPr>
        <w:t>十、政府采购情况表</w:t>
      </w:r>
    </w:p>
    <w:p>
      <w:pPr>
        <w:rPr>
          <w:rFonts w:hint="eastAsia"/>
        </w:rPr>
      </w:pPr>
    </w:p>
    <w:p/>
    <w:p>
      <w:pPr>
        <w:pStyle w:val="2"/>
        <w:spacing w:line="560" w:lineRule="exact"/>
        <w:jc w:val="center"/>
        <w:rPr>
          <w:rFonts w:ascii="宋体" w:hAnsi="宋体" w:cs="ArialUnicodeMS"/>
          <w:color w:val="000000"/>
          <w:kern w:val="0"/>
        </w:rPr>
      </w:pPr>
      <w:r>
        <w:rPr>
          <w:rFonts w:hint="eastAsia" w:ascii="宋体" w:hAnsi="宋体" w:cs="ArialUnicodeMS"/>
          <w:color w:val="000000"/>
          <w:kern w:val="0"/>
        </w:rPr>
        <w:t>第三部分</w:t>
      </w:r>
      <w:r>
        <w:rPr>
          <w:rFonts w:ascii="宋体" w:hAnsi="宋体" w:cs="ArialUnicodeMS"/>
          <w:color w:val="000000"/>
          <w:kern w:val="0"/>
        </w:rPr>
        <w:t xml:space="preserve"> </w:t>
      </w:r>
      <w:r>
        <w:rPr>
          <w:rFonts w:hint="eastAsia" w:ascii="宋体" w:hAnsi="宋体" w:cs="ArialUnicodeMS"/>
          <w:color w:val="000000"/>
          <w:kern w:val="0"/>
        </w:rPr>
        <w:t>部门决算情况说明</w:t>
      </w:r>
    </w:p>
    <w:p>
      <w:pPr>
        <w:pStyle w:val="3"/>
        <w:spacing w:before="0" w:after="0" w:line="560" w:lineRule="exact"/>
        <w:ind w:firstLine="643" w:firstLineChars="200"/>
        <w:rPr>
          <w:rFonts w:ascii="黑体" w:eastAsia="黑体"/>
        </w:rPr>
      </w:pPr>
      <w:r>
        <w:rPr>
          <w:rFonts w:hint="eastAsia" w:ascii="黑体" w:eastAsia="黑体"/>
        </w:rPr>
        <w:t>一、收入</w:t>
      </w:r>
      <w:r>
        <w:rPr>
          <w:rFonts w:hint="eastAsia" w:ascii="黑体" w:hAnsi="Cambria" w:eastAsia="黑体"/>
          <w:kern w:val="0"/>
        </w:rPr>
        <w:t>支出</w:t>
      </w:r>
      <w:r>
        <w:rPr>
          <w:rFonts w:hint="eastAsia" w:ascii="黑体" w:eastAsia="黑体"/>
        </w:rPr>
        <w:t>决算总体情况说明</w:t>
      </w:r>
    </w:p>
    <w:p>
      <w:pPr>
        <w:ind w:firstLine="640"/>
        <w:rPr>
          <w:rFonts w:hint="eastAsia" w:ascii="仿宋_GB2312" w:eastAsia="仿宋_GB2312" w:cs="DengXian-Regular"/>
          <w:sz w:val="32"/>
          <w:szCs w:val="32"/>
        </w:rPr>
      </w:pPr>
      <w:r>
        <w:rPr>
          <w:rFonts w:hint="eastAsia" w:ascii="仿宋_GB2312" w:eastAsia="仿宋_GB2312" w:cs="DengXian-Regular"/>
          <w:sz w:val="32"/>
          <w:szCs w:val="32"/>
        </w:rPr>
        <w:t>本部门2017年度年初结转和结余4.33万元，本年收入418.3万元；本年支出345.98万元、年末结转和结余76.65万元。与2016年度决算相比，本年收入增加112.27万元，增长36.69%，</w:t>
      </w:r>
      <w:r>
        <w:rPr>
          <w:rFonts w:hint="eastAsia" w:ascii="仿宋_GB2312" w:hAnsi="仿宋" w:eastAsia="仿宋_GB2312" w:cs="仿宋"/>
          <w:sz w:val="32"/>
          <w:szCs w:val="32"/>
        </w:rPr>
        <w:t>主要是人员工资调整，人员增加，项目增加</w:t>
      </w:r>
      <w:r>
        <w:rPr>
          <w:rFonts w:hint="eastAsia" w:ascii="仿宋_GB2312" w:eastAsia="仿宋_GB2312" w:cs="DengXian-Regular"/>
          <w:sz w:val="32"/>
          <w:szCs w:val="32"/>
        </w:rPr>
        <w:t>；本年支出增加44.28万元，增长14.68%，主要是</w:t>
      </w:r>
      <w:r>
        <w:rPr>
          <w:rFonts w:hint="eastAsia" w:ascii="仿宋_GB2312" w:hAnsi="仿宋" w:eastAsia="仿宋_GB2312" w:cs="仿宋"/>
          <w:sz w:val="32"/>
          <w:szCs w:val="32"/>
        </w:rPr>
        <w:t>人员工资调整，人员增加，项目增加</w:t>
      </w:r>
      <w:r>
        <w:rPr>
          <w:rFonts w:hint="eastAsia" w:ascii="仿宋_GB2312" w:eastAsia="仿宋_GB2312" w:cs="DengXian-Regular"/>
          <w:sz w:val="32"/>
          <w:szCs w:val="32"/>
        </w:rPr>
        <w:t>。</w:t>
      </w:r>
    </w:p>
    <w:p>
      <w:pPr>
        <w:pStyle w:val="3"/>
        <w:spacing w:before="0" w:after="0" w:line="560" w:lineRule="exact"/>
        <w:ind w:firstLine="643" w:firstLineChars="200"/>
        <w:rPr>
          <w:rFonts w:ascii="黑体" w:eastAsia="黑体"/>
        </w:rPr>
      </w:pPr>
      <w:r>
        <w:rPr>
          <w:rFonts w:hint="eastAsia" w:ascii="黑体" w:eastAsia="黑体"/>
        </w:rPr>
        <w:t>二、收入决算情况说明</w:t>
      </w:r>
    </w:p>
    <w:p>
      <w:pPr>
        <w:adjustRightInd w:val="0"/>
        <w:snapToGrid w:val="0"/>
        <w:spacing w:line="560" w:lineRule="exact"/>
        <w:ind w:firstLine="640" w:firstLineChars="200"/>
        <w:rPr>
          <w:rFonts w:hint="eastAsia" w:ascii="仿宋_GB2312" w:eastAsia="仿宋_GB2312" w:cs="DengXian-Regular"/>
          <w:sz w:val="32"/>
          <w:szCs w:val="32"/>
        </w:rPr>
      </w:pPr>
      <w:r>
        <w:rPr>
          <w:rFonts w:hint="eastAsia" w:ascii="仿宋_GB2312" w:eastAsia="仿宋_GB2312" w:cs="DengXian-Regular"/>
          <w:sz w:val="32"/>
          <w:szCs w:val="32"/>
        </w:rPr>
        <w:t>本部门2017年度本年收入合计418.3万元，其中：财政拨款收入416.3万元，占99.52%；其他收入2万元，占0.48%。如图所示：</w:t>
      </w:r>
    </w:p>
    <w:p>
      <w:pPr>
        <w:ind w:firstLine="64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 xml:space="preserve">         图1;收入决算结构饼状图</w:t>
      </w:r>
    </w:p>
    <w:p>
      <w:pPr>
        <w:ind w:firstLine="640"/>
        <w:rPr>
          <w:rFonts w:hint="eastAsia" w:ascii="仿宋" w:hAnsi="仿宋" w:eastAsia="仿宋" w:cs="仿宋"/>
          <w:sz w:val="32"/>
          <w:szCs w:val="32"/>
          <w:lang w:val="en-US" w:eastAsia="zh-CN"/>
        </w:rPr>
      </w:pPr>
      <w:r>
        <w:rPr>
          <w:rFonts w:ascii="Times New Roman" w:hAnsi="Times New Roman" w:eastAsia="宋体" w:cs="Times New Roman"/>
          <w:kern w:val="2"/>
          <w:sz w:val="21"/>
          <w:szCs w:val="24"/>
          <w:lang w:val="en-US" w:eastAsia="zh-CN" w:bidi="ar-SA"/>
        </w:rPr>
        <w:pict>
          <v:shape id="_x0000_i1025" o:spt="75" type="#_x0000_t75" style="height:201.2pt;width:442.1pt;" fillcolor="#FFFFFF" filled="f" o:preferrelative="t" stroked="f" coordsize="21600,21600">
            <v:path/>
            <v:fill on="f" color2="#FFFFFF" focussize="0,0"/>
            <v:stroke on="f"/>
            <v:imagedata r:id="rId4" gain="65536f" blacklevel="0f" gamma="0" o:title=""/>
            <o:lock v:ext="edit" position="f" selection="f" grouping="f" rotation="f" cropping="f" text="f" aspectratio="t"/>
            <w10:wrap type="none"/>
            <w10:anchorlock/>
          </v:shape>
        </w:pict>
      </w:r>
    </w:p>
    <w:p>
      <w:pPr>
        <w:pStyle w:val="3"/>
        <w:spacing w:before="0" w:after="0" w:line="560" w:lineRule="exact"/>
        <w:rPr>
          <w:rFonts w:ascii="黑体" w:eastAsia="黑体"/>
        </w:rPr>
      </w:pPr>
      <w:r>
        <w:rPr>
          <w:rFonts w:hint="eastAsia" w:ascii="黑体" w:eastAsia="黑体"/>
          <w:lang w:val="en-US" w:eastAsia="zh-CN"/>
        </w:rPr>
        <w:t xml:space="preserve">   </w:t>
      </w:r>
      <w:r>
        <w:rPr>
          <w:rFonts w:hint="eastAsia" w:ascii="黑体" w:eastAsia="黑体"/>
        </w:rPr>
        <w:t xml:space="preserve"> 三、支出决算情况说明</w:t>
      </w:r>
    </w:p>
    <w:p>
      <w:pPr>
        <w:adjustRightInd w:val="0"/>
        <w:snapToGrid w:val="0"/>
        <w:spacing w:line="560" w:lineRule="exact"/>
        <w:ind w:firstLine="640" w:firstLineChars="200"/>
        <w:rPr>
          <w:rFonts w:hint="eastAsia" w:ascii="仿宋_GB2312" w:eastAsia="仿宋_GB2312" w:cs="DengXian-Regular"/>
          <w:sz w:val="32"/>
          <w:szCs w:val="32"/>
          <w:lang w:val="en-US" w:eastAsia="zh-CN"/>
        </w:rPr>
      </w:pPr>
      <w:r>
        <w:rPr>
          <w:rFonts w:hint="eastAsia" w:ascii="仿宋_GB2312" w:eastAsia="仿宋_GB2312" w:cs="DengXian-Regular"/>
          <w:sz w:val="32"/>
          <w:szCs w:val="32"/>
        </w:rPr>
        <w:t>本部门2017年度本年支出合计345.98万元，其中：基本支出220.54万元，占63.74%；项目支出125.44万元，占36.26%；</w:t>
      </w:r>
      <w:r>
        <w:rPr>
          <w:rFonts w:hint="eastAsia" w:ascii="仿宋_GB2312" w:eastAsia="仿宋_GB2312" w:cs="DengXian-Regular"/>
          <w:sz w:val="32"/>
          <w:szCs w:val="32"/>
          <w:lang w:val="en-US" w:eastAsia="zh-CN"/>
        </w:rPr>
        <w:t>如图所示：</w:t>
      </w:r>
    </w:p>
    <w:p>
      <w:pPr>
        <w:adjustRightInd w:val="0"/>
        <w:snapToGrid w:val="0"/>
        <w:spacing w:line="560" w:lineRule="exact"/>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 xml:space="preserve">        图2：支出决算结构饼状图</w:t>
      </w:r>
    </w:p>
    <w:p>
      <w:pPr>
        <w:adjustRightInd w:val="0"/>
        <w:snapToGrid w:val="0"/>
        <w:spacing w:after="0" w:line="240" w:lineRule="auto"/>
        <w:ind w:firstLine="0" w:firstLineChars="0"/>
        <w:rPr>
          <w:rFonts w:hint="eastAsia" w:ascii="仿宋" w:hAnsi="仿宋" w:eastAsia="仿宋" w:cs="仿宋"/>
          <w:sz w:val="32"/>
          <w:szCs w:val="32"/>
          <w:lang w:val="en-US" w:eastAsia="zh-CN"/>
        </w:rPr>
      </w:pPr>
      <w:r>
        <w:rPr>
          <w:rFonts w:ascii="Times New Roman" w:hAnsi="Times New Roman" w:eastAsia="宋体" w:cs="Times New Roman"/>
          <w:kern w:val="2"/>
          <w:sz w:val="21"/>
          <w:szCs w:val="24"/>
          <w:lang w:val="en-US" w:eastAsia="zh-CN" w:bidi="ar-SA"/>
        </w:rPr>
        <w:pict>
          <v:shape id="_x0000_i1026" o:spt="75" type="#_x0000_t75" style="height:201.2pt;width:442.1pt;" fillcolor="#FFFFFF" filled="f" o:preferrelative="t" stroked="f" coordsize="21600,21600">
            <v:path/>
            <v:fill on="f" color2="#FFFFFF" focussize="0,0"/>
            <v:stroke on="f"/>
            <v:imagedata r:id="rId5" gain="65536f" blacklevel="0f" gamma="0" o:title=""/>
            <o:lock v:ext="edit" position="f" selection="f" grouping="f" rotation="f" cropping="f" text="f" aspectratio="t"/>
            <w10:wrap type="none"/>
            <w10:anchorlock/>
          </v:shape>
        </w:pict>
      </w:r>
    </w:p>
    <w:p>
      <w:pPr>
        <w:pStyle w:val="3"/>
        <w:spacing w:before="0" w:after="0" w:line="560" w:lineRule="exact"/>
        <w:ind w:firstLine="643" w:firstLineChars="200"/>
        <w:rPr>
          <w:rFonts w:ascii="黑体" w:eastAsia="黑体"/>
        </w:rPr>
      </w:pPr>
      <w:r>
        <w:rPr>
          <w:rFonts w:hint="eastAsia" w:ascii="黑体" w:eastAsia="黑体"/>
        </w:rPr>
        <w:t>四、</w:t>
      </w:r>
      <w:r>
        <w:rPr>
          <w:rFonts w:hint="eastAsia" w:ascii="黑体" w:hAnsi="Cambria" w:eastAsia="黑体"/>
          <w:kern w:val="0"/>
        </w:rPr>
        <w:t>财政</w:t>
      </w:r>
      <w:r>
        <w:rPr>
          <w:rFonts w:hint="eastAsia" w:ascii="黑体" w:eastAsia="黑体"/>
        </w:rPr>
        <w:t>拨款收入支出决算总体情况说明</w:t>
      </w:r>
    </w:p>
    <w:p>
      <w:pPr>
        <w:spacing w:after="0" w:line="560" w:lineRule="exact"/>
        <w:ind w:firstLine="643" w:firstLineChars="200"/>
        <w:rPr>
          <w:rFonts w:ascii="楷体_GB2312" w:eastAsia="楷体_GB2312" w:cs="DengXian-Bold"/>
          <w:b/>
          <w:bCs/>
          <w:sz w:val="32"/>
          <w:szCs w:val="32"/>
        </w:rPr>
      </w:pPr>
      <w:r>
        <w:rPr>
          <w:rFonts w:hint="eastAsia" w:ascii="楷体_GB2312" w:eastAsia="楷体_GB2312" w:cs="DengXian-Bold"/>
          <w:b/>
          <w:bCs/>
          <w:sz w:val="32"/>
          <w:szCs w:val="32"/>
        </w:rPr>
        <w:t>（一）财政拨款收支与2016 年度决算对比情况</w:t>
      </w:r>
    </w:p>
    <w:p>
      <w:pPr>
        <w:adjustRightInd w:val="0"/>
        <w:snapToGrid w:val="0"/>
        <w:spacing w:after="0" w:line="560" w:lineRule="exact"/>
        <w:ind w:firstLine="640" w:firstLineChars="200"/>
        <w:rPr>
          <w:rFonts w:hint="eastAsia" w:ascii="仿宋_GB2312" w:eastAsia="仿宋_GB2312" w:cs="DengXian-Regular"/>
          <w:color w:val="000000"/>
          <w:sz w:val="32"/>
          <w:szCs w:val="32"/>
        </w:rPr>
      </w:pPr>
      <w:r>
        <w:rPr>
          <w:rFonts w:hint="eastAsia" w:ascii="仿宋_GB2312" w:eastAsia="仿宋_GB2312" w:cs="DengXian-Regular"/>
          <w:color w:val="000000"/>
          <w:sz w:val="32"/>
          <w:szCs w:val="32"/>
        </w:rPr>
        <w:t>本部门2017年度财政拨款收支全部为一般公共预算财政拨款收支。一般公共预算财政拨款年初结转和结余1.33万元、本年收入416.3万元；本年支出345.98万元、年末结转和结余71.65万元。与2016年度决算相比，一般公共预算财政拨款本年收入增加113.27万元，增长37.35%，主要是</w:t>
      </w:r>
      <w:r>
        <w:rPr>
          <w:rFonts w:hint="eastAsia" w:ascii="仿宋" w:hAnsi="仿宋" w:eastAsia="仿宋" w:cs="仿宋"/>
          <w:color w:val="000000"/>
          <w:sz w:val="32"/>
          <w:szCs w:val="32"/>
        </w:rPr>
        <w:t>人员</w:t>
      </w:r>
      <w:r>
        <w:rPr>
          <w:rFonts w:hint="eastAsia" w:ascii="仿宋_GB2312" w:hAnsi="仿宋" w:eastAsia="仿宋_GB2312" w:cs="仿宋"/>
          <w:color w:val="000000"/>
          <w:sz w:val="32"/>
          <w:szCs w:val="32"/>
        </w:rPr>
        <w:t>工资调整，人员增加，项目增加</w:t>
      </w:r>
      <w:r>
        <w:rPr>
          <w:rFonts w:hint="eastAsia" w:ascii="仿宋_GB2312" w:eastAsia="仿宋_GB2312" w:cs="DengXian-Regular"/>
          <w:color w:val="000000"/>
          <w:sz w:val="32"/>
          <w:szCs w:val="32"/>
        </w:rPr>
        <w:t>；本年支出增加44.28万元，增长14.68%，主要是</w:t>
      </w:r>
      <w:r>
        <w:rPr>
          <w:rFonts w:hint="eastAsia" w:ascii="仿宋_GB2312" w:hAnsi="仿宋" w:eastAsia="仿宋_GB2312" w:cs="仿宋"/>
          <w:color w:val="000000"/>
          <w:sz w:val="32"/>
          <w:szCs w:val="32"/>
        </w:rPr>
        <w:t>人员工资调整，人员增加，项目增加</w:t>
      </w:r>
      <w:r>
        <w:rPr>
          <w:rFonts w:hint="eastAsia" w:ascii="仿宋_GB2312" w:eastAsia="仿宋_GB2312" w:cs="DengXian-Regular"/>
          <w:color w:val="000000"/>
          <w:sz w:val="32"/>
          <w:szCs w:val="32"/>
        </w:rPr>
        <w:t>。</w:t>
      </w:r>
    </w:p>
    <w:p>
      <w:pPr>
        <w:spacing w:after="0" w:line="560" w:lineRule="exact"/>
        <w:ind w:firstLine="643" w:firstLineChars="200"/>
        <w:rPr>
          <w:rFonts w:ascii="仿宋_GB2312" w:eastAsia="仿宋_GB2312" w:cs="DengXian-Bold"/>
          <w:b/>
          <w:bCs/>
          <w:sz w:val="32"/>
          <w:szCs w:val="32"/>
        </w:rPr>
      </w:pPr>
      <w:r>
        <w:rPr>
          <w:rFonts w:hint="eastAsia" w:ascii="楷体_GB2312" w:eastAsia="楷体_GB2312" w:cs="DengXian-Bold"/>
          <w:b/>
          <w:bCs/>
          <w:sz w:val="32"/>
          <w:szCs w:val="32"/>
        </w:rPr>
        <w:t>（二）财政拨款收支与年初预算数对比情况</w:t>
      </w:r>
    </w:p>
    <w:p>
      <w:pPr>
        <w:adjustRightInd w:val="0"/>
        <w:snapToGrid w:val="0"/>
        <w:spacing w:after="0" w:line="560" w:lineRule="exact"/>
        <w:ind w:firstLine="640" w:firstLineChars="200"/>
        <w:rPr>
          <w:rFonts w:hint="eastAsia" w:ascii="仿宋_GB2312" w:eastAsia="仿宋_GB2312" w:cs="DengXian-Regular"/>
          <w:sz w:val="32"/>
          <w:szCs w:val="32"/>
        </w:rPr>
      </w:pPr>
      <w:r>
        <w:rPr>
          <w:rFonts w:hint="eastAsia" w:ascii="仿宋_GB2312" w:eastAsia="仿宋_GB2312" w:cs="DengXian-Regular"/>
          <w:sz w:val="32"/>
          <w:szCs w:val="32"/>
        </w:rPr>
        <w:t>本部门2017年度一般公共预算财政拨款本年收入较2017年初预算增加16.85万元，增长4.22%，主要是</w:t>
      </w:r>
      <w:r>
        <w:rPr>
          <w:rFonts w:hint="eastAsia" w:ascii="仿宋_GB2312" w:hAnsi="仿宋" w:eastAsia="仿宋_GB2312" w:cs="仿宋"/>
          <w:color w:val="000000"/>
          <w:sz w:val="32"/>
          <w:szCs w:val="32"/>
        </w:rPr>
        <w:t>人员工资调整，人员增加，项目增加</w:t>
      </w:r>
      <w:r>
        <w:rPr>
          <w:rFonts w:hint="eastAsia" w:ascii="仿宋_GB2312" w:eastAsia="仿宋_GB2312" w:cs="DengXian-Regular"/>
          <w:sz w:val="32"/>
          <w:szCs w:val="32"/>
        </w:rPr>
        <w:t>；本年支出减少53.47万元，降低13.39%，主要是项目款项未结清，有结余。</w:t>
      </w:r>
    </w:p>
    <w:p>
      <w:pPr>
        <w:pStyle w:val="3"/>
        <w:spacing w:before="0" w:after="0" w:line="560" w:lineRule="exact"/>
        <w:ind w:firstLine="643" w:firstLineChars="200"/>
        <w:rPr>
          <w:rFonts w:ascii="黑体" w:eastAsia="黑体"/>
        </w:rPr>
      </w:pPr>
      <w:r>
        <w:rPr>
          <w:rFonts w:hint="eastAsia" w:ascii="黑体" w:eastAsia="黑体"/>
        </w:rPr>
        <w:t>五、“三公” 经费支出决算情况说明</w:t>
      </w:r>
    </w:p>
    <w:p>
      <w:pPr>
        <w:ind w:firstLine="640"/>
        <w:rPr>
          <w:rFonts w:ascii="仿宋_GB2312" w:eastAsia="仿宋_GB2312" w:cs="DengXian-Regular"/>
          <w:sz w:val="32"/>
          <w:szCs w:val="32"/>
        </w:rPr>
      </w:pPr>
      <w:r>
        <w:rPr>
          <w:rFonts w:hint="eastAsia" w:ascii="仿宋_GB2312" w:eastAsia="仿宋_GB2312" w:cs="DengXian-Regular"/>
          <w:sz w:val="32"/>
          <w:szCs w:val="32"/>
        </w:rPr>
        <w:t>本部门2017年度“三公”经费支出共计4.26万元，较年初预算减少0.24万元，降低5.33%，主要是</w:t>
      </w:r>
      <w:r>
        <w:rPr>
          <w:rFonts w:hint="eastAsia" w:ascii="仿宋_GB2312" w:hAnsi="仿宋" w:eastAsia="仿宋_GB2312" w:cs="仿宋"/>
          <w:sz w:val="32"/>
          <w:szCs w:val="32"/>
        </w:rPr>
        <w:t>公务接待次数减少、公务用车行为减少；</w:t>
      </w:r>
      <w:r>
        <w:rPr>
          <w:rFonts w:hint="eastAsia" w:ascii="仿宋_GB2312" w:eastAsia="仿宋_GB2312" w:cs="DengXian-Regular"/>
          <w:sz w:val="32"/>
          <w:szCs w:val="32"/>
        </w:rPr>
        <w:t>较2016年度决算减少1.28万元，降低23.11%，主要是</w:t>
      </w:r>
      <w:r>
        <w:rPr>
          <w:rFonts w:hint="eastAsia" w:ascii="仿宋_GB2312" w:hAnsi="仿宋" w:eastAsia="仿宋_GB2312" w:cs="仿宋"/>
          <w:sz w:val="32"/>
          <w:szCs w:val="32"/>
        </w:rPr>
        <w:t>公务接待次数减少、公务用车行为减少</w:t>
      </w:r>
      <w:r>
        <w:rPr>
          <w:rFonts w:hint="eastAsia" w:ascii="仿宋_GB2312" w:eastAsia="仿宋_GB2312" w:cs="DengXian-Regular"/>
          <w:sz w:val="32"/>
          <w:szCs w:val="32"/>
        </w:rPr>
        <w:t>。具体情况如下：</w:t>
      </w:r>
    </w:p>
    <w:p>
      <w:pPr>
        <w:numPr>
          <w:ilvl w:val="0"/>
          <w:numId w:val="2"/>
        </w:numPr>
        <w:adjustRightInd w:val="0"/>
        <w:snapToGrid w:val="0"/>
        <w:spacing w:after="0" w:line="560" w:lineRule="exact"/>
        <w:ind w:firstLine="643" w:firstLineChars="200"/>
        <w:rPr>
          <w:rFonts w:ascii="仿宋_GB2312" w:eastAsia="仿宋_GB2312" w:cs="DengXian-Regular"/>
          <w:sz w:val="32"/>
          <w:szCs w:val="32"/>
        </w:rPr>
      </w:pPr>
      <w:r>
        <w:rPr>
          <w:rFonts w:hint="eastAsia" w:ascii="楷体_GB2312" w:eastAsia="楷体_GB2312" w:cs="DengXian-Bold"/>
          <w:b/>
          <w:bCs/>
          <w:sz w:val="32"/>
          <w:szCs w:val="32"/>
        </w:rPr>
        <w:t>因公出国（境）费支出0万元。</w:t>
      </w:r>
      <w:r>
        <w:rPr>
          <w:rFonts w:hint="eastAsia" w:ascii="仿宋_GB2312" w:eastAsia="仿宋_GB2312" w:cs="DengXian-Regular"/>
          <w:sz w:val="32"/>
          <w:szCs w:val="32"/>
        </w:rPr>
        <w:t>本部门2017年度参加其他单位组织的因公出国（境）团组0个、无本单位组织的出国（境）团组</w:t>
      </w:r>
      <w:r>
        <w:rPr>
          <w:rFonts w:hint="eastAsia" w:ascii="仿宋_GB2312" w:eastAsia="仿宋_GB2312" w:cs="DengXian-Regular"/>
          <w:sz w:val="32"/>
          <w:szCs w:val="32"/>
          <w:lang w:eastAsia="zh-CN"/>
        </w:rPr>
        <w:t>，</w:t>
      </w:r>
      <w:r>
        <w:rPr>
          <w:rFonts w:hint="eastAsia" w:ascii="仿宋_GB2312" w:eastAsia="仿宋_GB2312" w:cs="DengXian-Regular"/>
          <w:sz w:val="32"/>
          <w:szCs w:val="32"/>
          <w:lang w:val="en-US" w:eastAsia="zh-CN"/>
        </w:rPr>
        <w:t>本年未发生“因公出国费用”支出，较年初预算无增减变化，较2016年度预算无增减变化</w:t>
      </w:r>
      <w:r>
        <w:rPr>
          <w:rFonts w:hint="eastAsia" w:ascii="仿宋_GB2312" w:eastAsia="仿宋_GB2312" w:cs="DengXian-Regular"/>
          <w:sz w:val="32"/>
          <w:szCs w:val="32"/>
        </w:rPr>
        <w:t>。</w:t>
      </w:r>
    </w:p>
    <w:p>
      <w:pPr>
        <w:adjustRightInd w:val="0"/>
        <w:snapToGrid w:val="0"/>
        <w:spacing w:after="0" w:line="560" w:lineRule="exact"/>
        <w:rPr>
          <w:rFonts w:ascii="仿宋_GB2312" w:eastAsia="仿宋_GB2312" w:cs="DengXian-Regular"/>
          <w:sz w:val="32"/>
          <w:szCs w:val="32"/>
        </w:rPr>
      </w:pPr>
      <w:r>
        <w:rPr>
          <w:rFonts w:hint="eastAsia" w:ascii="楷体_GB2312" w:eastAsia="楷体_GB2312" w:cs="DengXian-Bold"/>
          <w:b/>
          <w:bCs/>
          <w:sz w:val="32"/>
          <w:szCs w:val="32"/>
        </w:rPr>
        <w:t xml:space="preserve">    （二）公务用车购置及运行维护费支出2.98万元。</w:t>
      </w:r>
      <w:r>
        <w:rPr>
          <w:rFonts w:hint="eastAsia" w:ascii="仿宋_GB2312" w:eastAsia="仿宋_GB2312" w:cs="DengXian-Regular"/>
          <w:sz w:val="32"/>
          <w:szCs w:val="32"/>
        </w:rPr>
        <w:t>本部门2017年度公务用车购置及运行维护费较年初预算减少0.02万元，降低0.67%,主要是</w:t>
      </w:r>
      <w:r>
        <w:rPr>
          <w:rFonts w:hint="eastAsia" w:ascii="仿宋" w:hAnsi="仿宋" w:eastAsia="仿宋" w:cs="仿宋"/>
          <w:sz w:val="32"/>
          <w:szCs w:val="32"/>
        </w:rPr>
        <w:t>公务用车行为减少</w:t>
      </w:r>
      <w:r>
        <w:rPr>
          <w:rFonts w:hint="eastAsia" w:ascii="仿宋_GB2312" w:eastAsia="仿宋_GB2312" w:cs="DengXian-Regular"/>
          <w:sz w:val="32"/>
          <w:szCs w:val="32"/>
        </w:rPr>
        <w:t>；较2016年度决算减少0.85万元，降低22.2%,主要是</w:t>
      </w:r>
      <w:r>
        <w:rPr>
          <w:rFonts w:hint="eastAsia" w:ascii="仿宋" w:hAnsi="仿宋" w:eastAsia="仿宋" w:cs="仿宋"/>
          <w:sz w:val="32"/>
          <w:szCs w:val="32"/>
        </w:rPr>
        <w:t>公务用车行为减少</w:t>
      </w:r>
      <w:r>
        <w:rPr>
          <w:rFonts w:hint="eastAsia" w:ascii="仿宋_GB2312" w:eastAsia="仿宋_GB2312" w:cs="DengXian-Regular"/>
          <w:sz w:val="32"/>
          <w:szCs w:val="32"/>
        </w:rPr>
        <w:t>。</w:t>
      </w:r>
    </w:p>
    <w:p>
      <w:pPr>
        <w:adjustRightInd w:val="0"/>
        <w:snapToGrid w:val="0"/>
        <w:spacing w:after="0" w:line="560" w:lineRule="exact"/>
        <w:ind w:firstLine="643" w:firstLineChars="200"/>
        <w:rPr>
          <w:rFonts w:ascii="仿宋_GB2312" w:eastAsia="仿宋_GB2312" w:cs="DengXian-Regular"/>
          <w:sz w:val="32"/>
          <w:szCs w:val="32"/>
        </w:rPr>
      </w:pPr>
      <w:r>
        <w:rPr>
          <w:rFonts w:hint="eastAsia" w:ascii="仿宋_GB2312" w:eastAsia="仿宋_GB2312" w:cs="DengXian-Bold"/>
          <w:b/>
          <w:bCs/>
          <w:sz w:val="32"/>
          <w:szCs w:val="32"/>
        </w:rPr>
        <w:t>其中：</w:t>
      </w:r>
      <w:r>
        <w:rPr>
          <w:rFonts w:hint="eastAsia" w:ascii="仿宋_GB2312" w:eastAsia="仿宋_GB2312" w:cs="DengXian-Regular"/>
          <w:b/>
          <w:sz w:val="32"/>
          <w:szCs w:val="32"/>
        </w:rPr>
        <w:t>公务用车购置费：</w:t>
      </w:r>
      <w:r>
        <w:rPr>
          <w:rFonts w:hint="eastAsia" w:ascii="仿宋_GB2312" w:eastAsia="仿宋_GB2312" w:cs="DengXian-Regular"/>
          <w:sz w:val="32"/>
          <w:szCs w:val="32"/>
        </w:rPr>
        <w:t>本部门2017年度公务用车购置量0辆，发生“公务用车购置”经费支出0万元。公务用车购置费支出较年初预算</w:t>
      </w:r>
      <w:r>
        <w:rPr>
          <w:rFonts w:hint="eastAsia" w:ascii="仿宋_GB2312" w:eastAsia="仿宋_GB2312" w:cs="DengXian-Regular"/>
          <w:sz w:val="32"/>
          <w:szCs w:val="32"/>
          <w:lang w:val="en-US" w:eastAsia="zh-CN"/>
        </w:rPr>
        <w:t>无增减变化</w:t>
      </w:r>
      <w:r>
        <w:rPr>
          <w:rFonts w:hint="eastAsia" w:ascii="仿宋_GB2312" w:eastAsia="仿宋_GB2312" w:cs="DengXian-Regular"/>
          <w:sz w:val="32"/>
          <w:szCs w:val="32"/>
        </w:rPr>
        <w:t>,主要是未发生“公务用车购置”经费支出；较2016年度决算无增减变化。</w:t>
      </w:r>
    </w:p>
    <w:p>
      <w:pPr>
        <w:adjustRightInd w:val="0"/>
        <w:snapToGrid w:val="0"/>
        <w:spacing w:after="0" w:line="560" w:lineRule="exact"/>
        <w:ind w:firstLine="643" w:firstLineChars="200"/>
        <w:rPr>
          <w:rFonts w:ascii="仿宋_GB2312" w:eastAsia="仿宋_GB2312" w:cs="DengXian-Regular"/>
          <w:sz w:val="32"/>
          <w:szCs w:val="32"/>
        </w:rPr>
      </w:pPr>
      <w:r>
        <w:rPr>
          <w:rFonts w:hint="eastAsia" w:ascii="仿宋_GB2312" w:eastAsia="仿宋_GB2312" w:cs="DengXian-Regular"/>
          <w:b/>
          <w:sz w:val="32"/>
          <w:szCs w:val="32"/>
        </w:rPr>
        <w:t>公务用车运行维护费：</w:t>
      </w:r>
      <w:r>
        <w:rPr>
          <w:rFonts w:hint="eastAsia" w:ascii="仿宋_GB2312" w:eastAsia="仿宋_GB2312" w:cs="DengXian-Regular"/>
          <w:sz w:val="32"/>
          <w:szCs w:val="32"/>
        </w:rPr>
        <w:t>本部门2017年度单位公务用车保有量1辆。公车运行维护费支出较年初预算减少0.02万元，降低0.67%,主要是</w:t>
      </w:r>
      <w:r>
        <w:rPr>
          <w:rFonts w:hint="eastAsia" w:ascii="仿宋" w:hAnsi="仿宋" w:eastAsia="仿宋" w:cs="仿宋"/>
          <w:sz w:val="32"/>
          <w:szCs w:val="32"/>
        </w:rPr>
        <w:t>公务用车行为减少</w:t>
      </w:r>
      <w:r>
        <w:rPr>
          <w:rFonts w:hint="eastAsia" w:ascii="仿宋_GB2312" w:eastAsia="仿宋_GB2312" w:cs="DengXian-Regular"/>
          <w:sz w:val="32"/>
          <w:szCs w:val="32"/>
        </w:rPr>
        <w:t>；较2016年度决算减少0.85万元，降低22.2%，主要是</w:t>
      </w:r>
      <w:r>
        <w:rPr>
          <w:rFonts w:hint="eastAsia" w:ascii="仿宋" w:hAnsi="仿宋" w:eastAsia="仿宋" w:cs="仿宋"/>
          <w:sz w:val="32"/>
          <w:szCs w:val="32"/>
        </w:rPr>
        <w:t>公务用车行为减少</w:t>
      </w:r>
      <w:r>
        <w:rPr>
          <w:rFonts w:hint="eastAsia" w:ascii="仿宋_GB2312" w:eastAsia="仿宋_GB2312" w:cs="DengXian-Regular"/>
          <w:sz w:val="32"/>
          <w:szCs w:val="32"/>
        </w:rPr>
        <w:t>。</w:t>
      </w:r>
    </w:p>
    <w:p>
      <w:pPr>
        <w:adjustRightInd w:val="0"/>
        <w:snapToGrid w:val="0"/>
        <w:spacing w:after="0" w:line="560" w:lineRule="exact"/>
        <w:ind w:firstLine="643" w:firstLineChars="200"/>
        <w:rPr>
          <w:rFonts w:ascii="仿宋_GB2312" w:eastAsia="仿宋_GB2312" w:cs="DengXian-Regular"/>
          <w:sz w:val="32"/>
          <w:szCs w:val="32"/>
        </w:rPr>
      </w:pPr>
      <w:r>
        <w:rPr>
          <w:rFonts w:hint="eastAsia" w:ascii="楷体_GB2312" w:eastAsia="楷体_GB2312" w:cs="DengXian-Bold"/>
          <w:b/>
          <w:bCs/>
          <w:sz w:val="32"/>
          <w:szCs w:val="32"/>
        </w:rPr>
        <w:t>（三）公务接待费支出1.28万元。</w:t>
      </w:r>
      <w:r>
        <w:rPr>
          <w:rFonts w:hint="eastAsia" w:ascii="仿宋_GB2312" w:eastAsia="仿宋_GB2312" w:cs="DengXian-Regular"/>
          <w:sz w:val="32"/>
          <w:szCs w:val="32"/>
        </w:rPr>
        <w:t>本部门2017年度公务接待共25批次、254人次。公务接待费支出较年初预算减少0.22万元，降低14.67%,主要是公务接待次数减少；较2016年度决算减少0.43万元，降低25.15%,主要是公务接待次数减少。</w:t>
      </w:r>
    </w:p>
    <w:p>
      <w:pPr>
        <w:pStyle w:val="3"/>
        <w:spacing w:before="0" w:after="0" w:line="560" w:lineRule="exact"/>
        <w:ind w:firstLine="643" w:firstLineChars="200"/>
        <w:rPr>
          <w:rFonts w:ascii="黑体" w:eastAsia="黑体" w:cs="Times New Roman"/>
        </w:rPr>
      </w:pPr>
      <w:r>
        <w:rPr>
          <w:rFonts w:hint="eastAsia" w:ascii="黑体" w:eastAsia="黑体" w:cs="Times New Roman"/>
        </w:rPr>
        <w:t>六、绩效预算</w:t>
      </w:r>
      <w:r>
        <w:rPr>
          <w:rFonts w:hint="eastAsia" w:ascii="黑体" w:hAnsi="Cambria" w:eastAsia="黑体"/>
          <w:kern w:val="0"/>
        </w:rPr>
        <w:t>管理</w:t>
      </w:r>
      <w:r>
        <w:rPr>
          <w:rFonts w:hint="eastAsia" w:ascii="黑体" w:eastAsia="黑体" w:cs="Times New Roman"/>
        </w:rPr>
        <w:t>工作开展情况说明</w:t>
      </w:r>
    </w:p>
    <w:p>
      <w:pPr>
        <w:adjustRightInd w:val="0"/>
        <w:snapToGrid w:val="0"/>
        <w:spacing w:after="0" w:line="500" w:lineRule="exact"/>
        <w:ind w:firstLine="640" w:firstLineChars="200"/>
        <w:rPr>
          <w:rFonts w:hint="eastAsia" w:ascii="仿宋_GB2312" w:eastAsia="仿宋_GB2312" w:cs="DengXian-Regular"/>
          <w:sz w:val="32"/>
          <w:szCs w:val="32"/>
          <w:shd w:val="clear" w:color="auto" w:fill="auto"/>
        </w:rPr>
      </w:pPr>
      <w:r>
        <w:rPr>
          <w:rFonts w:hint="eastAsia" w:ascii="仿宋_GB2312" w:eastAsia="仿宋_GB2312" w:cs="DengXian-Regular"/>
          <w:sz w:val="32"/>
          <w:szCs w:val="32"/>
          <w:shd w:val="clear" w:color="auto" w:fill="auto"/>
        </w:rPr>
        <w:t>（一）绩效管理工作开展情况</w:t>
      </w:r>
    </w:p>
    <w:p>
      <w:pPr>
        <w:adjustRightInd w:val="0"/>
        <w:snapToGrid w:val="0"/>
        <w:spacing w:after="0" w:line="500" w:lineRule="exact"/>
        <w:ind w:firstLine="640" w:firstLineChars="200"/>
        <w:rPr>
          <w:rFonts w:hint="eastAsia" w:ascii="仿宋_GB2312" w:eastAsia="仿宋_GB2312" w:cs="DengXian-Regular"/>
          <w:color w:val="FF0000"/>
          <w:sz w:val="32"/>
          <w:szCs w:val="32"/>
          <w:shd w:val="clear" w:color="auto" w:fill="auto"/>
          <w:lang w:val="en-US" w:eastAsia="zh-CN"/>
        </w:rPr>
      </w:pPr>
      <w:r>
        <w:rPr>
          <w:rFonts w:hint="eastAsia" w:ascii="仿宋_GB2312" w:eastAsia="仿宋_GB2312" w:cs="DengXian-Regular"/>
          <w:sz w:val="32"/>
          <w:szCs w:val="32"/>
          <w:shd w:val="clear" w:color="auto" w:fill="auto"/>
        </w:rPr>
        <w:t>根据绩效预算管理改革督察要求，本单位认真开展了预算绩效管理改革开展情况自查，对部门全面规范绩效预算编制、严格预算执行管理、推进绩效评价工作、推进预决算信息公开等方面进行了自评，考核结果为</w:t>
      </w:r>
      <w:r>
        <w:rPr>
          <w:rFonts w:hint="eastAsia" w:ascii="仿宋_GB2312" w:eastAsia="仿宋_GB2312" w:cs="DengXian-Regular"/>
          <w:color w:val="auto"/>
          <w:sz w:val="32"/>
          <w:szCs w:val="32"/>
          <w:shd w:val="clear" w:color="auto" w:fill="auto"/>
        </w:rPr>
        <w:t>良好</w:t>
      </w:r>
      <w:r>
        <w:rPr>
          <w:rFonts w:hint="eastAsia" w:ascii="仿宋_GB2312" w:eastAsia="仿宋_GB2312" w:cs="DengXian-Regular"/>
          <w:color w:val="auto"/>
          <w:sz w:val="32"/>
          <w:szCs w:val="32"/>
          <w:shd w:val="clear" w:color="auto" w:fill="auto"/>
          <w:lang w:eastAsia="zh-CN"/>
        </w:rPr>
        <w:t>。</w:t>
      </w:r>
    </w:p>
    <w:p>
      <w:pPr>
        <w:numPr>
          <w:ilvl w:val="0"/>
          <w:numId w:val="1"/>
        </w:numPr>
        <w:adjustRightInd w:val="0"/>
        <w:snapToGrid w:val="0"/>
        <w:spacing w:after="0" w:line="500" w:lineRule="exact"/>
        <w:ind w:firstLine="640" w:firstLineChars="200"/>
        <w:rPr>
          <w:rFonts w:hint="eastAsia" w:ascii="仿宋_GB2312" w:eastAsia="仿宋_GB2312" w:cs="DengXian-Regular"/>
          <w:sz w:val="32"/>
          <w:szCs w:val="32"/>
          <w:shd w:val="clear" w:color="auto" w:fill="auto"/>
          <w:lang w:val="en-US" w:eastAsia="zh-CN"/>
        </w:rPr>
      </w:pPr>
      <w:r>
        <w:rPr>
          <w:rFonts w:hint="eastAsia" w:ascii="仿宋_GB2312" w:eastAsia="仿宋_GB2312" w:cs="DengXian-Regular"/>
          <w:sz w:val="32"/>
          <w:szCs w:val="32"/>
          <w:shd w:val="clear" w:color="auto" w:fill="auto"/>
        </w:rPr>
        <w:t>预算项目绩效评价开展情况</w:t>
      </w:r>
      <w:r>
        <w:rPr>
          <w:rFonts w:hint="eastAsia" w:ascii="仿宋_GB2312" w:eastAsia="仿宋_GB2312" w:cs="DengXian-Regular"/>
          <w:sz w:val="32"/>
          <w:szCs w:val="32"/>
          <w:shd w:val="clear" w:color="auto" w:fill="auto"/>
          <w:lang w:val="en-US" w:eastAsia="zh-CN"/>
        </w:rPr>
        <w:t>.</w:t>
      </w:r>
    </w:p>
    <w:p>
      <w:pPr>
        <w:numPr>
          <w:ilvl w:val="0"/>
          <w:numId w:val="0"/>
        </w:numPr>
        <w:adjustRightInd w:val="0"/>
        <w:snapToGrid w:val="0"/>
        <w:spacing w:after="0" w:line="500" w:lineRule="exact"/>
        <w:rPr>
          <w:rFonts w:ascii="仿宋_GB2312" w:eastAsia="仿宋_GB2312" w:cs="DengXian-Regular"/>
          <w:sz w:val="32"/>
          <w:szCs w:val="32"/>
          <w:shd w:val="clear" w:color="auto" w:fill="auto"/>
        </w:rPr>
      </w:pPr>
      <w:r>
        <w:rPr>
          <w:rFonts w:hint="eastAsia" w:ascii="仿宋_GB2312" w:eastAsia="仿宋_GB2312" w:cs="DengXian-Regular"/>
          <w:sz w:val="32"/>
          <w:szCs w:val="32"/>
          <w:shd w:val="clear" w:color="auto" w:fill="auto"/>
          <w:lang w:val="en-US" w:eastAsia="zh-CN"/>
        </w:rPr>
        <w:t xml:space="preserve">    </w:t>
      </w:r>
      <w:r>
        <w:rPr>
          <w:rFonts w:hint="eastAsia" w:ascii="仿宋_GB2312" w:eastAsia="仿宋_GB2312" w:cs="DengXian-Regular"/>
          <w:sz w:val="32"/>
          <w:szCs w:val="32"/>
          <w:shd w:val="clear" w:color="auto" w:fill="auto"/>
        </w:rPr>
        <w:t>根据预算绩效管理要求，本单位组织对2017年度一般公共预算项目支出全面开展绩效自评，涉及</w:t>
      </w:r>
      <w:r>
        <w:rPr>
          <w:rFonts w:hint="eastAsia" w:ascii="仿宋_GB2312" w:eastAsia="仿宋_GB2312" w:cs="DengXian-Regular"/>
          <w:sz w:val="32"/>
          <w:szCs w:val="32"/>
          <w:shd w:val="clear" w:color="auto" w:fill="auto"/>
          <w:lang w:eastAsia="zh-CN"/>
        </w:rPr>
        <w:t>基建项目审计费</w:t>
      </w:r>
      <w:r>
        <w:rPr>
          <w:rFonts w:hint="eastAsia" w:ascii="仿宋_GB2312" w:eastAsia="仿宋_GB2312" w:cs="DengXian-Regular"/>
          <w:sz w:val="32"/>
          <w:szCs w:val="32"/>
          <w:shd w:val="clear" w:color="auto" w:fill="auto"/>
        </w:rPr>
        <w:t>、</w:t>
      </w:r>
      <w:r>
        <w:rPr>
          <w:rFonts w:hint="eastAsia" w:ascii="仿宋_GB2312" w:eastAsia="仿宋_GB2312" w:cs="DengXian-Regular"/>
          <w:sz w:val="32"/>
          <w:szCs w:val="32"/>
          <w:shd w:val="clear" w:color="auto" w:fill="auto"/>
          <w:lang w:eastAsia="zh-CN"/>
        </w:rPr>
        <w:t>金审工程</w:t>
      </w:r>
      <w:r>
        <w:rPr>
          <w:rFonts w:hint="eastAsia" w:ascii="仿宋_GB2312" w:eastAsia="仿宋_GB2312" w:cs="DengXian-Regular"/>
          <w:sz w:val="32"/>
          <w:szCs w:val="32"/>
          <w:shd w:val="clear" w:color="auto" w:fill="auto"/>
        </w:rPr>
        <w:t>等</w:t>
      </w:r>
      <w:r>
        <w:rPr>
          <w:rFonts w:hint="eastAsia" w:ascii="仿宋_GB2312" w:eastAsia="仿宋_GB2312" w:cs="DengXian-Regular"/>
          <w:sz w:val="32"/>
          <w:szCs w:val="32"/>
          <w:shd w:val="clear" w:color="auto" w:fill="auto"/>
          <w:lang w:val="en-US" w:eastAsia="zh-CN"/>
        </w:rPr>
        <w:t>3</w:t>
      </w:r>
      <w:r>
        <w:rPr>
          <w:rFonts w:hint="eastAsia" w:ascii="仿宋_GB2312" w:eastAsia="仿宋_GB2312" w:cs="DengXian-Regular"/>
          <w:sz w:val="32"/>
          <w:szCs w:val="32"/>
          <w:shd w:val="clear" w:color="auto" w:fill="auto"/>
        </w:rPr>
        <w:t>个项目，涉及资金</w:t>
      </w:r>
      <w:r>
        <w:rPr>
          <w:rFonts w:hint="eastAsia" w:ascii="仿宋_GB2312" w:eastAsia="仿宋_GB2312" w:cs="DengXian-Regular"/>
          <w:sz w:val="32"/>
          <w:szCs w:val="32"/>
          <w:shd w:val="clear" w:color="auto" w:fill="auto"/>
          <w:lang w:val="en-US" w:eastAsia="zh-CN"/>
        </w:rPr>
        <w:t>120</w:t>
      </w:r>
      <w:r>
        <w:rPr>
          <w:rFonts w:hint="eastAsia" w:ascii="仿宋_GB2312" w:eastAsia="仿宋_GB2312" w:cs="DengXian-Regular"/>
          <w:sz w:val="32"/>
          <w:szCs w:val="32"/>
          <w:shd w:val="clear" w:color="auto" w:fill="auto"/>
        </w:rPr>
        <w:t>万元。从评价情况看，评价结果为优秀的项目有</w:t>
      </w:r>
      <w:r>
        <w:rPr>
          <w:rFonts w:hint="eastAsia" w:ascii="仿宋_GB2312" w:eastAsia="仿宋_GB2312" w:cs="DengXian-Regular"/>
          <w:sz w:val="32"/>
          <w:szCs w:val="32"/>
          <w:shd w:val="clear" w:color="auto" w:fill="auto"/>
          <w:lang w:val="en-US" w:eastAsia="zh-CN"/>
        </w:rPr>
        <w:t>1</w:t>
      </w:r>
      <w:r>
        <w:rPr>
          <w:rFonts w:hint="eastAsia" w:ascii="仿宋_GB2312" w:eastAsia="仿宋_GB2312" w:cs="DengXian-Regular"/>
          <w:sz w:val="32"/>
          <w:szCs w:val="32"/>
          <w:shd w:val="clear" w:color="auto" w:fill="auto"/>
        </w:rPr>
        <w:t>个，良好的项目有</w:t>
      </w:r>
      <w:r>
        <w:rPr>
          <w:rFonts w:hint="eastAsia" w:ascii="仿宋_GB2312" w:eastAsia="仿宋_GB2312" w:cs="DengXian-Regular"/>
          <w:sz w:val="32"/>
          <w:szCs w:val="32"/>
          <w:shd w:val="clear" w:color="auto" w:fill="auto"/>
          <w:lang w:val="en-US" w:eastAsia="zh-CN"/>
        </w:rPr>
        <w:t>1</w:t>
      </w:r>
      <w:r>
        <w:rPr>
          <w:rFonts w:hint="eastAsia" w:ascii="仿宋_GB2312" w:eastAsia="仿宋_GB2312" w:cs="DengXian-Regular"/>
          <w:sz w:val="32"/>
          <w:szCs w:val="32"/>
          <w:shd w:val="clear" w:color="auto" w:fill="auto"/>
        </w:rPr>
        <w:t>个，一般的项目有</w:t>
      </w:r>
      <w:r>
        <w:rPr>
          <w:rFonts w:hint="eastAsia" w:ascii="仿宋_GB2312" w:eastAsia="仿宋_GB2312" w:cs="DengXian-Regular"/>
          <w:sz w:val="32"/>
          <w:szCs w:val="32"/>
          <w:shd w:val="clear" w:color="auto" w:fill="auto"/>
          <w:lang w:val="en-US" w:eastAsia="zh-CN"/>
        </w:rPr>
        <w:t>1</w:t>
      </w:r>
      <w:r>
        <w:rPr>
          <w:rFonts w:hint="eastAsia" w:ascii="仿宋_GB2312" w:eastAsia="仿宋_GB2312" w:cs="DengXian-Regular"/>
          <w:sz w:val="32"/>
          <w:szCs w:val="32"/>
          <w:shd w:val="clear" w:color="auto" w:fill="auto"/>
        </w:rPr>
        <w:t>个。</w:t>
      </w:r>
    </w:p>
    <w:p>
      <w:pPr>
        <w:numPr>
          <w:ilvl w:val="0"/>
          <w:numId w:val="2"/>
        </w:numPr>
        <w:adjustRightInd w:val="0"/>
        <w:snapToGrid w:val="0"/>
        <w:spacing w:after="0" w:line="500" w:lineRule="exact"/>
        <w:ind w:firstLine="640" w:firstLineChars="200"/>
        <w:rPr>
          <w:rFonts w:hint="eastAsia" w:ascii="仿宋_GB2312" w:eastAsia="仿宋_GB2312" w:cs="DengXian-Regular"/>
          <w:sz w:val="32"/>
          <w:szCs w:val="32"/>
          <w:shd w:val="clear" w:color="auto" w:fill="auto"/>
        </w:rPr>
      </w:pPr>
      <w:r>
        <w:rPr>
          <w:rFonts w:hint="eastAsia" w:ascii="仿宋_GB2312" w:eastAsia="仿宋_GB2312" w:cs="DengXian-Regular"/>
          <w:sz w:val="32"/>
          <w:szCs w:val="32"/>
          <w:shd w:val="clear" w:color="auto" w:fill="auto"/>
        </w:rPr>
        <w:t>预算项目绩效自评选例</w:t>
      </w:r>
    </w:p>
    <w:p>
      <w:pPr>
        <w:adjustRightInd w:val="0"/>
        <w:snapToGrid w:val="0"/>
        <w:spacing w:after="0" w:line="500" w:lineRule="exact"/>
        <w:ind w:firstLine="640" w:firstLineChars="200"/>
        <w:rPr>
          <w:rFonts w:ascii="仿宋_GB2312" w:hAnsi="宋体" w:eastAsia="仿宋_GB2312"/>
          <w:color w:val="000000"/>
          <w:kern w:val="0"/>
          <w:sz w:val="32"/>
          <w:szCs w:val="32"/>
        </w:rPr>
      </w:pPr>
      <w:r>
        <w:rPr>
          <w:rFonts w:hint="eastAsia" w:ascii="仿宋_GB2312" w:eastAsia="仿宋_GB2312" w:cs="DengXian-Regular"/>
          <w:sz w:val="32"/>
          <w:szCs w:val="32"/>
          <w:shd w:val="clear" w:color="auto" w:fill="auto"/>
        </w:rPr>
        <w:t>本单位</w:t>
      </w:r>
      <w:r>
        <w:rPr>
          <w:rFonts w:hint="eastAsia" w:ascii="仿宋_GB2312" w:eastAsia="仿宋_GB2312" w:cs="DengXian-Regular"/>
          <w:sz w:val="32"/>
          <w:szCs w:val="32"/>
          <w:shd w:val="clear" w:color="auto" w:fill="auto"/>
          <w:lang w:eastAsia="zh-CN"/>
        </w:rPr>
        <w:t>基建项目审计费</w:t>
      </w:r>
      <w:r>
        <w:rPr>
          <w:rFonts w:hint="eastAsia" w:ascii="仿宋_GB2312" w:eastAsia="仿宋_GB2312" w:cs="DengXian-Regular"/>
          <w:sz w:val="32"/>
          <w:szCs w:val="32"/>
          <w:shd w:val="clear" w:color="auto" w:fill="auto"/>
        </w:rPr>
        <w:t>项目绩效自评：根据年初设定的绩效目标，</w:t>
      </w:r>
      <w:r>
        <w:rPr>
          <w:rFonts w:hint="eastAsia" w:ascii="仿宋_GB2312" w:eastAsia="仿宋_GB2312" w:cs="DengXian-Regular"/>
          <w:sz w:val="32"/>
          <w:szCs w:val="32"/>
          <w:shd w:val="clear" w:color="auto" w:fill="auto"/>
          <w:lang w:eastAsia="zh-CN"/>
        </w:rPr>
        <w:t>基建审计</w:t>
      </w:r>
      <w:r>
        <w:rPr>
          <w:rFonts w:hint="eastAsia" w:ascii="仿宋_GB2312" w:eastAsia="仿宋_GB2312" w:cs="DengXian-Regular"/>
          <w:sz w:val="32"/>
          <w:szCs w:val="32"/>
          <w:shd w:val="clear" w:color="auto" w:fill="auto"/>
        </w:rPr>
        <w:t>项目绩效自评结果为良好。项目全年预算数为</w:t>
      </w:r>
      <w:r>
        <w:rPr>
          <w:rFonts w:hint="eastAsia" w:ascii="仿宋_GB2312" w:eastAsia="仿宋_GB2312" w:cs="DengXian-Regular"/>
          <w:sz w:val="32"/>
          <w:szCs w:val="32"/>
          <w:shd w:val="clear" w:color="auto" w:fill="auto"/>
          <w:lang w:val="en-US" w:eastAsia="zh-CN"/>
        </w:rPr>
        <w:t>80</w:t>
      </w:r>
      <w:r>
        <w:rPr>
          <w:rFonts w:hint="eastAsia" w:ascii="仿宋_GB2312" w:eastAsia="仿宋_GB2312" w:cs="DengXian-Regular"/>
          <w:sz w:val="32"/>
          <w:szCs w:val="32"/>
          <w:shd w:val="clear" w:color="auto" w:fill="auto"/>
        </w:rPr>
        <w:t>万元，执行数为</w:t>
      </w:r>
      <w:r>
        <w:rPr>
          <w:rFonts w:hint="eastAsia" w:ascii="仿宋_GB2312" w:eastAsia="仿宋_GB2312" w:cs="DengXian-Regular"/>
          <w:sz w:val="32"/>
          <w:szCs w:val="32"/>
          <w:shd w:val="clear" w:color="auto" w:fill="auto"/>
          <w:lang w:val="en-US" w:eastAsia="zh-CN"/>
        </w:rPr>
        <w:t>53</w:t>
      </w:r>
      <w:r>
        <w:rPr>
          <w:rFonts w:hint="eastAsia" w:ascii="仿宋_GB2312" w:eastAsia="仿宋_GB2312" w:cs="DengXian-Regular"/>
          <w:sz w:val="32"/>
          <w:szCs w:val="32"/>
          <w:shd w:val="clear" w:color="auto" w:fill="auto"/>
        </w:rPr>
        <w:t>万元，完成预算的</w:t>
      </w:r>
      <w:r>
        <w:rPr>
          <w:rFonts w:hint="eastAsia" w:ascii="仿宋_GB2312" w:eastAsia="仿宋_GB2312" w:cs="DengXian-Regular"/>
          <w:sz w:val="32"/>
          <w:szCs w:val="32"/>
          <w:shd w:val="clear" w:color="auto" w:fill="auto"/>
          <w:lang w:val="en-US" w:eastAsia="zh-CN"/>
        </w:rPr>
        <w:t>66</w:t>
      </w:r>
      <w:r>
        <w:rPr>
          <w:rFonts w:hint="eastAsia" w:ascii="仿宋_GB2312" w:eastAsia="仿宋_GB2312" w:cs="DengXian-Regular"/>
          <w:sz w:val="32"/>
          <w:szCs w:val="32"/>
          <w:shd w:val="clear" w:color="auto" w:fill="auto"/>
        </w:rPr>
        <w:t>%。主要产出和效果是</w:t>
      </w:r>
      <w:r>
        <w:rPr>
          <w:rFonts w:hint="eastAsia" w:ascii="仿宋_GB2312" w:eastAsia="仿宋_GB2312" w:cs="DengXian-Regular"/>
          <w:sz w:val="32"/>
          <w:szCs w:val="32"/>
          <w:shd w:val="clear" w:color="auto" w:fill="auto"/>
          <w:lang w:eastAsia="zh-CN"/>
        </w:rPr>
        <w:t>形成审计报告</w:t>
      </w:r>
      <w:r>
        <w:rPr>
          <w:rFonts w:hint="eastAsia" w:ascii="仿宋_GB2312" w:eastAsia="仿宋_GB2312" w:cs="DengXian-Regular"/>
          <w:sz w:val="32"/>
          <w:szCs w:val="32"/>
          <w:shd w:val="clear" w:color="auto" w:fill="auto"/>
          <w:lang w:val="en-US" w:eastAsia="zh-CN"/>
        </w:rPr>
        <w:t>4份，审计建议采纳为85%</w:t>
      </w:r>
      <w:r>
        <w:rPr>
          <w:rFonts w:hint="eastAsia" w:ascii="仿宋_GB2312" w:eastAsia="仿宋_GB2312" w:cs="DengXian-Regular"/>
          <w:sz w:val="32"/>
          <w:szCs w:val="32"/>
          <w:shd w:val="clear" w:color="auto" w:fill="auto"/>
        </w:rPr>
        <w:t>。</w:t>
      </w:r>
      <w:bookmarkStart w:id="0" w:name="_GoBack"/>
      <w:bookmarkEnd w:id="0"/>
    </w:p>
    <w:p>
      <w:pPr>
        <w:pStyle w:val="3"/>
        <w:spacing w:before="0" w:after="0" w:line="560" w:lineRule="exact"/>
        <w:ind w:firstLine="643" w:firstLineChars="200"/>
        <w:rPr>
          <w:rFonts w:ascii="黑体" w:eastAsia="黑体" w:cs="Times New Roman"/>
        </w:rPr>
      </w:pPr>
      <w:r>
        <w:rPr>
          <w:rFonts w:hint="eastAsia" w:ascii="黑体" w:eastAsia="黑体" w:cs="Times New Roman"/>
        </w:rPr>
        <w:t>七、其他重要事项的说明</w:t>
      </w:r>
    </w:p>
    <w:p>
      <w:pPr>
        <w:pStyle w:val="4"/>
        <w:spacing w:before="0" w:after="0" w:line="560" w:lineRule="exact"/>
        <w:ind w:firstLine="643" w:firstLineChars="200"/>
        <w:rPr>
          <w:rFonts w:ascii="楷体_GB2312" w:eastAsia="楷体_GB2312" w:cs="DengXian-Bold"/>
        </w:rPr>
      </w:pPr>
      <w:r>
        <w:rPr>
          <w:rFonts w:hint="eastAsia" w:ascii="楷体_GB2312" w:eastAsia="楷体_GB2312" w:cs="DengXian-Bold"/>
        </w:rPr>
        <w:t>（一）机关运行经费情况</w:t>
      </w:r>
    </w:p>
    <w:p>
      <w:pPr>
        <w:ind w:firstLine="627" w:firstLineChars="196"/>
        <w:rPr>
          <w:rFonts w:hint="eastAsia" w:ascii="仿宋_GB2312" w:hAnsi="仿宋" w:eastAsia="仿宋_GB2312" w:cs="仿宋"/>
          <w:color w:val="0000FF"/>
          <w:szCs w:val="32"/>
        </w:rPr>
      </w:pPr>
      <w:r>
        <w:rPr>
          <w:rFonts w:hint="eastAsia" w:ascii="仿宋_GB2312" w:eastAsia="仿宋_GB2312" w:cs="DengXian-Regular"/>
          <w:sz w:val="32"/>
          <w:szCs w:val="32"/>
        </w:rPr>
        <w:t>本部门2017年度机关运行经费支出29.13万元，比2016年度减少99.13万元，降低77.29%。主要原因是</w:t>
      </w:r>
      <w:r>
        <w:rPr>
          <w:rFonts w:hint="eastAsia" w:ascii="仿宋_GB2312" w:hAnsi="仿宋" w:eastAsia="仿宋_GB2312" w:cs="仿宋"/>
          <w:color w:val="000000"/>
          <w:sz w:val="32"/>
          <w:szCs w:val="32"/>
        </w:rPr>
        <w:t>2016年机关运行包含基建项目，今年不包含</w:t>
      </w:r>
      <w:r>
        <w:rPr>
          <w:rFonts w:hint="eastAsia" w:ascii="仿宋_GB2312" w:hAnsi="仿宋" w:eastAsia="仿宋_GB2312" w:cs="仿宋"/>
          <w:color w:val="000000"/>
          <w:szCs w:val="32"/>
        </w:rPr>
        <w:t>。</w:t>
      </w:r>
    </w:p>
    <w:p>
      <w:pPr>
        <w:pStyle w:val="4"/>
        <w:spacing w:before="0" w:after="0" w:line="560" w:lineRule="exact"/>
        <w:ind w:firstLine="643" w:firstLineChars="200"/>
        <w:rPr>
          <w:rFonts w:ascii="楷体_GB2312" w:eastAsia="楷体_GB2312" w:cs="DengXian-Bold"/>
        </w:rPr>
      </w:pPr>
      <w:r>
        <w:rPr>
          <w:rFonts w:hint="eastAsia" w:ascii="楷体_GB2312" w:eastAsia="楷体_GB2312" w:cs="DengXian-Bold"/>
        </w:rPr>
        <w:t>（二）政府采购情况</w:t>
      </w:r>
    </w:p>
    <w:p>
      <w:p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本部门2017年度政府采购支出总额0万元，其中：政府采购货物支出0万元、政府采购工程支出0万元、政府采购服务支出0万元。</w:t>
      </w:r>
    </w:p>
    <w:p>
      <w:pPr>
        <w:pStyle w:val="4"/>
        <w:spacing w:before="0" w:after="0" w:line="560" w:lineRule="exact"/>
        <w:ind w:firstLine="643" w:firstLineChars="200"/>
        <w:rPr>
          <w:rFonts w:ascii="楷体_GB2312" w:eastAsia="楷体_GB2312" w:cs="DengXian-Bold"/>
        </w:rPr>
      </w:pPr>
      <w:r>
        <w:rPr>
          <w:rFonts w:hint="eastAsia" w:ascii="楷体_GB2312" w:eastAsia="楷体_GB2312" w:cs="DengXian-Bold"/>
        </w:rPr>
        <w:t>（三）国有资产占用情况</w:t>
      </w:r>
    </w:p>
    <w:p>
      <w:p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截至2017年12月31日，本部门共有车辆1辆，其中，市级领导干部用车0辆、一般公务用车1辆、一般执法执勤用车0辆、特种专业技术用车0辆、其他用车0辆，其他用车主要是0；单位价值</w:t>
      </w:r>
      <w:r>
        <w:rPr>
          <w:rFonts w:hint="eastAsia" w:ascii="仿宋_GB2312" w:hAnsi="TimesNewRomanPSMT" w:eastAsia="仿宋_GB2312" w:cs="TimesNewRomanPSMT"/>
          <w:sz w:val="32"/>
          <w:szCs w:val="32"/>
        </w:rPr>
        <w:t>50</w:t>
      </w:r>
      <w:r>
        <w:rPr>
          <w:rFonts w:hint="eastAsia" w:ascii="仿宋_GB2312" w:eastAsia="仿宋_GB2312" w:cs="DengXian-Regular"/>
          <w:sz w:val="32"/>
          <w:szCs w:val="32"/>
        </w:rPr>
        <w:t>万元以上大型设备0台（套），单位价值</w:t>
      </w:r>
      <w:r>
        <w:rPr>
          <w:rFonts w:hint="eastAsia" w:ascii="仿宋_GB2312" w:hAnsi="TimesNewRomanPSMT" w:eastAsia="仿宋_GB2312" w:cs="TimesNewRomanPSMT"/>
          <w:sz w:val="32"/>
          <w:szCs w:val="32"/>
        </w:rPr>
        <w:t>100</w:t>
      </w:r>
      <w:r>
        <w:rPr>
          <w:rFonts w:hint="eastAsia" w:ascii="仿宋_GB2312" w:eastAsia="仿宋_GB2312" w:cs="DengXian-Regular"/>
          <w:sz w:val="32"/>
          <w:szCs w:val="32"/>
        </w:rPr>
        <w:t>万元以上大型设备0台（套）。</w:t>
      </w:r>
    </w:p>
    <w:p>
      <w:pPr>
        <w:pStyle w:val="4"/>
        <w:spacing w:before="0" w:after="0" w:line="560" w:lineRule="exact"/>
        <w:ind w:firstLine="643" w:firstLineChars="200"/>
        <w:rPr>
          <w:rFonts w:ascii="楷体_GB2312" w:eastAsia="楷体_GB2312" w:cs="DengXian-Bold"/>
        </w:rPr>
      </w:pPr>
      <w:r>
        <w:rPr>
          <w:rFonts w:hint="eastAsia" w:ascii="楷体_GB2312" w:eastAsia="楷体_GB2312" w:cs="DengXian-Bold"/>
        </w:rPr>
        <w:t>（四）其他需要说明的情况</w:t>
      </w:r>
    </w:p>
    <w:p>
      <w:pPr>
        <w:adjustRightInd w:val="0"/>
        <w:snapToGrid w:val="0"/>
        <w:spacing w:after="0" w:line="560" w:lineRule="exact"/>
        <w:ind w:firstLine="640" w:firstLineChars="200"/>
        <w:rPr>
          <w:rFonts w:hint="eastAsia" w:ascii="仿宋_GB2312" w:hAnsi="仿宋" w:eastAsia="仿宋_GB2312" w:cs="仿宋"/>
          <w:sz w:val="32"/>
          <w:szCs w:val="32"/>
        </w:rPr>
      </w:pPr>
      <w:r>
        <w:rPr>
          <w:rFonts w:hint="eastAsia" w:ascii="仿宋_GB2312" w:eastAsia="仿宋_GB2312" w:cs="DengXian-Regular"/>
          <w:sz w:val="32"/>
          <w:szCs w:val="32"/>
        </w:rPr>
        <w:t>1、</w:t>
      </w:r>
      <w:r>
        <w:rPr>
          <w:rFonts w:hint="eastAsia" w:ascii="仿宋_GB2312" w:hAnsi="仿宋" w:eastAsia="仿宋_GB2312" w:cs="仿宋"/>
          <w:sz w:val="32"/>
          <w:szCs w:val="32"/>
        </w:rPr>
        <w:t>本部门2017年度政府性基金预算财政拨款收入支出及结转和结余情况无收支及结转结余情况，故政府性基金预算财政拨款收入支出及结转和结余情况表以空表列示。</w:t>
      </w:r>
    </w:p>
    <w:p>
      <w:p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2、由于决算公开表格中金额数值应当保留两位小数，公开数据为四舍五入计算结果，个别数据合计项与分项之和存在小数点后差额，特此说明。</w:t>
      </w:r>
    </w:p>
    <w:p>
      <w:pPr>
        <w:pStyle w:val="2"/>
        <w:jc w:val="center"/>
        <w:rPr>
          <w:rFonts w:hint="eastAsia" w:ascii="宋体" w:hAnsi="宋体" w:cs="SimSun,Bold"/>
        </w:rPr>
      </w:pPr>
    </w:p>
    <w:p>
      <w:pPr>
        <w:pStyle w:val="2"/>
        <w:jc w:val="center"/>
        <w:rPr>
          <w:rFonts w:ascii="宋体" w:hAnsi="宋体" w:cs="SimSun,Bold"/>
        </w:rPr>
      </w:pPr>
      <w:r>
        <w:rPr>
          <w:rFonts w:hint="eastAsia" w:ascii="宋体" w:hAnsi="宋体" w:cs="SimSun,Bold"/>
        </w:rPr>
        <w:t>第四部分</w:t>
      </w:r>
      <w:r>
        <w:rPr>
          <w:rFonts w:hint="eastAsia" w:ascii="宋体" w:hAnsi="宋体" w:cs="SimSun,Bold"/>
          <w:bCs w:val="0"/>
        </w:rPr>
        <w:t xml:space="preserve"> </w:t>
      </w:r>
      <w:r>
        <w:rPr>
          <w:rFonts w:hint="eastAsia" w:ascii="宋体" w:hAnsi="宋体" w:cs="SimSun,Bold"/>
        </w:rPr>
        <w:t>名词解释</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（一）财政拨款收入：本年度从本级财政部门取得的财政拨款，包括一般公共预算财政拨款和政府性基金预算财政拨款。</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（二）事业收入：指事业单位开展专业业务活动及辅助活动所取得的收入。</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（三）其他收入：指除上述“财政拨款收入”、“事业收入”、“经营收入”等以外的收入。</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四）用事业基金弥补收支差额：指事业单位在用当年的“财政拨款收入”、“财政拨款结转和结余资金”、“事业收入”、“经营收入”、“其他收入”不足以安排当年支出的情况下，使用以前年度积累的事业基金（事业单位当年收支相抵后按国家规定提取、用于弥补以后年度收支差额的基金）弥补本年度收支缺口的资金。</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（五）年初结转和结余：指以前年度尚未完成、结转到本年仍按原规定用途继续使用的资金，或项目已完成等产生的结余资金。</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（六）结余分配：指事业单位按照事业单位会计制度的规定从非财政补助结余中分配的事业基金和职工福利基金等。</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（七）年末结转和结余：指单位按有关规定结转到下年或以后年度继续使用的资金，或项目已完成等产生的结余资金。</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（八）基本支出：填列单位为保障机构正常运转、完成日常工作任务而发生的各项支出。</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（九）项目支出：填列单位为完成特定的行政工作任务或事业发展目标，在基本支出之外发生的各项支出</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十）基本建设支出：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（十一）其他资本性支出：填列由各级非发展与改革部门集中安排的用于购置固定资产、战备性和应急性储备、土地和无形资产，以及购建基础设施、大型修缮和财政支持企业更新改造所发生的支出。</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十二）“三公”经费：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及租用费、燃料费、维修费、过路过桥费、保险费、安全奖励费用等支出；公务接待费反映单位按规定开支的各类公务接待（含外宾接待）支出。</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（十三）其他交通费用：填列单位除公务用车运行维护费以外的其他交通费用。如飞机、船舶等的燃料费、维修费、过桥过路费、保险费、出租车费用、公务交通补贴等。</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（十四）公务用车购置：填列单位公务用车车辆购置支出（含车辆购置税）。</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（十五）其他交通工具购置：填列单位除公务用车外的其他各类交通工具（如船舶、飞机）购置支出（含车辆购置税）。</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（十六） 机关运行经费：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sectPr>
      <w:pgSz w:w="11906" w:h="16838"/>
      <w:pgMar w:top="2098" w:right="1474" w:bottom="1985" w:left="1588"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AFF" w:usb1="C000247B" w:usb2="00000009" w:usb3="00000000" w:csb0="200001FF" w:csb1="00000000"/>
  </w:font>
  <w:font w:name="仿宋_GB2312">
    <w:altName w:val="仿宋"/>
    <w:panose1 w:val="02010609030101010101"/>
    <w:charset w:val="86"/>
    <w:family w:val="auto"/>
    <w:pitch w:val="default"/>
    <w:sig w:usb0="00000000" w:usb1="00000000" w:usb2="00000010" w:usb3="00000000" w:csb0="00040000" w:csb1="00000000"/>
  </w:font>
  <w:font w:name="Cambria">
    <w:panose1 w:val="02040503050406030204"/>
    <w:charset w:val="00"/>
    <w:family w:val="auto"/>
    <w:pitch w:val="default"/>
    <w:sig w:usb0="E00006FF" w:usb1="420024FF" w:usb2="02000000" w:usb3="00000000" w:csb0="2000019F" w:csb1="00000000"/>
  </w:font>
  <w:font w:name="方正小标宋_GBK">
    <w:altName w:val="微软雅黑"/>
    <w:panose1 w:val="00000000000000000000"/>
    <w:charset w:val="86"/>
    <w:family w:val="auto"/>
    <w:pitch w:val="default"/>
    <w:sig w:usb0="00000000" w:usb1="00000000" w:usb2="00000010" w:usb3="00000000" w:csb0="00040000" w:csb1="00000000"/>
  </w:font>
  <w:font w:name="ArialUnicodeMS">
    <w:altName w:val="Malgun Gothic"/>
    <w:panose1 w:val="00000000000000000000"/>
    <w:charset w:val="81"/>
    <w:family w:val="auto"/>
    <w:pitch w:val="default"/>
    <w:sig w:usb0="00000000" w:usb1="00000000" w:usb2="00000010" w:usb3="00000000" w:csb0="00080001" w:csb1="00000000"/>
  </w:font>
  <w:font w:name="MS-UIGothic,Bold">
    <w:altName w:val="Malgun Gothic"/>
    <w:panose1 w:val="00000000000000000000"/>
    <w:charset w:val="81"/>
    <w:family w:val="auto"/>
    <w:pitch w:val="default"/>
    <w:sig w:usb0="00000000" w:usb1="00000000" w:usb2="00000010" w:usb3="00000000" w:csb0="00080000" w:csb1="00000000"/>
  </w:font>
  <w:font w:name="DengXian-Regular">
    <w:altName w:val="宋体"/>
    <w:panose1 w:val="00000000000000000000"/>
    <w:charset w:val="86"/>
    <w:family w:val="auto"/>
    <w:pitch w:val="default"/>
    <w:sig w:usb0="00000000" w:usb1="00000000" w:usb2="00000010" w:usb3="00000000" w:csb0="00040001" w:csb1="00000000"/>
  </w:font>
  <w:font w:name="仿宋">
    <w:panose1 w:val="02010609060101010101"/>
    <w:charset w:val="86"/>
    <w:family w:val="auto"/>
    <w:pitch w:val="default"/>
    <w:sig w:usb0="800002BF" w:usb1="38CF7CFA" w:usb2="00000016" w:usb3="00000000" w:csb0="00040001" w:csb1="00000000"/>
  </w:font>
  <w:font w:name="楷体_GB2312">
    <w:altName w:val="楷体"/>
    <w:panose1 w:val="02010609030101010101"/>
    <w:charset w:val="86"/>
    <w:family w:val="auto"/>
    <w:pitch w:val="default"/>
    <w:sig w:usb0="00000000" w:usb1="00000000" w:usb2="00000010" w:usb3="00000000" w:csb0="00040000" w:csb1="00000000"/>
  </w:font>
  <w:font w:name="DengXian-Bold">
    <w:altName w:val="宋体"/>
    <w:panose1 w:val="00000000000000000000"/>
    <w:charset w:val="86"/>
    <w:family w:val="auto"/>
    <w:pitch w:val="default"/>
    <w:sig w:usb0="00000000" w:usb1="00000000" w:usb2="00000010" w:usb3="00000000" w:csb0="00040001" w:csb1="00000000"/>
  </w:font>
  <w:font w:name="TimesNewRomanPSMT">
    <w:altName w:val="Arial"/>
    <w:panose1 w:val="00000000000000000000"/>
    <w:charset w:val="00"/>
    <w:family w:val="auto"/>
    <w:pitch w:val="default"/>
    <w:sig w:usb0="00000000" w:usb1="00000000" w:usb2="00000000" w:usb3="00000000" w:csb0="00000001" w:csb1="00000000"/>
  </w:font>
  <w:font w:name="SimSun,Bold">
    <w:altName w:val="宋体"/>
    <w:panose1 w:val="00000000000000000000"/>
    <w:charset w:val="86"/>
    <w:family w:val="auto"/>
    <w:pitch w:val="default"/>
    <w:sig w:usb0="00000000" w:usb1="00000000" w:usb2="00000010" w:usb3="00000000" w:csb0="00040000" w:csb1="00000000"/>
  </w:font>
  <w:font w:name="楷体">
    <w:panose1 w:val="02010609060101010101"/>
    <w:charset w:val="86"/>
    <w:family w:val="auto"/>
    <w:pitch w:val="default"/>
    <w:sig w:usb0="800002BF" w:usb1="38CF7CFA" w:usb2="00000016" w:usb3="00000000" w:csb0="00040001" w:csb1="00000000"/>
  </w:font>
  <w:font w:name="微软雅黑">
    <w:panose1 w:val="020B0503020204020204"/>
    <w:charset w:val="86"/>
    <w:family w:val="auto"/>
    <w:pitch w:val="default"/>
    <w:sig w:usb0="80000287" w:usb1="2ACF3C50" w:usb2="00000016" w:usb3="00000000" w:csb0="0004001F" w:csb1="00000000"/>
  </w:font>
  <w:font w:name="Malgun Gothic">
    <w:panose1 w:val="020B0503020000020004"/>
    <w:charset w:val="81"/>
    <w:family w:val="auto"/>
    <w:pitch w:val="default"/>
    <w:sig w:usb0="9000002F" w:usb1="29D77CFB" w:usb2="00000012" w:usb3="00000000" w:csb0="0008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6"/>
    <w:multiLevelType w:val="singleLevel"/>
    <w:tmpl w:val="00000006"/>
    <w:lvl w:ilvl="0" w:tentative="0">
      <w:start w:val="1"/>
      <w:numFmt w:val="chineseCounting"/>
      <w:suff w:val="nothing"/>
      <w:lvlText w:val="%1、"/>
      <w:lvlJc w:val="left"/>
    </w:lvl>
  </w:abstractNum>
  <w:abstractNum w:abstractNumId="1">
    <w:nsid w:val="00000007"/>
    <w:multiLevelType w:val="singleLevel"/>
    <w:tmpl w:val="00000007"/>
    <w:lvl w:ilvl="0" w:tentative="0">
      <w:start w:val="1"/>
      <w:numFmt w:val="chineseCounting"/>
      <w:suff w:val="nothing"/>
      <w:lvlText w:val="（%1）"/>
      <w:lvlJc w:val="left"/>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1"/>
  <w:bordersDoNotSurroundFooter w:val="1"/>
  <w:documentProtection w:enforcement="0"/>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useNormalStyleForList/>
    <w:doNotUseIndentAsNumberingTabStop/>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000000"/>
    <w:rsid w:val="749653C5"/>
  </w:rsids>
  <m:mathPr>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unhideWhenUsed="0" w:uiPriority="0" w:semiHidden="0" w:name="Normal"/>
    <w:lsdException w:unhideWhenUsed="0" w:uiPriority="0" w:semiHidden="0" w:name="heading 1"/>
    <w:lsdException w:qFormat="1" w:unhideWhenUsed="0" w:uiPriority="0" w:semiHidden="0" w:name="heading 2"/>
    <w:lsdException w:unhideWhenUsed="0" w:uiPriority="0" w:semiHidden="0" w:name="heading 3"/>
    <w:lsdException w:qFormat="1" w:unhideWhenUsed="0" w:uiPriority="0" w:semiHidden="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unhideWhenUsed="0" w:uiPriority="0" w:semiHidden="0" w:name="Title"/>
    <w:lsdException w:unhideWhenUsed="0" w:uiPriority="0" w:semiHidden="0" w:name="Closing"/>
    <w:lsdException w:unhideWhenUsed="0" w:uiPriority="0" w:semiHidden="0" w:name="Signature"/>
    <w:lsdException w:qFormat="1" w:unhideWhenUsed="0" w:uiPriority="0"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uiPriority w:val="0"/>
    <w:pPr>
      <w:widowControl w:val="0"/>
      <w:spacing w:after="160" w:line="480" w:lineRule="auto"/>
      <w:jc w:val="both"/>
    </w:pPr>
    <w:rPr>
      <w:rFonts w:ascii="Times New Roman" w:hAnsi="Times New Roman" w:eastAsia="宋体" w:cs="Times New Roman"/>
      <w:kern w:val="2"/>
      <w:sz w:val="21"/>
      <w:szCs w:val="24"/>
      <w:lang w:val="en-US" w:eastAsia="zh-CN" w:bidi="ar-SA"/>
    </w:rPr>
  </w:style>
  <w:style w:type="paragraph" w:styleId="2">
    <w:name w:val="heading 1"/>
    <w:basedOn w:val="1"/>
    <w:next w:val="1"/>
    <w:link w:val="13"/>
    <w:uiPriority w:val="0"/>
    <w:pPr>
      <w:keepNext/>
      <w:keepLines/>
      <w:spacing w:before="340" w:after="330" w:line="578" w:lineRule="auto"/>
      <w:outlineLvl w:val="0"/>
    </w:pPr>
    <w:rPr>
      <w:rFonts w:ascii="Times New Roman" w:hAnsi="Times New Roman" w:eastAsia="宋体" w:cs="Times New Roman"/>
      <w:b/>
      <w:bCs/>
      <w:kern w:val="44"/>
      <w:sz w:val="44"/>
      <w:szCs w:val="44"/>
    </w:rPr>
  </w:style>
  <w:style w:type="paragraph" w:styleId="3">
    <w:name w:val="heading 2"/>
    <w:basedOn w:val="1"/>
    <w:next w:val="1"/>
    <w:link w:val="14"/>
    <w:qFormat/>
    <w:uiPriority w:val="0"/>
    <w:pPr>
      <w:keepNext/>
      <w:keepLines/>
      <w:spacing w:before="260" w:after="260" w:line="416" w:lineRule="auto"/>
      <w:outlineLvl w:val="1"/>
    </w:pPr>
    <w:rPr>
      <w:rFonts w:ascii="Calibri" w:hAnsi="Calibri" w:eastAsia="宋体" w:cs="黑体"/>
      <w:b/>
      <w:bCs/>
      <w:sz w:val="32"/>
      <w:szCs w:val="32"/>
    </w:rPr>
  </w:style>
  <w:style w:type="paragraph" w:styleId="4">
    <w:name w:val="heading 3"/>
    <w:basedOn w:val="1"/>
    <w:next w:val="1"/>
    <w:link w:val="15"/>
    <w:uiPriority w:val="0"/>
    <w:pPr>
      <w:keepNext/>
      <w:keepLines/>
      <w:spacing w:before="260" w:after="260" w:line="416" w:lineRule="auto"/>
      <w:outlineLvl w:val="2"/>
    </w:pPr>
    <w:rPr>
      <w:rFonts w:ascii="Times New Roman" w:hAnsi="Times New Roman" w:eastAsia="宋体" w:cs="Times New Roman"/>
      <w:b/>
      <w:bCs/>
      <w:sz w:val="32"/>
      <w:szCs w:val="32"/>
    </w:rPr>
  </w:style>
  <w:style w:type="paragraph" w:styleId="5">
    <w:name w:val="heading 4"/>
    <w:basedOn w:val="1"/>
    <w:next w:val="1"/>
    <w:link w:val="16"/>
    <w:qFormat/>
    <w:uiPriority w:val="0"/>
    <w:pPr>
      <w:keepNext/>
      <w:keepLines/>
      <w:spacing w:before="280" w:after="290" w:line="376" w:lineRule="auto"/>
      <w:outlineLvl w:val="3"/>
    </w:pPr>
    <w:rPr>
      <w:rFonts w:ascii="Calibri" w:hAnsi="Calibri" w:eastAsia="宋体" w:cs="黑体"/>
      <w:b/>
      <w:bCs/>
      <w:sz w:val="28"/>
      <w:szCs w:val="28"/>
    </w:rPr>
  </w:style>
  <w:style w:type="character" w:default="1" w:styleId="12">
    <w:name w:val="Default Paragraph Font"/>
    <w:qFormat/>
    <w:uiPriority w:val="0"/>
  </w:style>
  <w:style w:type="table" w:default="1" w:styleId="11">
    <w:name w:val="Normal Table"/>
    <w:semiHidden/>
    <w:uiPriority w:val="0"/>
    <w:tblPr>
      <w:tblLayout w:type="fixed"/>
      <w:tblCellMar>
        <w:top w:w="0" w:type="dxa"/>
        <w:left w:w="108" w:type="dxa"/>
        <w:bottom w:w="0" w:type="dxa"/>
        <w:right w:w="108" w:type="dxa"/>
      </w:tblCellMar>
    </w:tblPr>
  </w:style>
  <w:style w:type="paragraph" w:styleId="6">
    <w:name w:val="Body Text"/>
    <w:basedOn w:val="1"/>
    <w:uiPriority w:val="0"/>
    <w:rPr>
      <w:rFonts w:eastAsia="仿宋_GB2312"/>
      <w:sz w:val="32"/>
    </w:rPr>
  </w:style>
  <w:style w:type="paragraph" w:styleId="7">
    <w:name w:val="footer"/>
    <w:basedOn w:val="1"/>
    <w:link w:val="17"/>
    <w:uiPriority w:val="0"/>
    <w:pPr>
      <w:tabs>
        <w:tab w:val="center" w:pos="4153"/>
        <w:tab w:val="right" w:pos="8306"/>
      </w:tabs>
      <w:snapToGrid w:val="0"/>
      <w:jc w:val="left"/>
    </w:pPr>
    <w:rPr>
      <w:sz w:val="18"/>
      <w:szCs w:val="18"/>
    </w:rPr>
  </w:style>
  <w:style w:type="paragraph" w:styleId="8">
    <w:name w:val="header"/>
    <w:basedOn w:val="1"/>
    <w:link w:val="18"/>
    <w:uiPriority w:val="0"/>
    <w:pPr>
      <w:pBdr>
        <w:bottom w:val="single" w:color="auto" w:sz="6" w:space="1"/>
      </w:pBdr>
      <w:tabs>
        <w:tab w:val="center" w:pos="4153"/>
        <w:tab w:val="right" w:pos="8306"/>
      </w:tabs>
      <w:snapToGrid w:val="0"/>
      <w:jc w:val="center"/>
    </w:pPr>
    <w:rPr>
      <w:sz w:val="18"/>
      <w:szCs w:val="18"/>
    </w:rPr>
  </w:style>
  <w:style w:type="paragraph" w:styleId="9">
    <w:name w:val="Subtitle"/>
    <w:basedOn w:val="1"/>
    <w:next w:val="1"/>
    <w:link w:val="19"/>
    <w:uiPriority w:val="0"/>
    <w:pPr>
      <w:widowControl/>
      <w:spacing w:after="200" w:line="276" w:lineRule="auto"/>
      <w:jc w:val="left"/>
    </w:pPr>
    <w:rPr>
      <w:rFonts w:ascii="Calibri" w:hAnsi="Calibri" w:eastAsia="宋体" w:cs="黑体"/>
      <w:i/>
      <w:iCs/>
      <w:color w:val="F0A22E"/>
      <w:spacing w:val="15"/>
      <w:kern w:val="0"/>
      <w:sz w:val="24"/>
      <w:szCs w:val="24"/>
    </w:rPr>
  </w:style>
  <w:style w:type="paragraph" w:styleId="10">
    <w:name w:val="Title"/>
    <w:basedOn w:val="1"/>
    <w:next w:val="1"/>
    <w:link w:val="20"/>
    <w:uiPriority w:val="0"/>
    <w:pPr>
      <w:widowControl/>
      <w:pBdr>
        <w:bottom w:val="single" w:color="F0A22E" w:sz="8" w:space="4"/>
      </w:pBdr>
      <w:spacing w:after="300"/>
      <w:contextualSpacing/>
      <w:jc w:val="left"/>
    </w:pPr>
    <w:rPr>
      <w:rFonts w:ascii="Calibri" w:hAnsi="Calibri" w:eastAsia="宋体" w:cs="黑体"/>
      <w:color w:val="392B23"/>
      <w:spacing w:val="5"/>
      <w:kern w:val="28"/>
      <w:sz w:val="52"/>
      <w:szCs w:val="52"/>
    </w:rPr>
  </w:style>
  <w:style w:type="character" w:customStyle="1" w:styleId="13">
    <w:name w:val="标题 1 Char"/>
    <w:basedOn w:val="12"/>
    <w:link w:val="2"/>
    <w:semiHidden/>
    <w:uiPriority w:val="0"/>
    <w:rPr>
      <w:rFonts w:ascii="Times New Roman" w:hAnsi="Times New Roman" w:eastAsia="宋体" w:cs="Times New Roman"/>
      <w:b/>
      <w:bCs/>
      <w:kern w:val="44"/>
      <w:sz w:val="44"/>
      <w:szCs w:val="44"/>
    </w:rPr>
  </w:style>
  <w:style w:type="character" w:customStyle="1" w:styleId="14">
    <w:name w:val="标题 2 Char"/>
    <w:basedOn w:val="12"/>
    <w:link w:val="3"/>
    <w:semiHidden/>
    <w:qFormat/>
    <w:uiPriority w:val="0"/>
    <w:rPr>
      <w:rFonts w:ascii="Calibri" w:hAnsi="Calibri" w:eastAsia="宋体" w:cs="黑体"/>
      <w:b/>
      <w:bCs/>
      <w:sz w:val="32"/>
      <w:szCs w:val="32"/>
    </w:rPr>
  </w:style>
  <w:style w:type="character" w:customStyle="1" w:styleId="15">
    <w:name w:val="标题 3 Char"/>
    <w:basedOn w:val="12"/>
    <w:link w:val="4"/>
    <w:semiHidden/>
    <w:qFormat/>
    <w:uiPriority w:val="0"/>
    <w:rPr>
      <w:rFonts w:ascii="Times New Roman" w:hAnsi="Times New Roman" w:eastAsia="宋体" w:cs="Times New Roman"/>
      <w:b/>
      <w:bCs/>
      <w:sz w:val="32"/>
      <w:szCs w:val="32"/>
    </w:rPr>
  </w:style>
  <w:style w:type="character" w:customStyle="1" w:styleId="16">
    <w:name w:val="标题 4 Char"/>
    <w:basedOn w:val="12"/>
    <w:link w:val="5"/>
    <w:semiHidden/>
    <w:uiPriority w:val="0"/>
    <w:rPr>
      <w:rFonts w:ascii="Calibri" w:hAnsi="Calibri" w:eastAsia="宋体" w:cs="黑体"/>
      <w:b/>
      <w:bCs/>
      <w:sz w:val="28"/>
      <w:szCs w:val="28"/>
    </w:rPr>
  </w:style>
  <w:style w:type="character" w:customStyle="1" w:styleId="17">
    <w:name w:val="页脚 Char"/>
    <w:basedOn w:val="12"/>
    <w:link w:val="7"/>
    <w:semiHidden/>
    <w:uiPriority w:val="0"/>
    <w:rPr>
      <w:sz w:val="18"/>
      <w:szCs w:val="18"/>
    </w:rPr>
  </w:style>
  <w:style w:type="character" w:customStyle="1" w:styleId="18">
    <w:name w:val="页眉 Char"/>
    <w:basedOn w:val="12"/>
    <w:link w:val="8"/>
    <w:semiHidden/>
    <w:qFormat/>
    <w:uiPriority w:val="0"/>
    <w:rPr>
      <w:sz w:val="18"/>
      <w:szCs w:val="18"/>
    </w:rPr>
  </w:style>
  <w:style w:type="character" w:customStyle="1" w:styleId="19">
    <w:name w:val="副标题 Char"/>
    <w:basedOn w:val="12"/>
    <w:link w:val="9"/>
    <w:semiHidden/>
    <w:qFormat/>
    <w:uiPriority w:val="0"/>
    <w:rPr>
      <w:rFonts w:ascii="Calibri" w:hAnsi="Calibri" w:eastAsia="宋体" w:cs="黑体"/>
      <w:i/>
      <w:iCs/>
      <w:color w:val="F0A22E"/>
      <w:spacing w:val="15"/>
      <w:kern w:val="0"/>
      <w:sz w:val="24"/>
      <w:szCs w:val="24"/>
    </w:rPr>
  </w:style>
  <w:style w:type="character" w:customStyle="1" w:styleId="20">
    <w:name w:val="标题 Char"/>
    <w:basedOn w:val="12"/>
    <w:link w:val="10"/>
    <w:semiHidden/>
    <w:qFormat/>
    <w:uiPriority w:val="0"/>
    <w:rPr>
      <w:rFonts w:ascii="Calibri" w:hAnsi="Calibri" w:eastAsia="宋体" w:cs="黑体"/>
      <w:color w:val="392B23"/>
      <w:spacing w:val="5"/>
      <w:kern w:val="28"/>
      <w:sz w:val="52"/>
      <w:szCs w:val="52"/>
    </w:rPr>
  </w:style>
  <w:style w:type="paragraph" w:customStyle="1" w:styleId="21">
    <w:name w:val="批注框文本 Char Char"/>
    <w:basedOn w:val="1"/>
    <w:link w:val="23"/>
    <w:uiPriority w:val="0"/>
    <w:rPr>
      <w:rFonts w:ascii="Times New Roman" w:hAnsi="Times New Roman" w:eastAsia="宋体" w:cs="Times New Roman"/>
      <w:sz w:val="18"/>
      <w:szCs w:val="18"/>
    </w:rPr>
  </w:style>
  <w:style w:type="paragraph" w:customStyle="1" w:styleId="22">
    <w:name w:val="无间隔1"/>
    <w:link w:val="24"/>
    <w:uiPriority w:val="0"/>
    <w:rPr>
      <w:rFonts w:ascii="Times New Roman" w:hAnsi="Times New Roman" w:eastAsia="宋体" w:cs="Times New Roman"/>
      <w:sz w:val="22"/>
      <w:lang w:val="en-US" w:eastAsia="zh-CN" w:bidi="ar-SA"/>
    </w:rPr>
  </w:style>
  <w:style w:type="character" w:customStyle="1" w:styleId="23">
    <w:name w:val="批注框文本 Char Char Char Char"/>
    <w:basedOn w:val="12"/>
    <w:link w:val="21"/>
    <w:semiHidden/>
    <w:uiPriority w:val="0"/>
    <w:rPr>
      <w:rFonts w:ascii="Times New Roman" w:hAnsi="Times New Roman" w:eastAsia="宋体" w:cs="Times New Roman"/>
      <w:sz w:val="18"/>
      <w:szCs w:val="18"/>
    </w:rPr>
  </w:style>
  <w:style w:type="character" w:customStyle="1" w:styleId="24">
    <w:name w:val="无间隔 Char"/>
    <w:basedOn w:val="12"/>
    <w:link w:val="22"/>
    <w:semiHidden/>
    <w:qFormat/>
    <w:uiPriority w:val="0"/>
    <w:rPr>
      <w:sz w:val="22"/>
      <w:lang w:val="en-US" w:eastAsia="zh-CN" w:bidi="ar-SA"/>
    </w:rPr>
  </w:style>
  <w:style w:type="character" w:customStyle="1" w:styleId="25">
    <w:name w:val="Style1"/>
    <w:basedOn w:val="12"/>
    <w:uiPriority w:val="0"/>
    <w:rPr>
      <w:rFonts w:ascii="Cambria" w:hAnsi="黑体" w:eastAsia="黑体" w:cs="黑体"/>
      <w:sz w:val="22"/>
      <w:szCs w:val="22"/>
      <w:lang w:eastAsia="zh-CN"/>
    </w:rPr>
  </w:style>
  <w:style w:type="character" w:customStyle="1" w:styleId="26">
    <w:name w:val="Style2"/>
    <w:basedOn w:val="12"/>
    <w:uiPriority w:val="0"/>
    <w:rPr>
      <w:rFonts w:ascii="Cambria" w:hAnsi="黑体" w:eastAsia="黑体" w:cs="黑体"/>
      <w:sz w:val="22"/>
      <w:szCs w:val="22"/>
      <w:lang w:eastAsia="zh-CN"/>
    </w:rPr>
  </w:style>
  <w:style w:type="character" w:customStyle="1" w:styleId="27">
    <w:name w:val="Style3"/>
    <w:basedOn w:val="12"/>
    <w:uiPriority w:val="0"/>
    <w:rPr>
      <w:rFonts w:ascii="Cambria" w:hAnsi="黑体" w:eastAsia="黑体" w:cs="黑体"/>
      <w:szCs w:val="22"/>
      <w:lang w:eastAsia="zh-CN"/>
    </w:rPr>
  </w:style>
  <w:style w:type="character" w:customStyle="1" w:styleId="28">
    <w:name w:val="Style4"/>
    <w:basedOn w:val="12"/>
    <w:qFormat/>
    <w:uiPriority w:val="0"/>
    <w:rPr>
      <w:rFonts w:ascii="Cambria" w:hAnsi="黑体" w:eastAsia="黑体" w:cs="黑体"/>
      <w:szCs w:val="22"/>
      <w:lang w:eastAsia="zh-CN"/>
    </w:rPr>
  </w:style>
  <w:style w:type="character" w:customStyle="1" w:styleId="29">
    <w:name w:val="Style5"/>
    <w:basedOn w:val="12"/>
    <w:qFormat/>
    <w:uiPriority w:val="0"/>
    <w:rPr>
      <w:rFonts w:ascii="Cambria" w:hAnsi="黑体" w:eastAsia="黑体" w:cs="黑体"/>
      <w:sz w:val="22"/>
      <w:szCs w:val="22"/>
      <w:lang w:eastAsia="zh-CN"/>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image" Target="media/image2.png"/><Relationship Id="rId4" Type="http://schemas.openxmlformats.org/officeDocument/2006/relationships/image" Target="media/image1.png"/><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Microsoft</Company>
  <Pages>13</Pages>
  <Words>742</Words>
  <Characters>4234</Characters>
  <Lines>35</Lines>
  <Paragraphs>9</Paragraphs>
  <TotalTime>0</TotalTime>
  <ScaleCrop>false</ScaleCrop>
  <LinksUpToDate>false</LinksUpToDate>
  <CharactersWithSpaces>0</CharactersWithSpaces>
  <Application>WPS Office_11.1.0.8415_F1E327BC-269C-435d-A152-05C5408002CA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2018-08-30T16:38:00Z</dcterms:created>
  <dc:creator>User</dc:creator>
  <cp:lastModifiedBy>123</cp:lastModifiedBy>
  <dcterms:modified xsi:type="dcterms:W3CDTF">2019-02-14T03:26:45Z</dcterms:modified>
  <dc:subject>石家庄市xxx部门</dc:subject>
  <dc:title>2017年度部门决算</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2052-11.1.0.8415</vt:lpwstr>
  </property>
</Properties>
</file>