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Default ContentType="image/png" Extension="png"/>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宋体" w:eastAsia="黑体"/>
          <w:color w:val="002060"/>
          <w:sz w:val="72"/>
          <w:szCs w:val="72"/>
        </w:rPr>
      </w:pPr>
      <w:r>
        <w:rPr>
          <w:rFonts w:hint="eastAsia" w:ascii="黑体" w:hAnsi="宋体" w:eastAsia="黑体"/>
          <w:color w:val="002060"/>
          <w:sz w:val="72"/>
          <w:szCs w:val="72"/>
        </w:rPr>
        <w:t>2017年度部门决算公开</w:t>
      </w:r>
    </w:p>
    <w:p>
      <w:pPr>
        <w:widowControl/>
        <w:jc w:val="center"/>
        <w:rPr>
          <w:rFonts w:ascii="黑体" w:hAnsi="黑体" w:eastAsia="黑体"/>
          <w:b/>
          <w:sz w:val="72"/>
          <w:szCs w:val="72"/>
        </w:rPr>
      </w:pPr>
    </w:p>
    <w:p>
      <w:pPr>
        <w:widowControl/>
        <w:ind w:firstLine="4638" w:firstLineChars="1050"/>
        <w:rPr>
          <w:rFonts w:ascii="宋体" w:hAnsi="宋体"/>
          <w:b/>
          <w:sz w:val="44"/>
          <w:szCs w:val="44"/>
        </w:rPr>
      </w:pPr>
    </w:p>
    <w:p>
      <w:pPr>
        <w:widowControl/>
        <w:ind w:firstLine="4638" w:firstLineChars="1050"/>
        <w:rPr>
          <w:rFonts w:ascii="宋体" w:hAnsi="宋体"/>
          <w:b/>
          <w:sz w:val="44"/>
          <w:szCs w:val="44"/>
        </w:rPr>
      </w:pPr>
    </w:p>
    <w:p>
      <w:pPr>
        <w:widowControl/>
        <w:ind w:firstLine="4638" w:firstLineChars="1050"/>
        <w:rPr>
          <w:rFonts w:ascii="宋体" w:hAnsi="宋体"/>
          <w:b/>
          <w:sz w:val="44"/>
          <w:szCs w:val="44"/>
        </w:rPr>
      </w:pPr>
    </w:p>
    <w:p>
      <w:pPr>
        <w:widowControl/>
        <w:ind w:firstLine="4638" w:firstLineChars="1050"/>
        <w:rPr>
          <w:rFonts w:ascii="宋体" w:hAnsi="宋体"/>
          <w:b/>
          <w:sz w:val="44"/>
          <w:szCs w:val="44"/>
        </w:rPr>
      </w:pPr>
    </w:p>
    <w:p>
      <w:pPr>
        <w:widowControl/>
        <w:ind w:firstLine="4638" w:firstLineChars="1050"/>
        <w:rPr>
          <w:rFonts w:ascii="宋体" w:hAnsi="宋体"/>
          <w:b/>
          <w:sz w:val="44"/>
          <w:szCs w:val="44"/>
        </w:rPr>
      </w:pPr>
    </w:p>
    <w:p>
      <w:pPr>
        <w:widowControl/>
        <w:ind w:firstLine="4638" w:firstLineChars="1050"/>
        <w:rPr>
          <w:rFonts w:ascii="宋体" w:hAnsi="宋体"/>
          <w:b/>
          <w:sz w:val="44"/>
          <w:szCs w:val="44"/>
        </w:rPr>
      </w:pPr>
    </w:p>
    <w:p>
      <w:pPr>
        <w:widowControl/>
        <w:ind w:firstLine="4638" w:firstLineChars="1050"/>
        <w:rPr>
          <w:rFonts w:ascii="宋体" w:hAnsi="宋体"/>
          <w:b/>
          <w:sz w:val="44"/>
          <w:szCs w:val="44"/>
        </w:rPr>
      </w:pPr>
    </w:p>
    <w:p>
      <w:pPr>
        <w:widowControl/>
        <w:jc w:val="center"/>
        <w:rPr>
          <w:rFonts w:ascii="宋体" w:hAnsi="宋体"/>
          <w:b/>
          <w:sz w:val="44"/>
          <w:szCs w:val="44"/>
        </w:rPr>
      </w:pPr>
      <w:r>
        <w:rPr>
          <w:rFonts w:hint="eastAsia" w:ascii="宋体" w:hAnsi="宋体"/>
          <w:b/>
          <w:sz w:val="44"/>
          <w:szCs w:val="44"/>
        </w:rPr>
        <w:t>无极县司法局</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无极县司法局</w:t>
      </w:r>
      <w:r>
        <w:rPr>
          <w:rFonts w:eastAsia="黑体"/>
          <w:sz w:val="32"/>
          <w:szCs w:val="32"/>
        </w:rPr>
        <w:t>概况</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 xml:space="preserve"> 无极县司法局</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无极县司法局</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w:t>
      </w:r>
      <w:bookmarkStart w:id="0" w:name="_GoBack"/>
      <w:bookmarkEnd w:id="0"/>
      <w:r>
        <w:rPr>
          <w:rFonts w:hint="eastAsia" w:ascii="宋体" w:hAnsi="宋体" w:cs="ArialUnicodeMS"/>
          <w:color w:val="000000"/>
          <w:kern w:val="0"/>
        </w:rPr>
        <w:t>况</w:t>
      </w:r>
    </w:p>
    <w:p>
      <w:pPr>
        <w:pStyle w:val="5"/>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一、部门职责</w:t>
      </w:r>
    </w:p>
    <w:p>
      <w:pPr>
        <w:widowControl w:val="0"/>
        <w:wordWrap/>
        <w:adjustRightInd/>
        <w:snapToGrid/>
        <w:spacing w:line="240" w:lineRule="auto"/>
        <w:ind w:left="0" w:leftChars="0" w:right="0" w:firstLine="64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（一）承办全面依法治</w:t>
      </w:r>
      <w:r>
        <w:rPr>
          <w:rFonts w:hint="eastAsia" w:ascii="仿宋" w:hAnsi="仿宋" w:eastAsia="仿宋" w:cs="仿宋"/>
          <w:sz w:val="32"/>
          <w:szCs w:val="32"/>
          <w:lang w:eastAsia="zh-CN"/>
        </w:rPr>
        <w:t>县</w:t>
      </w:r>
      <w:r>
        <w:rPr>
          <w:rFonts w:hint="eastAsia" w:ascii="仿宋" w:hAnsi="仿宋" w:eastAsia="仿宋" w:cs="仿宋"/>
          <w:sz w:val="32"/>
          <w:szCs w:val="32"/>
        </w:rPr>
        <w:t>重大问题的政策研究。组织协调有关方面提出全面依法治</w:t>
      </w:r>
      <w:r>
        <w:rPr>
          <w:rFonts w:hint="eastAsia" w:ascii="仿宋" w:hAnsi="仿宋" w:eastAsia="仿宋" w:cs="仿宋"/>
          <w:sz w:val="32"/>
          <w:szCs w:val="32"/>
          <w:lang w:eastAsia="zh-CN"/>
        </w:rPr>
        <w:t>县</w:t>
      </w:r>
      <w:r>
        <w:rPr>
          <w:rFonts w:hint="eastAsia" w:ascii="仿宋" w:hAnsi="仿宋" w:eastAsia="仿宋" w:cs="仿宋"/>
          <w:sz w:val="32"/>
          <w:szCs w:val="32"/>
        </w:rPr>
        <w:t>中长期规划建议，负责有关重大决策部署督察工作。</w:t>
      </w:r>
    </w:p>
    <w:p>
      <w:pPr>
        <w:widowControl w:val="0"/>
        <w:wordWrap/>
        <w:adjustRightInd/>
        <w:snapToGrid/>
        <w:spacing w:line="240" w:lineRule="auto"/>
        <w:ind w:left="0" w:leftChars="0" w:right="0" w:firstLine="640"/>
        <w:jc w:val="left"/>
        <w:textAlignment w:val="auto"/>
        <w:outlineLvl w:val="9"/>
        <w:rPr>
          <w:rFonts w:hint="eastAsia" w:ascii="仿宋" w:hAnsi="仿宋" w:eastAsia="仿宋" w:cs="仿宋"/>
          <w:color w:val="FF0000"/>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二</w:t>
      </w:r>
      <w:r>
        <w:rPr>
          <w:rFonts w:hint="eastAsia" w:ascii="仿宋" w:hAnsi="仿宋" w:eastAsia="仿宋" w:cs="仿宋"/>
          <w:sz w:val="32"/>
          <w:szCs w:val="32"/>
        </w:rPr>
        <w:t>）负责起草或组织起草有关地方性法规、政府规章草案。承办各部门报送</w:t>
      </w:r>
      <w:r>
        <w:rPr>
          <w:rFonts w:hint="eastAsia" w:ascii="仿宋" w:hAnsi="仿宋" w:eastAsia="仿宋" w:cs="仿宋"/>
          <w:sz w:val="32"/>
          <w:szCs w:val="32"/>
          <w:lang w:eastAsia="zh-CN"/>
        </w:rPr>
        <w:t>县</w:t>
      </w:r>
      <w:r>
        <w:rPr>
          <w:rFonts w:hint="eastAsia" w:ascii="仿宋" w:hAnsi="仿宋" w:eastAsia="仿宋" w:cs="仿宋"/>
          <w:sz w:val="32"/>
          <w:szCs w:val="32"/>
        </w:rPr>
        <w:t>政府的地方性法规、政府规章草案的</w:t>
      </w:r>
      <w:r>
        <w:rPr>
          <w:rFonts w:hint="eastAsia" w:ascii="仿宋" w:hAnsi="仿宋" w:eastAsia="仿宋" w:cs="仿宋"/>
          <w:sz w:val="32"/>
          <w:szCs w:val="32"/>
          <w:lang w:eastAsia="zh-CN"/>
        </w:rPr>
        <w:t>审查</w:t>
      </w:r>
      <w:r>
        <w:rPr>
          <w:rFonts w:hint="eastAsia" w:ascii="仿宋" w:hAnsi="仿宋" w:eastAsia="仿宋" w:cs="仿宋"/>
          <w:sz w:val="32"/>
          <w:szCs w:val="32"/>
        </w:rPr>
        <w:t>工作；组织开展政府规章清理工作。</w:t>
      </w:r>
    </w:p>
    <w:p>
      <w:pPr>
        <w:widowControl w:val="0"/>
        <w:wordWrap/>
        <w:adjustRightInd/>
        <w:snapToGrid/>
        <w:spacing w:line="240" w:lineRule="auto"/>
        <w:ind w:left="0" w:leftChars="0" w:right="0" w:firstLine="640"/>
        <w:jc w:val="left"/>
        <w:textAlignment w:val="auto"/>
        <w:outlineLvl w:val="9"/>
        <w:rPr>
          <w:rFonts w:ascii="仿宋" w:hAnsi="仿宋" w:eastAsia="仿宋" w:cs="仿宋"/>
          <w:sz w:val="32"/>
          <w:szCs w:val="32"/>
        </w:rPr>
      </w:pPr>
      <w:r>
        <w:rPr>
          <w:rFonts w:hint="eastAsia" w:ascii="仿宋" w:hAnsi="仿宋" w:eastAsia="仿宋" w:cs="仿宋"/>
          <w:sz w:val="32"/>
          <w:szCs w:val="32"/>
          <w:lang w:eastAsia="zh-CN"/>
        </w:rPr>
        <w:t>（三）</w:t>
      </w:r>
      <w:r>
        <w:rPr>
          <w:rFonts w:hint="eastAsia" w:ascii="仿宋" w:hAnsi="仿宋" w:eastAsia="仿宋" w:cs="仿宋"/>
          <w:color w:val="000000"/>
          <w:sz w:val="32"/>
          <w:szCs w:val="32"/>
        </w:rPr>
        <w:t>负</w:t>
      </w:r>
      <w:r>
        <w:rPr>
          <w:rFonts w:hint="eastAsia" w:ascii="仿宋" w:hAnsi="仿宋" w:eastAsia="仿宋" w:cs="仿宋"/>
          <w:sz w:val="32"/>
          <w:szCs w:val="32"/>
        </w:rPr>
        <w:t>责</w:t>
      </w:r>
      <w:r>
        <w:rPr>
          <w:rFonts w:hint="eastAsia" w:ascii="仿宋" w:hAnsi="仿宋" w:eastAsia="仿宋" w:cs="仿宋"/>
          <w:sz w:val="32"/>
          <w:szCs w:val="32"/>
          <w:lang w:eastAsia="zh-CN"/>
        </w:rPr>
        <w:t>县</w:t>
      </w:r>
      <w:r>
        <w:rPr>
          <w:rFonts w:hint="eastAsia" w:ascii="仿宋" w:hAnsi="仿宋" w:eastAsia="仿宋" w:cs="仿宋"/>
          <w:sz w:val="32"/>
          <w:szCs w:val="32"/>
        </w:rPr>
        <w:t>政府各部门、各</w:t>
      </w:r>
      <w:r>
        <w:rPr>
          <w:rFonts w:hint="eastAsia" w:ascii="仿宋" w:hAnsi="仿宋" w:eastAsia="仿宋" w:cs="仿宋"/>
          <w:sz w:val="32"/>
          <w:szCs w:val="32"/>
          <w:lang w:eastAsia="zh-CN"/>
        </w:rPr>
        <w:t>乡镇</w:t>
      </w:r>
      <w:r>
        <w:rPr>
          <w:rFonts w:hint="eastAsia" w:ascii="仿宋" w:hAnsi="仿宋" w:eastAsia="仿宋" w:cs="仿宋"/>
          <w:sz w:val="32"/>
          <w:szCs w:val="32"/>
        </w:rPr>
        <w:t>政府规范性文件的备案工作。负责对</w:t>
      </w:r>
      <w:r>
        <w:rPr>
          <w:rFonts w:hint="eastAsia" w:ascii="仿宋" w:hAnsi="仿宋" w:eastAsia="仿宋" w:cs="仿宋"/>
          <w:sz w:val="32"/>
          <w:szCs w:val="32"/>
          <w:lang w:eastAsia="zh-CN"/>
        </w:rPr>
        <w:t>县</w:t>
      </w:r>
      <w:r>
        <w:rPr>
          <w:rFonts w:hint="eastAsia" w:ascii="仿宋" w:hAnsi="仿宋" w:eastAsia="仿宋" w:cs="仿宋"/>
          <w:sz w:val="32"/>
          <w:szCs w:val="32"/>
        </w:rPr>
        <w:t>政府政策措施、规范性文件和合同协议的合法性审查工作；承</w:t>
      </w:r>
      <w:r>
        <w:rPr>
          <w:rFonts w:hint="eastAsia" w:ascii="仿宋" w:hAnsi="仿宋" w:eastAsia="仿宋" w:cs="仿宋"/>
          <w:sz w:val="32"/>
          <w:szCs w:val="32"/>
          <w:lang w:eastAsia="zh-CN"/>
        </w:rPr>
        <w:t>县</w:t>
      </w:r>
      <w:r>
        <w:rPr>
          <w:rFonts w:hint="eastAsia" w:ascii="仿宋" w:hAnsi="仿宋" w:eastAsia="仿宋" w:cs="仿宋"/>
          <w:sz w:val="32"/>
          <w:szCs w:val="32"/>
        </w:rPr>
        <w:t>政府交办的涉法事务；</w:t>
      </w:r>
      <w:r>
        <w:rPr>
          <w:rFonts w:hint="eastAsia" w:ascii="仿宋" w:hAnsi="仿宋" w:eastAsia="仿宋" w:cs="仿宋"/>
          <w:color w:val="000000"/>
          <w:sz w:val="32"/>
          <w:szCs w:val="32"/>
        </w:rPr>
        <w:t>承办</w:t>
      </w:r>
      <w:r>
        <w:rPr>
          <w:rFonts w:hint="eastAsia" w:ascii="仿宋" w:hAnsi="仿宋" w:eastAsia="仿宋" w:cs="仿宋"/>
          <w:color w:val="000000"/>
          <w:sz w:val="32"/>
          <w:szCs w:val="32"/>
          <w:lang w:eastAsia="zh-CN"/>
        </w:rPr>
        <w:t>县</w:t>
      </w:r>
      <w:r>
        <w:rPr>
          <w:rFonts w:hint="eastAsia" w:ascii="仿宋" w:hAnsi="仿宋" w:eastAsia="仿宋" w:cs="仿宋"/>
          <w:color w:val="000000"/>
          <w:sz w:val="32"/>
          <w:szCs w:val="32"/>
        </w:rPr>
        <w:t>政府规章上报</w:t>
      </w:r>
      <w:r>
        <w:rPr>
          <w:rFonts w:hint="eastAsia" w:ascii="仿宋" w:hAnsi="仿宋" w:eastAsia="仿宋" w:cs="仿宋"/>
          <w:color w:val="000000"/>
          <w:sz w:val="32"/>
          <w:szCs w:val="32"/>
          <w:lang w:eastAsia="zh-CN"/>
        </w:rPr>
        <w:t>市</w:t>
      </w:r>
      <w:r>
        <w:rPr>
          <w:rFonts w:hint="eastAsia" w:ascii="仿宋" w:hAnsi="仿宋" w:eastAsia="仿宋" w:cs="仿宋"/>
          <w:color w:val="000000"/>
          <w:sz w:val="32"/>
          <w:szCs w:val="32"/>
        </w:rPr>
        <w:t>政府和市人大常委会备案工作；</w:t>
      </w:r>
      <w:r>
        <w:rPr>
          <w:rFonts w:hint="eastAsia" w:ascii="仿宋" w:hAnsi="仿宋" w:eastAsia="仿宋" w:cs="仿宋"/>
          <w:sz w:val="32"/>
          <w:szCs w:val="32"/>
        </w:rPr>
        <w:t>负责</w:t>
      </w:r>
      <w:r>
        <w:rPr>
          <w:rFonts w:hint="eastAsia" w:ascii="仿宋" w:hAnsi="仿宋" w:eastAsia="仿宋" w:cs="仿宋"/>
          <w:sz w:val="32"/>
          <w:szCs w:val="32"/>
          <w:lang w:eastAsia="zh-CN"/>
        </w:rPr>
        <w:t>县</w:t>
      </w:r>
      <w:r>
        <w:rPr>
          <w:rFonts w:hint="eastAsia" w:ascii="仿宋" w:hAnsi="仿宋" w:eastAsia="仿宋" w:cs="仿宋"/>
          <w:sz w:val="32"/>
          <w:szCs w:val="32"/>
        </w:rPr>
        <w:t>政府规章的编纂工作。</w:t>
      </w:r>
    </w:p>
    <w:p>
      <w:pPr>
        <w:widowControl w:val="0"/>
        <w:numPr>
          <w:ilvl w:val="0"/>
          <w:numId w:val="1"/>
        </w:numPr>
        <w:wordWrap/>
        <w:adjustRightInd/>
        <w:snapToGrid/>
        <w:spacing w:line="240" w:lineRule="auto"/>
        <w:ind w:left="0" w:leftChars="0" w:right="0" w:firstLine="640"/>
        <w:jc w:val="left"/>
        <w:textAlignment w:val="auto"/>
        <w:outlineLvl w:val="9"/>
        <w:rPr>
          <w:rFonts w:ascii="仿宋" w:hAnsi="仿宋" w:eastAsia="仿宋" w:cs="仿宋"/>
          <w:sz w:val="32"/>
          <w:szCs w:val="32"/>
        </w:rPr>
      </w:pPr>
      <w:r>
        <w:rPr>
          <w:rFonts w:hint="eastAsia" w:ascii="仿宋" w:hAnsi="仿宋" w:eastAsia="仿宋" w:cs="仿宋"/>
          <w:sz w:val="32"/>
          <w:szCs w:val="32"/>
        </w:rPr>
        <w:t>承担统筹推进</w:t>
      </w:r>
      <w:r>
        <w:rPr>
          <w:rFonts w:hint="eastAsia" w:ascii="仿宋" w:hAnsi="仿宋" w:eastAsia="仿宋" w:cs="仿宋"/>
          <w:sz w:val="32"/>
          <w:szCs w:val="32"/>
          <w:lang w:eastAsia="zh-CN"/>
        </w:rPr>
        <w:t>无极县</w:t>
      </w:r>
      <w:r>
        <w:rPr>
          <w:rFonts w:hint="eastAsia" w:ascii="仿宋" w:hAnsi="仿宋" w:eastAsia="仿宋" w:cs="仿宋"/>
          <w:sz w:val="32"/>
          <w:szCs w:val="32"/>
        </w:rPr>
        <w:t>法治政府建设的责任。指导、监督</w:t>
      </w:r>
      <w:r>
        <w:rPr>
          <w:rFonts w:hint="eastAsia" w:ascii="仿宋" w:hAnsi="仿宋" w:eastAsia="仿宋" w:cs="仿宋"/>
          <w:sz w:val="32"/>
          <w:szCs w:val="32"/>
          <w:lang w:eastAsia="zh-CN"/>
        </w:rPr>
        <w:t>县</w:t>
      </w:r>
      <w:r>
        <w:rPr>
          <w:rFonts w:hint="eastAsia" w:ascii="仿宋" w:hAnsi="仿宋" w:eastAsia="仿宋" w:cs="仿宋"/>
          <w:sz w:val="32"/>
          <w:szCs w:val="32"/>
        </w:rPr>
        <w:t>政府各部门、</w:t>
      </w:r>
      <w:r>
        <w:rPr>
          <w:rFonts w:hint="eastAsia" w:ascii="仿宋" w:hAnsi="仿宋" w:eastAsia="仿宋" w:cs="仿宋"/>
          <w:sz w:val="32"/>
          <w:szCs w:val="32"/>
          <w:lang w:eastAsia="zh-CN"/>
        </w:rPr>
        <w:t>各乡镇</w:t>
      </w:r>
      <w:r>
        <w:rPr>
          <w:rFonts w:hint="eastAsia" w:ascii="仿宋" w:hAnsi="仿宋" w:eastAsia="仿宋" w:cs="仿宋"/>
          <w:sz w:val="32"/>
          <w:szCs w:val="32"/>
        </w:rPr>
        <w:t>政府依法行政工作；负责综合协调行政执法，承办推进行政执法体制改革有关工作，推进严格规范公正文明执法；依法承办行政复议案件；受</w:t>
      </w:r>
      <w:r>
        <w:rPr>
          <w:rFonts w:hint="eastAsia" w:ascii="仿宋" w:hAnsi="仿宋" w:eastAsia="仿宋" w:cs="仿宋"/>
          <w:sz w:val="32"/>
          <w:szCs w:val="32"/>
          <w:lang w:eastAsia="zh-CN"/>
        </w:rPr>
        <w:t>县</w:t>
      </w:r>
      <w:r>
        <w:rPr>
          <w:rFonts w:hint="eastAsia" w:ascii="仿宋" w:hAnsi="仿宋" w:eastAsia="仿宋" w:cs="仿宋"/>
          <w:sz w:val="32"/>
          <w:szCs w:val="32"/>
        </w:rPr>
        <w:t>政府委托，代理行政诉讼案件的应诉；指导、监督全</w:t>
      </w:r>
      <w:r>
        <w:rPr>
          <w:rFonts w:hint="eastAsia" w:ascii="仿宋" w:hAnsi="仿宋" w:eastAsia="仿宋" w:cs="仿宋"/>
          <w:sz w:val="32"/>
          <w:szCs w:val="32"/>
          <w:lang w:eastAsia="zh-CN"/>
        </w:rPr>
        <w:t>县</w:t>
      </w:r>
      <w:r>
        <w:rPr>
          <w:rFonts w:hint="eastAsia" w:ascii="仿宋" w:hAnsi="仿宋" w:eastAsia="仿宋" w:cs="仿宋"/>
          <w:sz w:val="32"/>
          <w:szCs w:val="32"/>
        </w:rPr>
        <w:t>行政复议和行政应诉工作。</w:t>
      </w:r>
    </w:p>
    <w:p>
      <w:pPr>
        <w:widowControl w:val="0"/>
        <w:numPr>
          <w:ilvl w:val="0"/>
          <w:numId w:val="1"/>
        </w:numPr>
        <w:wordWrap/>
        <w:adjustRightInd/>
        <w:snapToGrid/>
        <w:spacing w:line="240" w:lineRule="auto"/>
        <w:ind w:left="0" w:leftChars="0" w:right="0" w:firstLine="640"/>
        <w:jc w:val="left"/>
        <w:textAlignment w:val="auto"/>
        <w:outlineLvl w:val="9"/>
        <w:rPr>
          <w:rFonts w:ascii="仿宋" w:hAnsi="仿宋" w:eastAsia="仿宋" w:cs="仿宋"/>
          <w:sz w:val="32"/>
          <w:szCs w:val="32"/>
        </w:rPr>
      </w:pPr>
      <w:r>
        <w:rPr>
          <w:rFonts w:hint="eastAsia" w:ascii="仿宋" w:hAnsi="仿宋" w:eastAsia="仿宋" w:cs="仿宋"/>
          <w:sz w:val="32"/>
          <w:szCs w:val="32"/>
        </w:rPr>
        <w:t>承担统筹规划全</w:t>
      </w:r>
      <w:r>
        <w:rPr>
          <w:rFonts w:hint="eastAsia" w:ascii="仿宋" w:hAnsi="仿宋" w:eastAsia="仿宋" w:cs="仿宋"/>
          <w:sz w:val="32"/>
          <w:szCs w:val="32"/>
          <w:lang w:eastAsia="zh-CN"/>
        </w:rPr>
        <w:t>县</w:t>
      </w:r>
      <w:r>
        <w:rPr>
          <w:rFonts w:hint="eastAsia" w:ascii="仿宋" w:hAnsi="仿宋" w:eastAsia="仿宋" w:cs="仿宋"/>
          <w:sz w:val="32"/>
          <w:szCs w:val="32"/>
        </w:rPr>
        <w:t>法治社会建设的责任。负责拟订全</w:t>
      </w:r>
      <w:r>
        <w:rPr>
          <w:rFonts w:hint="eastAsia" w:ascii="仿宋" w:hAnsi="仿宋" w:eastAsia="仿宋" w:cs="仿宋"/>
          <w:sz w:val="32"/>
          <w:szCs w:val="32"/>
          <w:lang w:eastAsia="zh-CN"/>
        </w:rPr>
        <w:t>县</w:t>
      </w:r>
      <w:r>
        <w:rPr>
          <w:rFonts w:hint="eastAsia" w:ascii="仿宋" w:hAnsi="仿宋" w:eastAsia="仿宋" w:cs="仿宋"/>
          <w:sz w:val="32"/>
          <w:szCs w:val="32"/>
        </w:rPr>
        <w:t>法治宣传教育规划，组织实施普法宣传工作；指导全</w:t>
      </w:r>
      <w:r>
        <w:rPr>
          <w:rFonts w:hint="eastAsia" w:ascii="仿宋" w:hAnsi="仿宋" w:eastAsia="仿宋" w:cs="仿宋"/>
          <w:sz w:val="32"/>
          <w:szCs w:val="32"/>
          <w:lang w:eastAsia="zh-CN"/>
        </w:rPr>
        <w:t>县</w:t>
      </w:r>
      <w:r>
        <w:rPr>
          <w:rFonts w:hint="eastAsia" w:ascii="仿宋" w:hAnsi="仿宋" w:eastAsia="仿宋" w:cs="仿宋"/>
          <w:sz w:val="32"/>
          <w:szCs w:val="32"/>
        </w:rPr>
        <w:t>依法治理和法治创建工作。推动全</w:t>
      </w:r>
      <w:r>
        <w:rPr>
          <w:rFonts w:hint="eastAsia" w:ascii="仿宋" w:hAnsi="仿宋" w:eastAsia="仿宋" w:cs="仿宋"/>
          <w:sz w:val="32"/>
          <w:szCs w:val="32"/>
          <w:lang w:eastAsia="zh-CN"/>
        </w:rPr>
        <w:t>县</w:t>
      </w:r>
      <w:r>
        <w:rPr>
          <w:rFonts w:hint="eastAsia" w:ascii="仿宋" w:hAnsi="仿宋" w:eastAsia="仿宋" w:cs="仿宋"/>
          <w:sz w:val="32"/>
          <w:szCs w:val="32"/>
        </w:rPr>
        <w:t>人民参与和促进法治建设；指导全</w:t>
      </w:r>
      <w:r>
        <w:rPr>
          <w:rFonts w:hint="eastAsia" w:ascii="仿宋" w:hAnsi="仿宋" w:eastAsia="仿宋" w:cs="仿宋"/>
          <w:sz w:val="32"/>
          <w:szCs w:val="32"/>
          <w:lang w:eastAsia="zh-CN"/>
        </w:rPr>
        <w:t>县</w:t>
      </w:r>
      <w:r>
        <w:rPr>
          <w:rFonts w:hint="eastAsia" w:ascii="仿宋" w:hAnsi="仿宋" w:eastAsia="仿宋" w:cs="仿宋"/>
          <w:sz w:val="32"/>
          <w:szCs w:val="32"/>
        </w:rPr>
        <w:t>调解工作；负责全</w:t>
      </w:r>
      <w:r>
        <w:rPr>
          <w:rFonts w:hint="eastAsia" w:ascii="仿宋" w:hAnsi="仿宋" w:eastAsia="仿宋" w:cs="仿宋"/>
          <w:sz w:val="32"/>
          <w:szCs w:val="32"/>
          <w:lang w:eastAsia="zh-CN"/>
        </w:rPr>
        <w:t>县</w:t>
      </w:r>
      <w:r>
        <w:rPr>
          <w:rFonts w:hint="eastAsia" w:ascii="仿宋" w:hAnsi="仿宋" w:eastAsia="仿宋" w:cs="仿宋"/>
          <w:sz w:val="32"/>
          <w:szCs w:val="32"/>
        </w:rPr>
        <w:t>人民陪审员、人民监督员选任管理工作；指导全</w:t>
      </w:r>
      <w:r>
        <w:rPr>
          <w:rFonts w:hint="eastAsia" w:ascii="仿宋" w:hAnsi="仿宋" w:eastAsia="仿宋" w:cs="仿宋"/>
          <w:sz w:val="32"/>
          <w:szCs w:val="32"/>
          <w:lang w:eastAsia="zh-CN"/>
        </w:rPr>
        <w:t>县</w:t>
      </w:r>
      <w:r>
        <w:rPr>
          <w:rFonts w:hint="eastAsia" w:ascii="仿宋" w:hAnsi="仿宋" w:eastAsia="仿宋" w:cs="仿宋"/>
          <w:sz w:val="32"/>
          <w:szCs w:val="32"/>
        </w:rPr>
        <w:t>司法所建设。</w:t>
      </w:r>
    </w:p>
    <w:p>
      <w:pPr>
        <w:widowControl w:val="0"/>
        <w:numPr>
          <w:ilvl w:val="0"/>
          <w:numId w:val="1"/>
        </w:numPr>
        <w:wordWrap/>
        <w:adjustRightInd/>
        <w:snapToGrid/>
        <w:spacing w:line="240" w:lineRule="auto"/>
        <w:ind w:left="0" w:leftChars="0" w:right="0" w:firstLine="640"/>
        <w:jc w:val="left"/>
        <w:textAlignment w:val="auto"/>
        <w:outlineLvl w:val="9"/>
        <w:rPr>
          <w:rFonts w:ascii="仿宋" w:hAnsi="仿宋" w:eastAsia="仿宋" w:cs="仿宋"/>
          <w:sz w:val="32"/>
          <w:szCs w:val="32"/>
        </w:rPr>
      </w:pPr>
      <w:r>
        <w:rPr>
          <w:rFonts w:hint="eastAsia" w:ascii="仿宋" w:hAnsi="仿宋" w:eastAsia="仿宋" w:cs="仿宋"/>
          <w:sz w:val="32"/>
          <w:szCs w:val="32"/>
        </w:rPr>
        <w:t>负责全</w:t>
      </w:r>
      <w:r>
        <w:rPr>
          <w:rFonts w:hint="eastAsia" w:ascii="仿宋" w:hAnsi="仿宋" w:eastAsia="仿宋" w:cs="仿宋"/>
          <w:sz w:val="32"/>
          <w:szCs w:val="32"/>
          <w:lang w:eastAsia="zh-CN"/>
        </w:rPr>
        <w:t>县</w:t>
      </w:r>
      <w:r>
        <w:rPr>
          <w:rFonts w:hint="eastAsia" w:ascii="仿宋" w:hAnsi="仿宋" w:eastAsia="仿宋" w:cs="仿宋"/>
          <w:sz w:val="32"/>
          <w:szCs w:val="32"/>
        </w:rPr>
        <w:t>社区矫正工作；负责全</w:t>
      </w:r>
      <w:r>
        <w:rPr>
          <w:rFonts w:hint="eastAsia" w:ascii="仿宋" w:hAnsi="仿宋" w:eastAsia="仿宋" w:cs="仿宋"/>
          <w:sz w:val="32"/>
          <w:szCs w:val="32"/>
          <w:lang w:eastAsia="zh-CN"/>
        </w:rPr>
        <w:t>县</w:t>
      </w:r>
      <w:r>
        <w:rPr>
          <w:rFonts w:hint="eastAsia" w:ascii="仿宋" w:hAnsi="仿宋" w:eastAsia="仿宋" w:cs="仿宋"/>
          <w:sz w:val="32"/>
          <w:szCs w:val="32"/>
        </w:rPr>
        <w:t>刑满释放人员帮教安置工作。</w:t>
      </w:r>
    </w:p>
    <w:p>
      <w:pPr>
        <w:widowControl w:val="0"/>
        <w:numPr>
          <w:ilvl w:val="0"/>
          <w:numId w:val="1"/>
        </w:numPr>
        <w:wordWrap/>
        <w:adjustRightInd/>
        <w:snapToGrid/>
        <w:spacing w:line="240" w:lineRule="auto"/>
        <w:ind w:left="0" w:leftChars="0" w:right="0" w:firstLine="640"/>
        <w:jc w:val="both"/>
        <w:textAlignment w:val="auto"/>
        <w:outlineLvl w:val="9"/>
        <w:rPr>
          <w:rFonts w:ascii="仿宋" w:hAnsi="仿宋" w:eastAsia="仿宋" w:cs="仿宋"/>
          <w:sz w:val="32"/>
          <w:szCs w:val="32"/>
        </w:rPr>
      </w:pPr>
      <w:r>
        <w:rPr>
          <w:rFonts w:hint="eastAsia" w:ascii="仿宋" w:hAnsi="仿宋" w:eastAsia="仿宋" w:cs="仿宋"/>
          <w:sz w:val="32"/>
          <w:szCs w:val="32"/>
        </w:rPr>
        <w:t>负责制定全</w:t>
      </w:r>
      <w:r>
        <w:rPr>
          <w:rFonts w:hint="eastAsia" w:ascii="仿宋" w:hAnsi="仿宋" w:eastAsia="仿宋" w:cs="仿宋"/>
          <w:sz w:val="32"/>
          <w:szCs w:val="32"/>
          <w:lang w:eastAsia="zh-CN"/>
        </w:rPr>
        <w:t>县</w:t>
      </w:r>
      <w:r>
        <w:rPr>
          <w:rFonts w:hint="eastAsia" w:ascii="仿宋" w:hAnsi="仿宋" w:eastAsia="仿宋" w:cs="仿宋"/>
          <w:sz w:val="32"/>
          <w:szCs w:val="32"/>
        </w:rPr>
        <w:t>公共法律服务体系建设规划并指导实施，统筹和布局全</w:t>
      </w:r>
      <w:r>
        <w:rPr>
          <w:rFonts w:hint="eastAsia" w:ascii="仿宋" w:hAnsi="仿宋" w:eastAsia="仿宋" w:cs="仿宋"/>
          <w:sz w:val="32"/>
          <w:szCs w:val="32"/>
          <w:lang w:eastAsia="zh-CN"/>
        </w:rPr>
        <w:t>县</w:t>
      </w:r>
      <w:r>
        <w:rPr>
          <w:rFonts w:hint="eastAsia" w:ascii="仿宋" w:hAnsi="仿宋" w:eastAsia="仿宋" w:cs="仿宋"/>
          <w:sz w:val="32"/>
          <w:szCs w:val="32"/>
        </w:rPr>
        <w:t>法律服务资源。负责全</w:t>
      </w:r>
      <w:r>
        <w:rPr>
          <w:rFonts w:hint="eastAsia" w:ascii="仿宋" w:hAnsi="仿宋" w:eastAsia="仿宋" w:cs="仿宋"/>
          <w:sz w:val="32"/>
          <w:szCs w:val="32"/>
          <w:lang w:eastAsia="zh-CN"/>
        </w:rPr>
        <w:t>县</w:t>
      </w:r>
      <w:r>
        <w:rPr>
          <w:rFonts w:hint="eastAsia" w:ascii="仿宋" w:hAnsi="仿宋" w:eastAsia="仿宋" w:cs="仿宋"/>
          <w:sz w:val="32"/>
          <w:szCs w:val="32"/>
        </w:rPr>
        <w:t>律师、公证、法律援助、司法鉴定和基层法律服务管理工作。</w:t>
      </w:r>
    </w:p>
    <w:p>
      <w:pPr>
        <w:widowControl w:val="0"/>
        <w:numPr>
          <w:ilvl w:val="0"/>
          <w:numId w:val="1"/>
        </w:numPr>
        <w:wordWrap/>
        <w:adjustRightInd/>
        <w:snapToGrid/>
        <w:spacing w:line="240" w:lineRule="auto"/>
        <w:ind w:left="0" w:leftChars="0" w:right="0" w:firstLine="640"/>
        <w:jc w:val="left"/>
        <w:textAlignment w:val="auto"/>
        <w:outlineLvl w:val="9"/>
        <w:rPr>
          <w:rFonts w:ascii="仿宋" w:hAnsi="仿宋" w:eastAsia="仿宋" w:cs="仿宋"/>
          <w:b/>
          <w:bCs/>
          <w:sz w:val="32"/>
          <w:szCs w:val="32"/>
        </w:rPr>
      </w:pPr>
      <w:r>
        <w:rPr>
          <w:rFonts w:hint="eastAsia" w:ascii="仿宋" w:hAnsi="仿宋" w:eastAsia="仿宋" w:cs="仿宋"/>
          <w:sz w:val="32"/>
          <w:szCs w:val="32"/>
        </w:rPr>
        <w:t>规划、协调、指导全</w:t>
      </w:r>
      <w:r>
        <w:rPr>
          <w:rFonts w:hint="eastAsia" w:ascii="仿宋" w:hAnsi="仿宋" w:eastAsia="仿宋" w:cs="仿宋"/>
          <w:sz w:val="32"/>
          <w:szCs w:val="32"/>
          <w:lang w:eastAsia="zh-CN"/>
        </w:rPr>
        <w:t>县</w:t>
      </w:r>
      <w:r>
        <w:rPr>
          <w:rFonts w:hint="eastAsia" w:ascii="仿宋" w:hAnsi="仿宋" w:eastAsia="仿宋" w:cs="仿宋"/>
          <w:sz w:val="32"/>
          <w:szCs w:val="32"/>
        </w:rPr>
        <w:t>法治人才队伍建设相关工作。指导、监督本系统队伍建设</w:t>
      </w:r>
      <w:r>
        <w:rPr>
          <w:rFonts w:hint="eastAsia" w:ascii="仿宋" w:hAnsi="仿宋" w:eastAsia="仿宋" w:cs="仿宋"/>
          <w:sz w:val="32"/>
          <w:szCs w:val="32"/>
          <w:lang w:eastAsia="zh-CN"/>
        </w:rPr>
        <w:t>和</w:t>
      </w:r>
      <w:r>
        <w:rPr>
          <w:rFonts w:hint="eastAsia" w:ascii="仿宋_GB2312" w:hAnsi="仿宋" w:eastAsia="仿宋_GB2312" w:cs="仿宋_GB2312"/>
          <w:kern w:val="0"/>
          <w:sz w:val="30"/>
          <w:szCs w:val="30"/>
        </w:rPr>
        <w:t>基础设施建设</w:t>
      </w:r>
      <w:r>
        <w:rPr>
          <w:rFonts w:hint="eastAsia" w:ascii="仿宋" w:hAnsi="仿宋" w:eastAsia="仿宋" w:cs="仿宋"/>
          <w:sz w:val="32"/>
          <w:szCs w:val="32"/>
        </w:rPr>
        <w:t>。</w:t>
      </w:r>
    </w:p>
    <w:p>
      <w:pPr>
        <w:widowControl w:val="0"/>
        <w:numPr>
          <w:ilvl w:val="0"/>
          <w:numId w:val="1"/>
        </w:numPr>
        <w:wordWrap/>
        <w:adjustRightInd/>
        <w:snapToGrid/>
        <w:spacing w:line="240" w:lineRule="auto"/>
        <w:ind w:left="0" w:leftChars="0" w:right="0" w:firstLine="640"/>
        <w:jc w:val="left"/>
        <w:textAlignment w:val="auto"/>
        <w:outlineLvl w:val="9"/>
        <w:rPr>
          <w:rFonts w:ascii="仿宋" w:hAnsi="仿宋" w:eastAsia="仿宋" w:cs="仿宋"/>
          <w:b/>
          <w:bCs/>
          <w:sz w:val="32"/>
          <w:szCs w:val="32"/>
        </w:rPr>
      </w:pPr>
      <w:r>
        <w:rPr>
          <w:rFonts w:hint="eastAsia" w:ascii="仿宋_GB2312" w:hAnsi="仿宋" w:eastAsia="仿宋_GB2312" w:cs="仿宋_GB2312"/>
          <w:kern w:val="0"/>
          <w:sz w:val="30"/>
          <w:szCs w:val="30"/>
        </w:rPr>
        <w:t>承办县委、县政府及上级业务部门交办的其他工作。</w:t>
      </w:r>
    </w:p>
    <w:p>
      <w:pPr>
        <w:pStyle w:val="5"/>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二、部门决算单位构成</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2017 年度，纳入本部门决算汇编范围的独立核算单位（以下简称“单位”）共1个，无极县司法局，单位基本性质为行政单位，预算管理级次为县级预算单位，执行行政单位会计制度，较上年无增减变化，</w:t>
      </w:r>
      <w:r>
        <w:rPr>
          <w:rFonts w:ascii="仿宋_GB2312" w:hAnsi="Cambria" w:eastAsia="仿宋_GB2312" w:cs="ArialUnicodeMS"/>
          <w:kern w:val="0"/>
          <w:sz w:val="32"/>
          <w:szCs w:val="32"/>
        </w:rPr>
        <w:t xml:space="preserve"> </w:t>
      </w: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widowControl/>
        <w:spacing w:after="0" w:line="560" w:lineRule="exact"/>
        <w:ind w:firstLine="640" w:firstLineChars="200"/>
        <w:jc w:val="center"/>
        <w:rPr>
          <w:rFonts w:ascii="宋体" w:hAnsi="宋体" w:eastAsia="宋体" w:cs="MS-UIGothic,Bold"/>
          <w:bCs/>
          <w:kern w:val="0"/>
          <w:sz w:val="32"/>
          <w:szCs w:val="32"/>
        </w:rPr>
      </w:pPr>
      <w:r>
        <w:rPr>
          <w:rFonts w:hint="eastAsia" w:ascii="宋体" w:hAnsi="宋体" w:eastAsia="宋体" w:cs="MS-UIGothic,Bold"/>
          <w:bCs/>
          <w:kern w:val="0"/>
          <w:sz w:val="32"/>
          <w:szCs w:val="32"/>
        </w:rPr>
        <w:t>（详见附表）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after="0" w:line="560" w:lineRule="exact"/>
        <w:ind w:firstLine="883" w:firstLineChars="200"/>
        <w:jc w:val="left"/>
        <w:rPr>
          <w:rFonts w:ascii="宋体" w:hAnsi="宋体" w:eastAsia="宋体" w:cs="MS-UIGothic,Bold"/>
          <w:b/>
          <w:bCs/>
          <w:kern w:val="0"/>
          <w:sz w:val="44"/>
          <w:szCs w:val="44"/>
        </w:rPr>
      </w:pPr>
    </w:p>
    <w:p>
      <w:pPr>
        <w:widowControl/>
        <w:spacing w:after="0" w:line="560" w:lineRule="exact"/>
        <w:ind w:firstLine="883" w:firstLineChars="200"/>
        <w:jc w:val="left"/>
        <w:rPr>
          <w:rFonts w:ascii="宋体" w:hAnsi="宋体" w:eastAsia="宋体" w:cs="MS-UIGothic,Bold"/>
          <w:b/>
          <w:bCs/>
          <w:kern w:val="0"/>
          <w:sz w:val="44"/>
          <w:szCs w:val="44"/>
        </w:rPr>
      </w:pPr>
    </w:p>
    <w:p>
      <w:pPr>
        <w:widowControl/>
        <w:spacing w:after="0" w:line="560" w:lineRule="exact"/>
        <w:ind w:firstLine="420" w:firstLineChars="200"/>
        <w:jc w:val="left"/>
        <w:sectPr>
          <w:pgSz w:w="11906" w:h="16838"/>
          <w:pgMar w:top="2098" w:right="1474" w:bottom="1985" w:left="1588" w:header="851" w:footer="992" w:gutter="0"/>
          <w:cols w:space="720" w:num="1"/>
          <w:docGrid w:type="lines" w:linePitch="312"/>
        </w:sectPr>
      </w:pPr>
    </w:p>
    <w:p>
      <w:pPr>
        <w:autoSpaceDE w:val="0"/>
        <w:autoSpaceDN w:val="0"/>
        <w:adjustRightInd w:val="0"/>
        <w:spacing w:line="560" w:lineRule="exact"/>
        <w:jc w:val="left"/>
        <w:rPr>
          <w:rFonts w:ascii="宋体" w:hAnsi="宋体" w:eastAsia="宋体" w:cs="黑体"/>
          <w:b/>
          <w:color w:val="FF0000"/>
          <w:kern w:val="0"/>
          <w:sz w:val="44"/>
          <w:szCs w:val="44"/>
        </w:rPr>
      </w:pPr>
    </w:p>
    <w:p>
      <w:pPr>
        <w:pStyle w:val="2"/>
        <w:spacing w:line="560" w:lineRule="exact"/>
        <w:jc w:val="center"/>
        <w:rPr>
          <w:rFonts w:ascii="宋体" w:hAnsi="宋体" w:eastAsia="宋体" w:cs="ArialUnicodeMS"/>
          <w:color w:val="000000"/>
          <w:kern w:val="0"/>
        </w:rPr>
      </w:pPr>
      <w:r>
        <w:rPr>
          <w:rFonts w:hint="eastAsia" w:ascii="宋体" w:hAnsi="宋体" w:eastAsia="宋体" w:cs="ArialUnicodeMS"/>
          <w:color w:val="000000"/>
          <w:kern w:val="0"/>
        </w:rPr>
        <w:t>第三部分</w:t>
      </w:r>
      <w:r>
        <w:rPr>
          <w:rFonts w:ascii="宋体" w:hAnsi="宋体" w:eastAsia="宋体" w:cs="ArialUnicodeMS"/>
          <w:color w:val="000000"/>
          <w:kern w:val="0"/>
        </w:rPr>
        <w:t xml:space="preserve"> </w:t>
      </w:r>
      <w:r>
        <w:rPr>
          <w:rFonts w:hint="eastAsia" w:ascii="宋体" w:hAnsi="宋体" w:eastAsia="宋体" w:cs="ArialUnicodeMS"/>
          <w:color w:val="000000"/>
          <w:kern w:val="0"/>
        </w:rPr>
        <w:t>部门决算情况说明</w:t>
      </w:r>
    </w:p>
    <w:p>
      <w:pPr>
        <w:pStyle w:val="5"/>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cs="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103.31万元，本年收入592.48万元；本年支出631.86万元、年末结转和结余63.94万元。与2016年度决算相比，本年收入增加81.57万元，增长16%，主要是人员工资调整变化；本年支出增加156.37万元，增长33%，主要是法制宣传次数增多；法律援助办案数量增加以及社区矫正人员数量比去年增加，导致开展业务经费增加。</w:t>
      </w:r>
    </w:p>
    <w:p>
      <w:pPr>
        <w:pStyle w:val="5"/>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本部门2017年度本年收入合计592.48万元，其中：财政拨款收入592.48万元；事业收入0万元；经营收入0万元；其他收入0万元。</w:t>
      </w:r>
      <w:r>
        <w:rPr>
          <w:rFonts w:hint="eastAsia" w:ascii="仿宋_GB2312" w:eastAsia="仿宋_GB2312" w:cs="DengXian-Regular"/>
          <w:sz w:val="32"/>
          <w:szCs w:val="32"/>
          <w:lang w:val="en-US" w:eastAsia="zh-CN"/>
        </w:rPr>
        <w:t>如图所示：</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rPr>
          <w:rFonts w:ascii="Times New Roman" w:hAnsi="Times New Roman" w:eastAsia="宋体" w:cs="Times New Roman"/>
          <w:kern w:val="2"/>
          <w:sz w:val="21"/>
          <w:szCs w:val="24"/>
          <w:lang w:val="en-US" w:eastAsia="zh-CN" w:bidi="ar-SA"/>
        </w:rPr>
        <w:pict>
          <v:shape id="图片框 1025" o:spid="_x0000_s1025" type="#_x0000_t75" style="height:201.2pt;width:442.1pt;rotation:0f;" o:ole="f" fillcolor="#FFFFFF" filled="f" o:preferrelative="t" stroked="f" coordorigin="0,0" coordsize="21600,21600">
            <v:fill on="f" color2="#FFFFFF" focus="0%"/>
            <v:imagedata gain="65536f" blacklevel="0f" gamma="0" o:title="" r:id="rId5"/>
            <o:lock v:ext="edit" position="f" selection="f" grouping="f" rotation="f" cropping="f" text="f" aspectratio="t"/>
            <w10:wrap type="none"/>
            <w10:anchorlock/>
          </v:shape>
        </w:pict>
      </w:r>
    </w:p>
    <w:p>
      <w:pPr>
        <w:pStyle w:val="5"/>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本部门2017年度本年支出合计631.86万元，其中：基本支出418.99万元，占66%；项目支出212.88万元，占34%；经营支出0万元</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如图所示：</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rPr>
          <w:rFonts w:ascii="Times New Roman" w:hAnsi="Times New Roman" w:eastAsia="宋体" w:cs="Times New Roman"/>
          <w:kern w:val="2"/>
          <w:sz w:val="21"/>
          <w:szCs w:val="24"/>
          <w:lang w:val="en-US" w:eastAsia="zh-CN" w:bidi="ar-SA"/>
        </w:rPr>
        <w:pict>
          <v:shape id="图片框 1026" o:spid="_x0000_s1026" type="#_x0000_t75" style="height:201.2pt;width:442.1pt;rotation:0f;" o:ole="f" fillcolor="#FFFFFF" filled="f" o:preferrelative="t" stroked="f" coordorigin="0,0" coordsize="21600,21600">
            <v:fill on="f" color2="#FFFFFF" focus="0%"/>
            <v:imagedata gain="65536f" blacklevel="0f" gamma="0" o:title="" r:id="rId6"/>
            <o:lock v:ext="edit" position="f" selection="f" grouping="f" rotation="f" cropping="f" text="f" aspectratio="t"/>
            <w10:wrap type="none"/>
            <w10:anchorlock/>
          </v:shape>
        </w:pict>
      </w:r>
    </w:p>
    <w:p>
      <w:pPr>
        <w:pStyle w:val="5"/>
        <w:spacing w:before="0" w:after="0" w:line="560" w:lineRule="exact"/>
        <w:rPr>
          <w:rFonts w:ascii="黑体" w:eastAsia="黑体"/>
        </w:rPr>
      </w:pPr>
      <w:r>
        <w:rPr>
          <w:rFonts w:hint="eastAsia" w:ascii="黑体" w:eastAsia="黑体"/>
          <w:lang w:val="en-US" w:eastAsia="zh-CN"/>
        </w:rPr>
        <w:t xml:space="preserve">     </w:t>
      </w:r>
      <w:r>
        <w:rPr>
          <w:rFonts w:hint="eastAsia" w:ascii="黑体" w:eastAsia="黑体"/>
        </w:rPr>
        <w:t>四、</w:t>
      </w:r>
      <w:r>
        <w:rPr>
          <w:rFonts w:hint="eastAsia" w:ascii="黑体" w:hAnsi="Cambria" w:eastAsia="黑体" w:cs="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103.31万元、本年收入592.48万元；本年支出631.86万元、年末结转和结余63.94万元。与2016年度决算相比，一般公共预算财政拨款本年收入增加81.57万元，增长16%，主要是人员工资调整变化；本年支出增加156.37万元，增长33%，主要是法制宣传次数增多；法律援助办案数量增加；社区矫正人员数量比去年增加，导致开展业务经费增加。</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增加120.58万元，增长26%，主要是人员工资调整变化；本年支出增加159.96万元，增长34%，主要是法制宣传次数增多；法律援助办案数量增加；社区矫正人员数量比去年增加，导致开展业务经费支出增加。</w:t>
      </w:r>
    </w:p>
    <w:p>
      <w:pPr>
        <w:pStyle w:val="5"/>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0.77万元，较年初预算减少3.23万元，降低81%，主要是执法执勤车辆费用记入其他交通费；较2016年度决算减少4.34万元，降低85%，主要是执法执勤车辆费用记入其他交通费。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本部门2017年度参加其他单位组织的因公出国（境）团组0个、无本单位组织的出国（境）团组。</w:t>
      </w:r>
      <w:r>
        <w:rPr>
          <w:rFonts w:hint="eastAsia" w:ascii="仿宋_GB2312" w:eastAsia="仿宋_GB2312" w:cs="DengXian-Regular"/>
          <w:sz w:val="32"/>
          <w:szCs w:val="32"/>
          <w:lang w:val="en-US" w:eastAsia="zh-CN"/>
        </w:rPr>
        <w:t>本年度未发生“因公出国经费”支出，</w:t>
      </w:r>
      <w:r>
        <w:rPr>
          <w:rFonts w:hint="eastAsia" w:ascii="仿宋_GB2312" w:eastAsia="仿宋_GB2312" w:cs="DengXian-Regular"/>
          <w:color w:val="000000"/>
          <w:sz w:val="32"/>
          <w:szCs w:val="32"/>
        </w:rPr>
        <w:t>较年初预算无增减变化，</w:t>
      </w:r>
      <w:r>
        <w:rPr>
          <w:rFonts w:hint="eastAsia" w:ascii="仿宋_GB2312" w:eastAsia="仿宋_GB2312" w:cs="DengXian-Regular"/>
          <w:sz w:val="32"/>
          <w:szCs w:val="32"/>
          <w:lang w:val="en-US" w:eastAsia="zh-CN"/>
        </w:rPr>
        <w:t>较2016年度决算无增减变化。</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（二）公务用车购置及运行维护费支出0.7万元。</w:t>
      </w:r>
      <w:r>
        <w:rPr>
          <w:rFonts w:hint="eastAsia" w:ascii="仿宋_GB2312" w:eastAsia="仿宋_GB2312" w:cs="DengXian-Regular"/>
          <w:sz w:val="32"/>
          <w:szCs w:val="32"/>
        </w:rPr>
        <w:t>本部门2017年度公务用车购置及运行维护费较年初预算减少2.3万元，降低77%,主要是执法执勤车辆费用记入其他交通费；较2016年度决算减少4.3万元，降低86%,主要是执法执勤车辆费用记入其他交通费。</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本部门2017年度公务用车购置0辆，</w:t>
      </w:r>
      <w:r>
        <w:rPr>
          <w:rFonts w:hint="eastAsia" w:ascii="仿宋_GB2312" w:eastAsia="仿宋_GB2312" w:cs="DengXian-Regular"/>
          <w:color w:val="000000"/>
          <w:sz w:val="32"/>
          <w:szCs w:val="32"/>
        </w:rPr>
        <w:t>未发生“公务用车购置”经费支出，较年初预算无增减变化，较2016年度决算无增减变化。</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5辆。公车运行维护费支出较年初预算减少2.3万元，降低77%,主要是执法执勤车辆费用记入其他交通费；较2016年度决算减少4.3万元，降低86%，主要是执法执勤车辆费用记入其他交通费。</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（三）公务接待费支出0.07万元。</w:t>
      </w:r>
      <w:r>
        <w:rPr>
          <w:rFonts w:hint="eastAsia" w:ascii="仿宋_GB2312" w:eastAsia="仿宋_GB2312" w:cs="DengXian-Regular"/>
          <w:sz w:val="32"/>
          <w:szCs w:val="32"/>
        </w:rPr>
        <w:t>本部门2017年度公务接待共2批次、12人次。公务接待费支出较年初预算减少0.93万元，降低93%,主要是实行差旅费补贴，接待次数减少；较2016年度决算减少0.04万元，降低36%,主要是实行差旅费补贴，接待次数减少。</w:t>
      </w:r>
    </w:p>
    <w:p>
      <w:pPr>
        <w:pStyle w:val="5"/>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cs="黑体"/>
          <w:kern w:val="0"/>
        </w:rPr>
        <w:t>管理</w:t>
      </w:r>
      <w:r>
        <w:rPr>
          <w:rFonts w:hint="eastAsia" w:ascii="黑体" w:eastAsia="黑体" w:cs="Times New Roman"/>
        </w:rPr>
        <w:t>工作开展情况说明</w:t>
      </w:r>
    </w:p>
    <w:p>
      <w:pPr>
        <w:pStyle w:val="5"/>
        <w:spacing w:before="0" w:after="0" w:line="240" w:lineRule="auto"/>
        <w:ind w:firstLine="640" w:firstLineChars="200"/>
        <w:rPr>
          <w:rFonts w:hint="eastAsia" w:ascii="仿宋_GB2312" w:eastAsia="仿宋_GB2312" w:cs="DengXian-Regular"/>
          <w:b w:val="0"/>
          <w:bCs w:val="0"/>
          <w:color w:val="FF0000"/>
          <w:sz w:val="32"/>
          <w:szCs w:val="32"/>
          <w:highlight w:val="none"/>
          <w:shd w:val="clear" w:color="auto" w:fill="auto"/>
          <w:lang w:val="en-US" w:eastAsia="zh-CN"/>
        </w:rPr>
      </w:pPr>
      <w:r>
        <w:rPr>
          <w:rFonts w:hint="eastAsia" w:ascii="仿宋_GB2312" w:eastAsia="仿宋_GB2312" w:cs="DengXian-Regular"/>
          <w:b w:val="0"/>
          <w:bCs w:val="0"/>
          <w:sz w:val="32"/>
          <w:szCs w:val="32"/>
          <w:highlight w:val="none"/>
          <w:shd w:val="clear" w:color="auto" w:fill="auto"/>
        </w:rPr>
        <w:t>（一）绩效管理工作开展情况</w:t>
      </w:r>
      <w:r>
        <w:rPr>
          <w:rFonts w:hint="eastAsia" w:ascii="仿宋_GB2312" w:eastAsia="仿宋_GB2312" w:cs="DengXian-Regular"/>
          <w:b w:val="0"/>
          <w:bCs w:val="0"/>
          <w:sz w:val="32"/>
          <w:szCs w:val="32"/>
          <w:highlight w:val="none"/>
          <w:shd w:val="clear" w:color="auto" w:fill="auto"/>
          <w:lang w:val="en-US" w:eastAsia="zh-CN"/>
        </w:rPr>
        <w:t>。</w:t>
      </w:r>
      <w:r>
        <w:rPr>
          <w:rFonts w:hint="eastAsia" w:ascii="仿宋_GB2312" w:eastAsia="仿宋_GB2312" w:cs="DengXian-Regular"/>
          <w:b w:val="0"/>
          <w:bCs w:val="0"/>
          <w:sz w:val="32"/>
          <w:szCs w:val="32"/>
          <w:highlight w:val="none"/>
          <w:shd w:val="clear" w:color="auto" w:fill="auto"/>
        </w:rPr>
        <w:t>根据绩效预算管理改革督察要求，本单位认真开展了预算绩效管理改革开展情况自查，对部门全面规范绩效预算编制、严格预算执行管理、推进绩效评价工作、推进预决算信息公开等方面进行了自评，考核结果</w:t>
      </w:r>
      <w:r>
        <w:rPr>
          <w:rFonts w:hint="eastAsia" w:ascii="仿宋_GB2312" w:eastAsia="仿宋_GB2312" w:cs="DengXian-Regular"/>
          <w:b w:val="0"/>
          <w:bCs w:val="0"/>
          <w:sz w:val="32"/>
          <w:szCs w:val="32"/>
          <w:highlight w:val="none"/>
          <w:shd w:val="clear" w:color="auto" w:fill="auto"/>
          <w:lang w:eastAsia="zh-CN"/>
        </w:rPr>
        <w:t>为良好</w:t>
      </w:r>
      <w:r>
        <w:rPr>
          <w:rFonts w:hint="eastAsia" w:ascii="仿宋_GB2312" w:eastAsia="仿宋_GB2312" w:cs="DengXian-Regular"/>
          <w:b w:val="0"/>
          <w:bCs w:val="0"/>
          <w:sz w:val="32"/>
          <w:szCs w:val="32"/>
          <w:highlight w:val="none"/>
          <w:shd w:val="clear" w:color="auto" w:fill="auto"/>
          <w:lang w:val="en-US" w:eastAsia="zh-CN"/>
        </w:rPr>
        <w:t>.</w:t>
      </w:r>
    </w:p>
    <w:p>
      <w:pPr>
        <w:adjustRightInd w:val="0"/>
        <w:snapToGrid w:val="0"/>
        <w:spacing w:after="0" w:line="500" w:lineRule="exact"/>
        <w:ind w:firstLine="640" w:firstLineChars="200"/>
        <w:rPr>
          <w:rFonts w:ascii="仿宋_GB2312" w:eastAsia="仿宋_GB2312" w:cs="DengXian-Regular"/>
          <w:sz w:val="32"/>
          <w:szCs w:val="32"/>
          <w:highlight w:val="none"/>
          <w:shd w:val="clear" w:color="auto" w:fill="auto"/>
        </w:rPr>
      </w:pPr>
      <w:r>
        <w:rPr>
          <w:rFonts w:hint="eastAsia" w:ascii="仿宋_GB2312" w:eastAsia="仿宋_GB2312" w:cs="DengXian-Regular"/>
          <w:sz w:val="32"/>
          <w:szCs w:val="32"/>
          <w:highlight w:val="none"/>
          <w:shd w:val="clear" w:color="auto" w:fill="auto"/>
        </w:rPr>
        <w:t>（二）预算项目绩效评价开展情况</w:t>
      </w:r>
      <w:r>
        <w:rPr>
          <w:rFonts w:hint="eastAsia" w:ascii="仿宋_GB2312" w:eastAsia="仿宋_GB2312" w:cs="DengXian-Regular"/>
          <w:sz w:val="32"/>
          <w:szCs w:val="32"/>
          <w:highlight w:val="none"/>
          <w:shd w:val="clear" w:color="auto" w:fill="auto"/>
          <w:lang w:val="en-US" w:eastAsia="zh-CN"/>
        </w:rPr>
        <w:t>.</w:t>
      </w:r>
      <w:r>
        <w:rPr>
          <w:rFonts w:hint="eastAsia" w:ascii="仿宋_GB2312" w:eastAsia="仿宋_GB2312" w:cs="DengXian-Regular"/>
          <w:sz w:val="32"/>
          <w:szCs w:val="32"/>
          <w:highlight w:val="none"/>
          <w:shd w:val="clear" w:color="auto" w:fill="auto"/>
        </w:rPr>
        <w:t>根据预算绩效管理要求，本单位组织对2017年度一般公共预算项目支出全面开展绩效自评，涉及</w:t>
      </w:r>
      <w:r>
        <w:rPr>
          <w:rFonts w:hint="eastAsia" w:ascii="仿宋_GB2312" w:eastAsia="仿宋_GB2312" w:cs="DengXian-Regular"/>
          <w:sz w:val="32"/>
          <w:szCs w:val="32"/>
          <w:highlight w:val="none"/>
          <w:shd w:val="clear" w:color="auto" w:fill="auto"/>
          <w:lang w:eastAsia="zh-CN"/>
        </w:rPr>
        <w:t>普法、社区矫正、法律援助、基层司法、律师公证、其他司法支出</w:t>
      </w:r>
      <w:r>
        <w:rPr>
          <w:rFonts w:hint="eastAsia" w:ascii="仿宋_GB2312" w:eastAsia="仿宋_GB2312" w:cs="DengXian-Regular"/>
          <w:sz w:val="32"/>
          <w:szCs w:val="32"/>
          <w:highlight w:val="none"/>
          <w:shd w:val="clear" w:color="auto" w:fill="auto"/>
        </w:rPr>
        <w:t>等</w:t>
      </w:r>
      <w:r>
        <w:rPr>
          <w:rFonts w:hint="eastAsia" w:ascii="仿宋_GB2312" w:eastAsia="仿宋_GB2312" w:cs="DengXian-Regular"/>
          <w:sz w:val="32"/>
          <w:szCs w:val="32"/>
          <w:highlight w:val="none"/>
          <w:shd w:val="clear" w:color="auto" w:fill="auto"/>
          <w:lang w:val="en-US" w:eastAsia="zh-CN"/>
        </w:rPr>
        <w:t>6</w:t>
      </w:r>
      <w:r>
        <w:rPr>
          <w:rFonts w:hint="eastAsia" w:ascii="仿宋_GB2312" w:eastAsia="仿宋_GB2312" w:cs="DengXian-Regular"/>
          <w:sz w:val="32"/>
          <w:szCs w:val="32"/>
          <w:highlight w:val="none"/>
          <w:shd w:val="clear" w:color="auto" w:fill="auto"/>
        </w:rPr>
        <w:t>个项目，涉及资金</w:t>
      </w:r>
      <w:r>
        <w:rPr>
          <w:rFonts w:hint="eastAsia" w:ascii="仿宋_GB2312" w:eastAsia="仿宋_GB2312" w:cs="DengXian-Regular"/>
          <w:sz w:val="32"/>
          <w:szCs w:val="32"/>
          <w:highlight w:val="none"/>
          <w:shd w:val="clear" w:color="auto" w:fill="auto"/>
          <w:lang w:val="en-US" w:eastAsia="zh-CN"/>
        </w:rPr>
        <w:t>212.88</w:t>
      </w:r>
      <w:r>
        <w:rPr>
          <w:rFonts w:hint="eastAsia" w:ascii="仿宋_GB2312" w:eastAsia="仿宋_GB2312" w:cs="DengXian-Regular"/>
          <w:sz w:val="32"/>
          <w:szCs w:val="32"/>
          <w:highlight w:val="none"/>
          <w:shd w:val="clear" w:color="auto" w:fill="auto"/>
        </w:rPr>
        <w:t>万元。从评价情况看，评价结果为</w:t>
      </w:r>
      <w:r>
        <w:rPr>
          <w:rFonts w:hint="eastAsia" w:ascii="仿宋_GB2312" w:eastAsia="仿宋_GB2312" w:cs="DengXian-Regular"/>
          <w:sz w:val="32"/>
          <w:szCs w:val="32"/>
          <w:highlight w:val="none"/>
          <w:shd w:val="clear" w:color="auto" w:fill="auto"/>
          <w:lang w:val="en-US" w:eastAsia="zh-CN"/>
        </w:rPr>
        <w:t>6</w:t>
      </w:r>
      <w:r>
        <w:rPr>
          <w:rFonts w:hint="eastAsia" w:ascii="仿宋_GB2312" w:eastAsia="仿宋_GB2312" w:cs="DengXian-Regular"/>
          <w:sz w:val="32"/>
          <w:szCs w:val="32"/>
          <w:highlight w:val="none"/>
          <w:shd w:val="clear" w:color="auto" w:fill="auto"/>
        </w:rPr>
        <w:t>个良好的项目</w:t>
      </w:r>
      <w:r>
        <w:rPr>
          <w:rFonts w:hint="eastAsia" w:ascii="仿宋_GB2312" w:eastAsia="仿宋_GB2312" w:cs="DengXian-Regular"/>
          <w:sz w:val="32"/>
          <w:szCs w:val="32"/>
          <w:highlight w:val="none"/>
          <w:shd w:val="clear" w:color="auto" w:fill="auto"/>
          <w:lang w:val="en-US" w:eastAsia="zh-CN"/>
        </w:rPr>
        <w:t>.</w:t>
      </w:r>
    </w:p>
    <w:p>
      <w:pPr>
        <w:adjustRightInd w:val="0"/>
        <w:snapToGrid w:val="0"/>
        <w:spacing w:after="0" w:line="500" w:lineRule="exact"/>
        <w:ind w:firstLine="640" w:firstLineChars="200"/>
        <w:rPr>
          <w:rFonts w:hint="eastAsia" w:ascii="仿宋_GB2312" w:eastAsia="仿宋_GB2312" w:cs="DengXian-Regular"/>
          <w:sz w:val="32"/>
          <w:szCs w:val="32"/>
          <w:highlight w:val="none"/>
          <w:shd w:val="clear" w:color="auto" w:fill="auto"/>
          <w:lang w:eastAsia="zh-CN"/>
        </w:rPr>
      </w:pPr>
      <w:r>
        <w:rPr>
          <w:rFonts w:hint="eastAsia" w:ascii="仿宋_GB2312" w:eastAsia="仿宋_GB2312" w:cs="DengXian-Regular"/>
          <w:sz w:val="32"/>
          <w:szCs w:val="32"/>
          <w:highlight w:val="none"/>
          <w:shd w:val="clear" w:color="auto" w:fill="auto"/>
        </w:rPr>
        <w:t>（三）预算项目绩效自评选例</w:t>
      </w:r>
      <w:r>
        <w:rPr>
          <w:rFonts w:hint="eastAsia" w:ascii="仿宋_GB2312" w:eastAsia="仿宋_GB2312" w:cs="DengXian-Regular"/>
          <w:sz w:val="32"/>
          <w:szCs w:val="32"/>
          <w:highlight w:val="none"/>
          <w:shd w:val="clear" w:color="auto" w:fill="auto"/>
          <w:lang w:eastAsia="zh-CN"/>
        </w:rPr>
        <w:t>。</w:t>
      </w:r>
      <w:r>
        <w:rPr>
          <w:rFonts w:hint="eastAsia" w:ascii="仿宋_GB2312" w:eastAsia="仿宋_GB2312" w:cs="DengXian-Regular"/>
          <w:sz w:val="32"/>
          <w:szCs w:val="32"/>
          <w:highlight w:val="none"/>
          <w:shd w:val="clear" w:color="auto" w:fill="auto"/>
        </w:rPr>
        <w:t>本单位</w:t>
      </w:r>
      <w:r>
        <w:rPr>
          <w:rFonts w:hint="eastAsia" w:ascii="仿宋_GB2312" w:eastAsia="仿宋_GB2312" w:cs="DengXian-Regular"/>
          <w:sz w:val="32"/>
          <w:szCs w:val="32"/>
          <w:highlight w:val="none"/>
          <w:shd w:val="clear" w:color="auto" w:fill="auto"/>
          <w:lang w:eastAsia="zh-CN"/>
        </w:rPr>
        <w:t>其他司法支出</w:t>
      </w:r>
      <w:r>
        <w:rPr>
          <w:rFonts w:hint="eastAsia" w:ascii="仿宋_GB2312" w:eastAsia="仿宋_GB2312" w:cs="DengXian-Regular"/>
          <w:sz w:val="32"/>
          <w:szCs w:val="32"/>
          <w:highlight w:val="none"/>
          <w:shd w:val="clear" w:color="auto" w:fill="auto"/>
        </w:rPr>
        <w:t>项目绩效自评：根据年初设定的绩效目标，</w:t>
      </w:r>
      <w:r>
        <w:rPr>
          <w:rFonts w:hint="eastAsia" w:ascii="仿宋_GB2312" w:eastAsia="仿宋_GB2312" w:cs="DengXian-Regular"/>
          <w:sz w:val="32"/>
          <w:szCs w:val="32"/>
          <w:highlight w:val="none"/>
          <w:shd w:val="clear" w:color="auto" w:fill="auto"/>
          <w:lang w:eastAsia="zh-CN"/>
        </w:rPr>
        <w:t>其他司法支出</w:t>
      </w:r>
      <w:r>
        <w:rPr>
          <w:rFonts w:hint="eastAsia" w:ascii="仿宋_GB2312" w:eastAsia="仿宋_GB2312" w:cs="DengXian-Regular"/>
          <w:sz w:val="32"/>
          <w:szCs w:val="32"/>
          <w:highlight w:val="none"/>
          <w:shd w:val="clear" w:color="auto" w:fill="auto"/>
        </w:rPr>
        <w:t>项目绩效自评结果为优秀。项目全年预算数为</w:t>
      </w:r>
      <w:r>
        <w:rPr>
          <w:rFonts w:hint="eastAsia" w:ascii="仿宋_GB2312" w:eastAsia="仿宋_GB2312" w:cs="DengXian-Regular"/>
          <w:sz w:val="32"/>
          <w:szCs w:val="32"/>
          <w:highlight w:val="none"/>
          <w:shd w:val="clear" w:color="auto" w:fill="auto"/>
          <w:lang w:val="en-US" w:eastAsia="zh-CN"/>
        </w:rPr>
        <w:t>110.05</w:t>
      </w:r>
      <w:r>
        <w:rPr>
          <w:rFonts w:hint="eastAsia" w:ascii="仿宋_GB2312" w:eastAsia="仿宋_GB2312" w:cs="DengXian-Regular"/>
          <w:sz w:val="32"/>
          <w:szCs w:val="32"/>
          <w:highlight w:val="none"/>
          <w:shd w:val="clear" w:color="auto" w:fill="auto"/>
        </w:rPr>
        <w:t>万元，执行数为</w:t>
      </w:r>
      <w:r>
        <w:rPr>
          <w:rFonts w:hint="eastAsia" w:ascii="仿宋_GB2312" w:eastAsia="仿宋_GB2312" w:cs="DengXian-Regular"/>
          <w:sz w:val="32"/>
          <w:szCs w:val="32"/>
          <w:highlight w:val="none"/>
          <w:shd w:val="clear" w:color="auto" w:fill="auto"/>
          <w:lang w:val="en-US" w:eastAsia="zh-CN"/>
        </w:rPr>
        <w:t>110.05</w:t>
      </w:r>
      <w:r>
        <w:rPr>
          <w:rFonts w:hint="eastAsia" w:ascii="仿宋_GB2312" w:eastAsia="仿宋_GB2312" w:cs="DengXian-Regular"/>
          <w:sz w:val="32"/>
          <w:szCs w:val="32"/>
          <w:highlight w:val="none"/>
          <w:shd w:val="clear" w:color="auto" w:fill="auto"/>
        </w:rPr>
        <w:t>万元，完成预算的</w:t>
      </w:r>
      <w:r>
        <w:rPr>
          <w:rFonts w:hint="eastAsia" w:ascii="仿宋_GB2312" w:eastAsia="仿宋_GB2312" w:cs="DengXian-Regular"/>
          <w:sz w:val="32"/>
          <w:szCs w:val="32"/>
          <w:highlight w:val="none"/>
          <w:shd w:val="clear" w:color="auto" w:fill="auto"/>
          <w:lang w:val="en-US" w:eastAsia="zh-CN"/>
        </w:rPr>
        <w:t>100</w:t>
      </w:r>
      <w:r>
        <w:rPr>
          <w:rFonts w:hint="eastAsia" w:ascii="仿宋_GB2312" w:eastAsia="仿宋_GB2312" w:cs="DengXian-Regular"/>
          <w:sz w:val="32"/>
          <w:szCs w:val="32"/>
          <w:highlight w:val="none"/>
          <w:shd w:val="clear" w:color="auto" w:fill="auto"/>
        </w:rPr>
        <w:t>%。主要产出和效果是</w:t>
      </w:r>
      <w:r>
        <w:rPr>
          <w:rFonts w:hint="eastAsia" w:ascii="仿宋_GB2312" w:eastAsia="仿宋_GB2312" w:cs="DengXian-Regular"/>
          <w:sz w:val="32"/>
          <w:szCs w:val="32"/>
          <w:highlight w:val="none"/>
          <w:shd w:val="clear" w:color="auto" w:fill="auto"/>
          <w:lang w:eastAsia="zh-CN"/>
        </w:rPr>
        <w:t>：普法宣传的形式不断多样化，司法所建设逐渐规范化，对社区矫正人员的监管手段和效果有了很大提高，基层司法行政各项业务水平和质量都得到了不断提升，</w:t>
      </w:r>
    </w:p>
    <w:p>
      <w:pPr>
        <w:pStyle w:val="5"/>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7"/>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本部门2017年度机关运行经费支出35.65万元，比2016年度增加3.49万元，增长11%。主要原因是办公费增加。</w:t>
      </w:r>
    </w:p>
    <w:p>
      <w:pPr>
        <w:pStyle w:val="7"/>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本部门2017年度政府采购支出总额23.8万元，其中：政府采购货物支出0万元、政府采购工程支出0万元、政府采购服务支出23.8万元。</w:t>
      </w:r>
    </w:p>
    <w:p>
      <w:pPr>
        <w:pStyle w:val="7"/>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截至2017年12月31日，本部门共有车辆5辆，其中，一般公务用车1辆、一般执法执勤用车4辆、单位价值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万元以上大型设备0台（套）。</w:t>
      </w:r>
    </w:p>
    <w:p>
      <w:pPr>
        <w:pStyle w:val="7"/>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widowControl/>
        <w:spacing w:line="580" w:lineRule="exact"/>
        <w:ind w:firstLine="640" w:firstLineChars="200"/>
        <w:rPr>
          <w:rFonts w:eastAsia="仿宋_GB2312"/>
          <w:sz w:val="32"/>
          <w:szCs w:val="32"/>
        </w:rPr>
      </w:pPr>
      <w:r>
        <w:rPr>
          <w:rFonts w:hint="eastAsia" w:ascii="仿宋_GB2312" w:eastAsia="仿宋_GB2312" w:cs="DengXian-Regular"/>
          <w:sz w:val="32"/>
          <w:szCs w:val="32"/>
        </w:rPr>
        <w:t>1、本部门2017年度政府性基金预算财政拨款以及国有资本经营预算财政拨款无收支及结转结余情况，</w:t>
      </w:r>
      <w:r>
        <w:rPr>
          <w:rFonts w:eastAsia="仿宋_GB2312"/>
          <w:sz w:val="32"/>
          <w:szCs w:val="32"/>
        </w:rPr>
        <w:t>政府性基金预算财政拨款收入支出决算表</w:t>
      </w:r>
      <w:r>
        <w:rPr>
          <w:rFonts w:hint="eastAsia" w:eastAsia="仿宋_GB2312"/>
          <w:sz w:val="32"/>
          <w:szCs w:val="32"/>
        </w:rPr>
        <w:t>、</w:t>
      </w:r>
      <w:r>
        <w:rPr>
          <w:rFonts w:eastAsia="仿宋_GB2312"/>
          <w:sz w:val="32"/>
          <w:szCs w:val="32"/>
        </w:rPr>
        <w:t>国有资本经营预算财政拨款收入支出决算表</w:t>
      </w:r>
      <w:r>
        <w:rPr>
          <w:rFonts w:hint="eastAsia" w:eastAsia="仿宋_GB2312"/>
          <w:sz w:val="32"/>
          <w:szCs w:val="32"/>
        </w:rPr>
        <w:t>为空，故</w:t>
      </w:r>
      <w:r>
        <w:rPr>
          <w:rFonts w:hint="eastAsia" w:ascii="仿宋_GB2312" w:eastAsia="仿宋_GB2312" w:cs="DengXian-Regular"/>
          <w:sz w:val="32"/>
          <w:szCs w:val="32"/>
        </w:rPr>
        <w:t>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eastAsia="宋体" w:cs="SimSun,Bold"/>
        </w:rPr>
      </w:pPr>
      <w:r>
        <w:rPr>
          <w:rFonts w:hint="eastAsia" w:ascii="宋体" w:hAnsi="宋体" w:eastAsia="宋体" w:cs="SimSun,Bold"/>
        </w:rPr>
        <w:t>第四部分</w:t>
      </w:r>
      <w:r>
        <w:rPr>
          <w:rFonts w:hint="eastAsia" w:ascii="宋体" w:hAnsi="宋体" w:eastAsia="宋体" w:cs="SimSun,Bold"/>
          <w:bCs w:val="0"/>
        </w:rPr>
        <w:t xml:space="preserve"> </w:t>
      </w:r>
      <w:r>
        <w:rPr>
          <w:rFonts w:hint="eastAsia" w:ascii="宋体" w:hAnsi="宋体" w:eastAsia="宋体" w:cs="SimSun,Bold"/>
        </w:rPr>
        <w:t>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Calibri">
    <w:panose1 w:val="020F0502020204030204"/>
    <w:charset w:val="00"/>
    <w:family w:val="auto"/>
    <w:pitch w:val="default"/>
    <w:sig w:usb0="E0002AFF" w:usb1="C0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方正小标宋_GBK">
    <w:altName w:val="宋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auto"/>
    <w:pitch w:val="default"/>
    <w:sig w:usb0="00000001" w:usb1="080E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Palatino Linotype">
    <w:panose1 w:val="02040502050505030304"/>
    <w:charset w:val="00"/>
    <w:family w:val="auto"/>
    <w:pitch w:val="default"/>
    <w:sig w:usb0="E0000287" w:usb1="40000013" w:usb2="00000000" w:usb3="00000000" w:csb0="2000019F" w:csb1="00000000"/>
  </w:font>
  <w:font w:name="Batang">
    <w:altName w:val="Segoe Print"/>
    <w:panose1 w:val="02030600000101010101"/>
    <w:charset w:val="00"/>
    <w:family w:val="auto"/>
    <w:pitch w:val="default"/>
    <w:sig w:usb0="B00002AF" w:usb1="69D77CFB" w:usb2="00000030" w:usb3="00000000" w:csb0="4008009F" w:csb1="DFD70000"/>
  </w:font>
  <w:font w:name="Malgun Gothic">
    <w:panose1 w:val="020B0503020000020004"/>
    <w:charset w:val="00"/>
    <w:family w:val="auto"/>
    <w:pitch w:val="default"/>
    <w:sig w:usb0="9000002F" w:usb1="29D77CFB" w:usb2="00000012" w:usb3="00000000" w:csb0="00080001" w:csb1="00000000"/>
  </w:font>
  <w:font w:name="Malgun Gothic">
    <w:panose1 w:val="020B0503020000020004"/>
    <w:charset w:val="00"/>
    <w:family w:val="auto"/>
    <w:pitch w:val="default"/>
    <w:sig w:usb0="9000002F" w:usb1="29D77CFB" w:usb2="00000012" w:usb3="00000000" w:csb0="00080001" w:csb1="00000000"/>
  </w:font>
  <w:font w:name="Segoe Print">
    <w:panose1 w:val="02000600000000000000"/>
    <w:charset w:val="00"/>
    <w:family w:val="auto"/>
    <w:pitch w:val="default"/>
    <w:sig w:usb0="0000028F" w:usb1="00000000" w:usb2="00000000" w:usb3="00000000" w:csb0="2000009F" w:csb1="4701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0">
    <w:nsid w:val="0000000A"/>
    <w:multiLevelType w:val="singleLevel"/>
    <w:tmpl w:val="0000000A"/>
    <w:lvl w:ilvl="0" w:tentative="1">
      <w:start w:val="4"/>
      <w:numFmt w:val="chineseCounting"/>
      <w:suff w:val="nothing"/>
      <w:lvlText w:val="（%1）"/>
      <w:lvlJc w:val="left"/>
    </w:lvl>
  </w:abstractNum>
  <w:num w:numId="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5">
    <w:name w:val="heading 2"/>
    <w:basedOn w:val="1"/>
    <w:next w:val="1"/>
    <w:link w:val="6"/>
    <w:pPr>
      <w:keepNext/>
      <w:keepLines/>
      <w:spacing w:before="260" w:after="260" w:line="416" w:lineRule="auto"/>
      <w:outlineLvl w:val="1"/>
    </w:pPr>
    <w:rPr>
      <w:rFonts w:ascii="Calibri" w:hAnsi="Calibri" w:eastAsia="宋体" w:cs="黑体"/>
      <w:b/>
      <w:bCs/>
      <w:sz w:val="32"/>
      <w:szCs w:val="32"/>
    </w:rPr>
  </w:style>
  <w:style w:type="paragraph" w:styleId="7">
    <w:name w:val="heading 3"/>
    <w:basedOn w:val="1"/>
    <w:next w:val="1"/>
    <w:link w:val="8"/>
    <w:pPr>
      <w:keepNext/>
      <w:keepLines/>
      <w:spacing w:before="260" w:after="260" w:line="416" w:lineRule="auto"/>
      <w:outlineLvl w:val="2"/>
    </w:pPr>
    <w:rPr>
      <w:rFonts w:ascii="Times New Roman" w:hAnsi="Times New Roman" w:eastAsia="宋体" w:cs="Times New Roman"/>
      <w:b/>
      <w:bCs/>
      <w:sz w:val="32"/>
      <w:szCs w:val="32"/>
    </w:rPr>
  </w:style>
  <w:style w:type="paragraph" w:styleId="9">
    <w:name w:val="heading 4"/>
    <w:basedOn w:val="1"/>
    <w:next w:val="1"/>
    <w:link w:val="10"/>
    <w:pPr>
      <w:keepNext/>
      <w:keepLines/>
      <w:spacing w:before="280" w:after="290" w:line="376" w:lineRule="auto"/>
      <w:outlineLvl w:val="3"/>
    </w:pPr>
    <w:rPr>
      <w:rFonts w:ascii="Calibri" w:hAnsi="Calibri" w:eastAsia="宋体" w:cs="黑体"/>
      <w:b/>
      <w:bCs/>
      <w:sz w:val="28"/>
      <w:szCs w:val="28"/>
    </w:rPr>
  </w:style>
  <w:style w:type="character" w:default="1" w:styleId="4">
    <w:name w:val="Default Paragraph Font"/>
  </w:style>
  <w:style w:type="character" w:customStyle="1" w:styleId="3">
    <w:name w:val="标题 1 Char"/>
    <w:basedOn w:val="4"/>
    <w:link w:val="2"/>
    <w:semiHidden/>
    <w:rPr>
      <w:rFonts w:ascii="Times New Roman" w:hAnsi="Times New Roman" w:eastAsia="宋体" w:cs="Times New Roman"/>
      <w:b/>
      <w:bCs/>
      <w:kern w:val="44"/>
      <w:sz w:val="44"/>
      <w:szCs w:val="44"/>
    </w:rPr>
  </w:style>
  <w:style w:type="character" w:customStyle="1" w:styleId="6">
    <w:name w:val="标题 2 Char"/>
    <w:basedOn w:val="4"/>
    <w:link w:val="5"/>
    <w:semiHidden/>
    <w:rPr>
      <w:rFonts w:ascii="Calibri" w:hAnsi="Calibri" w:eastAsia="宋体" w:cs="黑体"/>
      <w:b/>
      <w:bCs/>
      <w:sz w:val="32"/>
      <w:szCs w:val="32"/>
    </w:rPr>
  </w:style>
  <w:style w:type="character" w:customStyle="1" w:styleId="8">
    <w:name w:val="标题 3 Char"/>
    <w:basedOn w:val="4"/>
    <w:link w:val="7"/>
    <w:semiHidden/>
    <w:rPr>
      <w:rFonts w:ascii="Times New Roman" w:hAnsi="Times New Roman" w:eastAsia="宋体" w:cs="Times New Roman"/>
      <w:b/>
      <w:bCs/>
      <w:sz w:val="32"/>
      <w:szCs w:val="32"/>
    </w:rPr>
  </w:style>
  <w:style w:type="character" w:customStyle="1" w:styleId="10">
    <w:name w:val="标题 4 Char"/>
    <w:basedOn w:val="4"/>
    <w:link w:val="9"/>
    <w:semiHidden/>
    <w:rPr>
      <w:rFonts w:ascii="Calibri" w:hAnsi="Calibri" w:eastAsia="宋体" w:cs="黑体"/>
      <w:b/>
      <w:bCs/>
      <w:sz w:val="28"/>
      <w:szCs w:val="28"/>
    </w:rPr>
  </w:style>
  <w:style w:type="character" w:customStyle="1" w:styleId="11">
    <w:name w:val="批注框文本 Char"/>
    <w:basedOn w:val="4"/>
    <w:link w:val="12"/>
    <w:semiHidden/>
    <w:rPr>
      <w:rFonts w:ascii="Times New Roman" w:hAnsi="Times New Roman" w:eastAsia="宋体" w:cs="Times New Roman"/>
      <w:sz w:val="18"/>
      <w:szCs w:val="18"/>
    </w:rPr>
  </w:style>
  <w:style w:type="paragraph" w:customStyle="1" w:styleId="12">
    <w:name w:val="批注框文本1"/>
    <w:basedOn w:val="1"/>
    <w:link w:val="11"/>
    <w:rPr>
      <w:rFonts w:ascii="Times New Roman" w:hAnsi="Times New Roman" w:eastAsia="宋体" w:cs="Times New Roman"/>
      <w:sz w:val="18"/>
      <w:szCs w:val="18"/>
    </w:rPr>
  </w:style>
  <w:style w:type="paragraph" w:styleId="13">
    <w:name w:val="footer"/>
    <w:basedOn w:val="1"/>
    <w:link w:val="14"/>
    <w:pPr>
      <w:tabs>
        <w:tab w:val="center" w:pos="4153"/>
        <w:tab w:val="right" w:pos="8306"/>
      </w:tabs>
      <w:snapToGrid w:val="0"/>
      <w:jc w:val="left"/>
    </w:pPr>
    <w:rPr>
      <w:sz w:val="18"/>
      <w:szCs w:val="18"/>
    </w:rPr>
  </w:style>
  <w:style w:type="character" w:customStyle="1" w:styleId="14">
    <w:name w:val="页脚 Char"/>
    <w:basedOn w:val="4"/>
    <w:link w:val="13"/>
    <w:semiHidden/>
    <w:rPr>
      <w:sz w:val="18"/>
      <w:szCs w:val="18"/>
    </w:rPr>
  </w:style>
  <w:style w:type="paragraph" w:styleId="15">
    <w:name w:val="header"/>
    <w:basedOn w:val="1"/>
    <w:link w:val="16"/>
    <w:pPr>
      <w:pBdr>
        <w:bottom w:val="single" w:color="auto" w:sz="6" w:space="1"/>
      </w:pBdr>
      <w:tabs>
        <w:tab w:val="center" w:pos="4153"/>
        <w:tab w:val="right" w:pos="8306"/>
      </w:tabs>
      <w:snapToGrid w:val="0"/>
      <w:jc w:val="center"/>
    </w:pPr>
    <w:rPr>
      <w:sz w:val="18"/>
      <w:szCs w:val="18"/>
    </w:rPr>
  </w:style>
  <w:style w:type="character" w:customStyle="1" w:styleId="16">
    <w:name w:val="页眉 Char"/>
    <w:basedOn w:val="4"/>
    <w:link w:val="15"/>
    <w:semiHidden/>
    <w:rPr>
      <w:sz w:val="18"/>
      <w:szCs w:val="18"/>
    </w:rPr>
  </w:style>
  <w:style w:type="paragraph" w:styleId="17">
    <w:name w:val="Subtitle"/>
    <w:basedOn w:val="1"/>
    <w:next w:val="1"/>
    <w:link w:val="18"/>
    <w:pPr>
      <w:widowControl/>
      <w:numPr>
        <w:numId w:val="0"/>
      </w:numPr>
      <w:spacing w:after="200" w:line="276" w:lineRule="auto"/>
      <w:jc w:val="left"/>
    </w:pPr>
    <w:rPr>
      <w:rFonts w:ascii="Calibri" w:hAnsi="Calibri" w:eastAsia="宋体" w:cs="黑体"/>
      <w:i/>
      <w:iCs/>
      <w:color w:val="F0A22E"/>
      <w:spacing w:val="15"/>
      <w:kern w:val="0"/>
      <w:sz w:val="24"/>
      <w:szCs w:val="24"/>
    </w:rPr>
  </w:style>
  <w:style w:type="character" w:customStyle="1" w:styleId="18">
    <w:name w:val="副标题 Char"/>
    <w:basedOn w:val="4"/>
    <w:link w:val="17"/>
    <w:semiHidden/>
    <w:rPr>
      <w:rFonts w:ascii="Calibri" w:hAnsi="Calibri" w:eastAsia="宋体" w:cs="黑体"/>
      <w:i/>
      <w:iCs/>
      <w:color w:val="F0A22E"/>
      <w:spacing w:val="15"/>
      <w:kern w:val="0"/>
      <w:sz w:val="24"/>
      <w:szCs w:val="24"/>
    </w:rPr>
  </w:style>
  <w:style w:type="paragraph" w:styleId="19">
    <w:name w:val="Title"/>
    <w:basedOn w:val="1"/>
    <w:next w:val="1"/>
    <w:link w:val="2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20">
    <w:name w:val="标题 Char"/>
    <w:basedOn w:val="4"/>
    <w:link w:val="19"/>
    <w:semiHidden/>
    <w:rPr>
      <w:rFonts w:ascii="Calibri" w:hAnsi="Calibri" w:eastAsia="宋体" w:cs="黑体"/>
      <w:color w:val="392B23"/>
      <w:spacing w:val="5"/>
      <w:kern w:val="28"/>
      <w:sz w:val="52"/>
      <w:szCs w:val="52"/>
    </w:rPr>
  </w:style>
  <w:style w:type="paragraph" w:customStyle="1" w:styleId="21">
    <w:name w:val="No Spacing"/>
    <w:link w:val="23"/>
    <w:rPr>
      <w:kern w:val="0"/>
      <w:sz w:val="22"/>
    </w:rPr>
  </w:style>
  <w:style w:type="paragraph" w:customStyle="1" w:styleId="22">
    <w:name w:val="p0"/>
    <w:basedOn w:val="1"/>
    <w:pPr>
      <w:widowControl/>
      <w:spacing w:after="0" w:line="240" w:lineRule="auto"/>
    </w:pPr>
    <w:rPr>
      <w:kern w:val="0"/>
      <w:szCs w:val="21"/>
    </w:rPr>
  </w:style>
  <w:style w:type="character" w:customStyle="1" w:styleId="23">
    <w:name w:val="无间隔 Char"/>
    <w:basedOn w:val="4"/>
    <w:link w:val="21"/>
    <w:semiHidden/>
    <w:rPr>
      <w:kern w:val="0"/>
      <w:sz w:val="22"/>
    </w:rPr>
  </w:style>
  <w:style w:type="character" w:customStyle="1" w:styleId="24">
    <w:name w:val="Style1"/>
    <w:basedOn w:val="4"/>
    <w:rPr>
      <w:rFonts w:ascii="Cambria" w:hAnsi="黑体" w:eastAsia="黑体" w:cs="黑体"/>
      <w:sz w:val="22"/>
      <w:szCs w:val="22"/>
      <w:lang w:eastAsia="zh-CN"/>
    </w:rPr>
  </w:style>
  <w:style w:type="character" w:customStyle="1" w:styleId="25">
    <w:name w:val="Style2"/>
    <w:basedOn w:val="4"/>
    <w:rPr>
      <w:rFonts w:ascii="Cambria" w:hAnsi="黑体" w:eastAsia="黑体" w:cs="黑体"/>
      <w:sz w:val="22"/>
      <w:szCs w:val="22"/>
      <w:lang w:eastAsia="zh-CN"/>
    </w:rPr>
  </w:style>
  <w:style w:type="character" w:customStyle="1" w:styleId="26">
    <w:name w:val="Style3"/>
    <w:basedOn w:val="4"/>
    <w:rPr>
      <w:rFonts w:ascii="Cambria" w:hAnsi="黑体" w:eastAsia="黑体" w:cs="黑体"/>
      <w:szCs w:val="22"/>
      <w:lang w:eastAsia="zh-CN"/>
    </w:rPr>
  </w:style>
  <w:style w:type="character" w:customStyle="1" w:styleId="27">
    <w:name w:val="Style4"/>
    <w:basedOn w:val="4"/>
    <w:rPr>
      <w:rFonts w:ascii="Cambria" w:hAnsi="黑体" w:eastAsia="黑体" w:cs="黑体"/>
      <w:szCs w:val="22"/>
      <w:lang w:eastAsia="zh-CN"/>
    </w:rPr>
  </w:style>
  <w:style w:type="character" w:customStyle="1" w:styleId="28">
    <w:name w:val="Style5"/>
    <w:basedOn w:val="4"/>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customXml" Target="../customXml/item1.xml"/><Relationship Id="rId8"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13</Pages>
  <Words>712</Words>
  <Characters>4062</Characters>
  <Lines>33</Lines>
  <Paragraphs>9</Paragraphs>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2018-08-30T08:38:00Z</dcterms:created>
  <dc:creator>User</dc:creator>
  <dcterms:modified xsi:type="dcterms:W3CDTF">2019-02-12T16:13:00Z</dcterms:modified>
  <dc:subject>石家庄市xxx部门</dc:subject>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