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无极县老干部局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无极县老干部局</w:t>
      </w:r>
      <w:r>
        <w:rPr>
          <w:rFonts w:eastAsia="黑体"/>
          <w:sz w:val="32"/>
          <w:szCs w:val="32"/>
        </w:rPr>
        <w:t>部门概况</w:t>
      </w:r>
    </w:p>
    <w:p>
      <w:pPr>
        <w:widowControl/>
        <w:spacing w:line="580" w:lineRule="exact"/>
        <w:ind w:firstLine="1274"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4"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无极县老干部局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无极县老干部局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5"/>
        <w:numPr>
          <w:ilvl w:val="0"/>
          <w:numId w:val="1"/>
        </w:numPr>
        <w:spacing w:before="0" w:after="0" w:line="560" w:lineRule="exact"/>
        <w:ind w:firstLine="643" w:firstLineChars="200"/>
        <w:rPr>
          <w:rFonts w:hint="eastAsia" w:ascii="黑体" w:hAnsi="Cambria" w:eastAsia="黑体" w:cs="黑体"/>
          <w:kern w:val="0"/>
        </w:rPr>
      </w:pPr>
      <w:r>
        <w:rPr>
          <w:rFonts w:hint="eastAsia" w:ascii="黑体" w:hAnsi="Cambria" w:eastAsia="黑体" w:cs="黑体"/>
          <w:kern w:val="0"/>
        </w:rPr>
        <w:t>部门职责</w:t>
      </w:r>
    </w:p>
    <w:p>
      <w:pPr>
        <w:ind w:firstLine="627" w:firstLineChars="196"/>
        <w:jc w:val="left"/>
        <w:outlineLvl w:val="0"/>
        <w:rPr>
          <w:rFonts w:ascii="仿宋" w:hAnsi="仿宋" w:eastAsia="仿宋" w:cs="仿宋"/>
          <w:b/>
          <w:sz w:val="32"/>
          <w:szCs w:val="32"/>
        </w:rPr>
      </w:pPr>
      <w:r>
        <w:rPr>
          <w:rFonts w:hint="eastAsia" w:ascii="仿宋" w:hAnsi="仿宋" w:eastAsia="仿宋" w:cs="仿宋"/>
          <w:sz w:val="32"/>
          <w:szCs w:val="32"/>
        </w:rPr>
        <w:t>根据《老干部局职能配置、内设机构和人员编制方案》规定，老干部局的主要职责是：</w:t>
      </w:r>
    </w:p>
    <w:p>
      <w:pPr>
        <w:widowControl w:val="0"/>
        <w:wordWrap/>
        <w:adjustRightInd/>
        <w:snapToGrid/>
        <w:spacing w:before="0" w:after="0" w:line="600" w:lineRule="exact"/>
        <w:ind w:right="0" w:firstLine="681"/>
        <w:rPr>
          <w:rFonts w:hint="default" w:ascii="仿宋" w:hAnsi="仿宋" w:eastAsia="仿宋" w:cs="仿宋"/>
          <w:sz w:val="32"/>
        </w:rPr>
      </w:pPr>
      <w:r>
        <w:rPr>
          <w:rFonts w:hint="default" w:ascii="仿宋" w:hAnsi="仿宋" w:eastAsia="仿宋" w:cs="仿宋"/>
          <w:sz w:val="32"/>
        </w:rPr>
        <w:t>（一）调查了解离退休老干部政治待遇和生活待遇的落实情况，提出解决问题的意见和办法。</w:t>
      </w:r>
    </w:p>
    <w:p>
      <w:pPr>
        <w:widowControl w:val="0"/>
        <w:wordWrap/>
        <w:adjustRightInd/>
        <w:snapToGrid/>
        <w:spacing w:before="0" w:after="0" w:line="600" w:lineRule="exact"/>
        <w:ind w:left="1" w:leftChars="0" w:right="0" w:firstLine="640" w:firstLineChars="200"/>
        <w:jc w:val="both"/>
        <w:textAlignment w:val="bottom"/>
        <w:outlineLvl w:val="9"/>
        <w:rPr>
          <w:rFonts w:hint="default" w:ascii="仿宋" w:hAnsi="仿宋" w:eastAsia="仿宋" w:cs="仿宋"/>
          <w:sz w:val="32"/>
        </w:rPr>
      </w:pPr>
      <w:r>
        <w:rPr>
          <w:rFonts w:hint="default" w:ascii="仿宋" w:hAnsi="仿宋" w:eastAsia="仿宋" w:cs="仿宋"/>
          <w:sz w:val="32"/>
        </w:rPr>
        <w:t>（二）组织离退休老干部发挥余热。</w:t>
      </w:r>
    </w:p>
    <w:p>
      <w:pPr>
        <w:widowControl w:val="0"/>
        <w:wordWrap/>
        <w:adjustRightInd/>
        <w:snapToGrid/>
        <w:spacing w:before="0" w:after="0" w:line="600" w:lineRule="exact"/>
        <w:ind w:left="1" w:leftChars="0" w:right="0" w:firstLine="640" w:firstLineChars="200"/>
        <w:jc w:val="both"/>
        <w:textAlignment w:val="bottom"/>
        <w:outlineLvl w:val="9"/>
        <w:rPr>
          <w:rFonts w:hint="default" w:ascii="仿宋" w:hAnsi="仿宋" w:eastAsia="仿宋" w:cs="仿宋"/>
          <w:sz w:val="32"/>
        </w:rPr>
      </w:pPr>
      <w:r>
        <w:rPr>
          <w:rFonts w:hint="default" w:ascii="仿宋" w:hAnsi="仿宋" w:eastAsia="仿宋" w:cs="仿宋"/>
          <w:sz w:val="32"/>
        </w:rPr>
        <w:t>（三）协助有关部门做好离退休老干部的思想政治工作。</w:t>
      </w:r>
    </w:p>
    <w:p>
      <w:pPr>
        <w:widowControl w:val="0"/>
        <w:wordWrap/>
        <w:adjustRightInd/>
        <w:snapToGrid/>
        <w:spacing w:before="0" w:after="0" w:line="600" w:lineRule="exact"/>
        <w:ind w:left="1" w:leftChars="0" w:right="0" w:firstLine="640" w:firstLineChars="200"/>
        <w:jc w:val="both"/>
        <w:textAlignment w:val="bottom"/>
        <w:outlineLvl w:val="9"/>
        <w:rPr>
          <w:rFonts w:hint="default" w:ascii="仿宋" w:hAnsi="仿宋" w:eastAsia="仿宋" w:cs="仿宋"/>
          <w:sz w:val="32"/>
        </w:rPr>
      </w:pPr>
      <w:r>
        <w:rPr>
          <w:rFonts w:hint="default" w:ascii="仿宋" w:hAnsi="仿宋" w:eastAsia="仿宋" w:cs="仿宋"/>
          <w:sz w:val="32"/>
        </w:rPr>
        <w:t>（四）协助有关部门做好离退休老干部医疗保健和故后有关事宜的处理工作。</w:t>
      </w:r>
    </w:p>
    <w:p>
      <w:pPr>
        <w:widowControl w:val="0"/>
        <w:wordWrap/>
        <w:adjustRightInd/>
        <w:snapToGrid/>
        <w:spacing w:before="0" w:after="0" w:line="600" w:lineRule="exact"/>
        <w:ind w:left="1" w:leftChars="0" w:right="0" w:firstLine="640" w:firstLineChars="200"/>
        <w:jc w:val="both"/>
        <w:textAlignment w:val="bottom"/>
        <w:outlineLvl w:val="9"/>
        <w:rPr>
          <w:rFonts w:hint="default" w:ascii="仿宋" w:hAnsi="仿宋" w:eastAsia="仿宋" w:cs="仿宋"/>
          <w:sz w:val="32"/>
        </w:rPr>
      </w:pPr>
      <w:r>
        <w:rPr>
          <w:rFonts w:hint="default" w:ascii="仿宋" w:hAnsi="仿宋" w:eastAsia="仿宋" w:cs="仿宋"/>
          <w:sz w:val="32"/>
        </w:rPr>
        <w:t>（五）做好离退休老干部公用经费和特需经费的筹集、使用工作。</w:t>
      </w:r>
    </w:p>
    <w:p>
      <w:pPr>
        <w:widowControl w:val="0"/>
        <w:wordWrap/>
        <w:adjustRightInd/>
        <w:snapToGrid/>
        <w:spacing w:before="0" w:after="0" w:line="600" w:lineRule="exact"/>
        <w:ind w:left="1" w:leftChars="0" w:right="0" w:firstLine="640" w:firstLineChars="200"/>
        <w:jc w:val="both"/>
        <w:textAlignment w:val="bottom"/>
        <w:outlineLvl w:val="9"/>
      </w:pPr>
      <w:r>
        <w:rPr>
          <w:rFonts w:hint="default" w:ascii="仿宋" w:hAnsi="仿宋" w:eastAsia="仿宋" w:cs="仿宋"/>
          <w:sz w:val="32"/>
        </w:rPr>
        <w:t>（六）搞好外地离退休老干部来我</w:t>
      </w:r>
      <w:r>
        <w:rPr>
          <w:rFonts w:hint="eastAsia" w:ascii="仿宋" w:hAnsi="仿宋" w:eastAsia="仿宋" w:cs="仿宋"/>
          <w:sz w:val="32"/>
          <w:lang w:eastAsia="zh-CN"/>
        </w:rPr>
        <w:t>县</w:t>
      </w:r>
      <w:r>
        <w:rPr>
          <w:rFonts w:hint="default" w:ascii="仿宋" w:hAnsi="仿宋" w:eastAsia="仿宋" w:cs="仿宋"/>
          <w:sz w:val="32"/>
        </w:rPr>
        <w:t>参观、探亲、访友等有关事宜的接待工作。</w:t>
      </w:r>
      <w:bookmarkStart w:id="0" w:name="_GoBack"/>
      <w:bookmarkEnd w:id="0"/>
    </w:p>
    <w:p>
      <w:pPr>
        <w:pStyle w:val="5"/>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sectPr>
          <w:pgSz w:w="11906" w:h="16838"/>
          <w:pgMar w:top="2098" w:right="1474" w:bottom="1985" w:left="1588" w:header="851" w:footer="992" w:gutter="0"/>
          <w:pgNumType w:start="0"/>
          <w:cols w:space="720" w:num="1"/>
          <w:titlePg/>
          <w:docGrid w:type="lines" w:linePitch="312"/>
        </w:sectPr>
      </w:pPr>
      <w:r>
        <w:rPr>
          <w:rFonts w:hint="eastAsia" w:ascii="仿宋_GB2312" w:hAnsi="Cambria" w:eastAsia="仿宋_GB2312" w:cs="ArialUnicodeMS"/>
          <w:kern w:val="0"/>
          <w:sz w:val="32"/>
          <w:szCs w:val="32"/>
        </w:rPr>
        <w:t>（以下简称“单位”）共1个，为无极县老干部局，单位基本性质为行政单位，预算管理级次为1级预算单位，执行行政单位会计制度，较上年无增减变化。</w:t>
      </w:r>
    </w:p>
    <w:p>
      <w:pPr>
        <w:pStyle w:val="2"/>
        <w:spacing w:line="560" w:lineRule="exact"/>
        <w:jc w:val="center"/>
        <w:rPr>
          <w:rFonts w:hint="eastAsia" w:ascii="宋体" w:hAnsi="宋体" w:cs="ArialUnicodeMS"/>
          <w:color w:val="000000"/>
          <w:kern w:val="0"/>
        </w:rPr>
      </w:pPr>
      <w:r>
        <w:rPr>
          <w:rFonts w:hint="eastAsia" w:ascii="宋体" w:hAnsi="宋体" w:cs="ArialUnicodeMS"/>
          <w:color w:val="000000"/>
          <w:kern w:val="0"/>
        </w:rPr>
        <w:t>第二部分 2017年度部门决算报表</w:t>
      </w:r>
    </w:p>
    <w:p>
      <w:pPr>
        <w:widowControl/>
        <w:wordWrap/>
        <w:adjustRightInd/>
        <w:snapToGrid/>
        <w:spacing w:after="160" w:line="580" w:lineRule="exact"/>
        <w:ind w:left="640" w:leftChars="0" w:right="0" w:firstLine="0" w:firstLineChars="0"/>
        <w:jc w:val="center"/>
        <w:textAlignment w:val="auto"/>
        <w:outlineLvl w:val="9"/>
        <w:rPr>
          <w:rFonts w:eastAsia="仿宋_GB2312"/>
          <w:sz w:val="32"/>
          <w:szCs w:val="32"/>
        </w:rPr>
      </w:pPr>
      <w:r>
        <w:rPr>
          <w:rFonts w:hint="eastAsia" w:eastAsia="仿宋_GB2312"/>
          <w:sz w:val="32"/>
          <w:szCs w:val="32"/>
        </w:rPr>
        <w:t>(详见附表)</w:t>
      </w:r>
    </w:p>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left="640" w:firstLine="640" w:firstLineChars="200"/>
        <w:rPr>
          <w:rFonts w:eastAsia="仿宋_GB2312"/>
          <w:sz w:val="32"/>
          <w:szCs w:val="32"/>
        </w:rPr>
      </w:pPr>
    </w:p>
    <w:p>
      <w:pPr>
        <w:widowControl/>
        <w:spacing w:line="580" w:lineRule="exact"/>
        <w:ind w:left="640" w:firstLine="640" w:firstLineChars="200"/>
        <w:rPr>
          <w:rFonts w:eastAsia="仿宋_GB2312"/>
          <w:sz w:val="32"/>
          <w:szCs w:val="32"/>
        </w:rPr>
      </w:pPr>
    </w:p>
    <w:p>
      <w:pPr>
        <w:widowControl/>
        <w:spacing w:line="580" w:lineRule="exact"/>
        <w:ind w:left="640" w:firstLine="640" w:firstLineChars="200"/>
        <w:rPr>
          <w:rFonts w:eastAsia="仿宋_GB2312"/>
          <w:sz w:val="32"/>
          <w:szCs w:val="32"/>
        </w:rPr>
      </w:pPr>
      <w:r>
        <w:rPr>
          <w:rFonts w:hint="eastAsia" w:eastAsia="仿宋_GB2312"/>
          <w:sz w:val="32"/>
          <w:szCs w:val="32"/>
        </w:rPr>
        <w:t xml:space="preserve">                              </w:t>
      </w: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w:t>
      </w:r>
      <w:r>
        <w:rPr>
          <w:rFonts w:ascii="宋体" w:hAnsi="宋体" w:eastAsia="宋体" w:cs="ArialUnicodeMS"/>
          <w:color w:val="000000"/>
          <w:kern w:val="0"/>
        </w:rPr>
        <w:t xml:space="preserve"> </w:t>
      </w:r>
      <w:r>
        <w:rPr>
          <w:rFonts w:hint="eastAsia" w:ascii="宋体" w:hAnsi="宋体" w:eastAsia="宋体" w:cs="ArialUnicodeMS"/>
          <w:color w:val="000000"/>
          <w:kern w:val="0"/>
        </w:rPr>
        <w:t>部门决算情况说明</w:t>
      </w:r>
    </w:p>
    <w:p>
      <w:pPr>
        <w:pStyle w:val="5"/>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10万元，本年收入486.66万元；本年支出488.43万元、年末结转和结余8.23万元。与2016年度决算相比，本年收入增加31.68万元，增加6.96%，主要是死亡抚恤金和离退休金增加；本年支出增加43.45万元，增长9.75%，主要是死亡抚恤金和离退休金增加。</w:t>
      </w:r>
    </w:p>
    <w:p>
      <w:pPr>
        <w:pStyle w:val="5"/>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本部门2017年度本年收入合计486.66万元，其中：财政拨款收入486.66万元，占100%；事业收入0万元；经营收入0万元；其他收入0万元。如图所示：</w:t>
      </w:r>
    </w:p>
    <w:p>
      <w:pPr>
        <w:widowControl w:val="0"/>
        <w:wordWrap/>
        <w:adjustRightInd w:val="0"/>
        <w:snapToGrid w:val="0"/>
        <w:spacing w:after="160" w:line="560" w:lineRule="exact"/>
        <w:ind w:left="0" w:leftChars="0" w:right="0" w:firstLine="0" w:firstLineChars="0"/>
        <w:jc w:val="center"/>
        <w:textAlignment w:val="auto"/>
        <w:outlineLvl w:val="9"/>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1：收入决算结构饼状图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5" o:spid="_x0000_s1025" type="#_x0000_t75" style="height:201.2pt;width:442.1pt;rotation:0f;" o:ole="f" fillcolor="#FFFFFF" filled="f" o:preferrelative="t" stroked="f" coordorigin="0,0" coordsize="21600,21600">
            <v:fill on="f" color2="#FFFFFF" focus="0%"/>
            <v:imagedata gain="65536f" blacklevel="0f" gamma="0" o:title="" r:id="rId5"/>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本部门2017年度本年支出合计488.43万元，其中：基本支出488.43万元，占100%；项目支出0万元；经营支出0万元。如图所示：</w:t>
      </w:r>
    </w:p>
    <w:p>
      <w:pPr>
        <w:widowControl w:val="0"/>
        <w:wordWrap/>
        <w:adjustRightInd w:val="0"/>
        <w:snapToGrid w:val="0"/>
        <w:spacing w:after="160" w:line="560" w:lineRule="exact"/>
        <w:ind w:left="0" w:leftChars="0" w:right="0" w:firstLine="0" w:firstLineChars="0"/>
        <w:jc w:val="center"/>
        <w:textAlignment w:val="auto"/>
        <w:outlineLvl w:val="9"/>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2：支出决算结构饼状图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6" o:spid="_x0000_s1026" type="#_x0000_t75" style="height:201.2pt;width:442.1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10万元、本年收入486.66万元；本年支出488.43万元、年末结转和结余8.23万元。与2016年度决算相比，一般公共预算财政拨款本年收入增加31.68万元，增长6.96%，主要是死亡抚恤金和离退休金增加；本年支出增加43.45万元，增长9.75%，主要是死亡抚恤金和离退休金增加。</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本部门2017年度一般公共预算财政拨款本年收入较2017年初预算减少3.97万元，减少0.8%，主要是死亡抚恤金和离退休金减少；本年支出减少2.2万元，减少0.4%，主要是死亡抚恤金和离退休金增加。</w:t>
      </w:r>
    </w:p>
    <w:p>
      <w:pPr>
        <w:pStyle w:val="5"/>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本部门2017年度“三公”经费支出共计6.56万元，较年初预算减少0.01万元，降低0.15%，主要是本年度公务接待减少；较2016年度决算减少4.36万元，降低39.92%，主要是本年度公务用车减少。具体情况如下：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本部门2017年度参加其他单位组织的因公出国（境）团组0个、共0人/无本单位组织的出国（境）团组。主要是本年度本单位无人因公出国；较2016年度决算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,主要是无人因公出国。</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（二）公务用车购置及运行维护费支出6万元。</w:t>
      </w:r>
      <w:r>
        <w:rPr>
          <w:rFonts w:hint="eastAsia" w:ascii="仿宋_GB2312" w:eastAsia="仿宋_GB2312" w:cs="DengXian-Regular"/>
          <w:sz w:val="32"/>
          <w:szCs w:val="32"/>
        </w:rPr>
        <w:t>本部门2017年度公务用车购置及运行维护费较年初预算无增减变化；较2016年度决算无增减变化。</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w:t>
      </w:r>
      <w:r>
        <w:rPr>
          <w:rFonts w:hint="eastAsia" w:ascii="仿宋_GB2312" w:eastAsia="仿宋_GB2312" w:cs="DengXian-Regular"/>
          <w:sz w:val="32"/>
          <w:szCs w:val="32"/>
          <w:lang w:eastAsia="zh-CN"/>
        </w:rPr>
        <w:t>较年初预算无增减变化</w:t>
      </w:r>
      <w:r>
        <w:rPr>
          <w:rFonts w:hint="eastAsia" w:ascii="仿宋_GB2312" w:eastAsia="仿宋_GB2312" w:cs="DengXian-Regular"/>
          <w:sz w:val="32"/>
          <w:szCs w:val="32"/>
        </w:rPr>
        <w:t>，主要是本年度无购置公车；较2016年度决算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，主要是本年度未购置公车。</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本部门2017年度单位公务用车保有量2辆。公车运行维护费支出较年初</w:t>
      </w:r>
      <w:r>
        <w:rPr>
          <w:rFonts w:hint="eastAsia" w:ascii="仿宋_GB2312" w:eastAsia="仿宋_GB2312" w:cs="DengXian-Regular"/>
          <w:sz w:val="32"/>
          <w:szCs w:val="32"/>
          <w:lang w:eastAsia="zh-CN"/>
        </w:rPr>
        <w:t>预算</w:t>
      </w:r>
      <w:r>
        <w:rPr>
          <w:rFonts w:hint="eastAsia" w:ascii="仿宋_GB2312" w:eastAsia="仿宋_GB2312" w:cs="DengXian-Regular"/>
          <w:sz w:val="32"/>
          <w:szCs w:val="32"/>
        </w:rPr>
        <w:t>无增减变化；较2016年度决算无增减变化。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（三）公务接待费支出0.56万元。</w:t>
      </w:r>
      <w:r>
        <w:rPr>
          <w:rFonts w:hint="eastAsia" w:ascii="仿宋_GB2312" w:eastAsia="仿宋_GB2312" w:cs="DengXian-Regular"/>
          <w:sz w:val="32"/>
          <w:szCs w:val="32"/>
        </w:rPr>
        <w:t>本部门2017年度公务接待共10批次、60人次。公务接待费支出较年初预算减少0.01万元，降低1.75%,主要是公务接待人数减少；较2016年度决算减少0.3万元，降低34.9%,主要是公务接待人数减少。</w:t>
      </w:r>
    </w:p>
    <w:p>
      <w:pPr>
        <w:pStyle w:val="5"/>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numPr>
          <w:ilvl w:val="0"/>
          <w:numId w:val="2"/>
        </w:num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本单位无民生项目和重点支出项目。</w:t>
      </w:r>
    </w:p>
    <w:p>
      <w:pPr>
        <w:pStyle w:val="5"/>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本部门2017年度机关运行经费支出80.59万元，比2016年度减少3.28万元，降低3.9%。主要原因是老干部用车次数减少。</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截至2017年12月31日，本部门共有车辆2辆，其中，市级领导干部用车0辆、一般公务用车2辆、一般执法执勤用车0辆、特种专业技术用车0辆、其他用车0辆；单位价值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1、本部门2017年度政府性基金预算财政拨款收入支出决算表、国有资本经营预算和政府采购无收支及结转结余情况，故政府性基金预算、国有资本经营预算和政府采购表以空表列示。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w:t>
      </w:r>
      <w:r>
        <w:rPr>
          <w:rFonts w:hint="eastAsia" w:ascii="宋体" w:hAnsi="宋体" w:eastAsia="宋体" w:cs="SimSun,Bold"/>
          <w:bCs w:val="0"/>
        </w:rPr>
        <w:t xml:space="preserve"> </w:t>
      </w:r>
      <w:r>
        <w:rPr>
          <w:rFonts w:hint="eastAsia" w:ascii="宋体" w:hAnsi="宋体" w:eastAsia="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auto"/>
    <w:pitch w:val="default"/>
    <w:sig w:usb0="E00006FF" w:usb1="420024FF" w:usb2="02000000" w:usb3="00000000" w:csb0="2000019F" w:csb1="00000000"/>
  </w:font>
  <w:font w:name="Calibri">
    <w:panose1 w:val="020F0502020204030204"/>
    <w:charset w:val="00"/>
    <w:family w:val="auto"/>
    <w:pitch w:val="default"/>
    <w:sig w:usb0="E0002AFF" w:usb1="C000247B" w:usb2="00000009" w:usb3="00000000" w:csb0="200001F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Dotum">
    <w:altName w:val="Verdana"/>
    <w:panose1 w:val="020B0600000101010101"/>
    <w:charset w:val="00"/>
    <w:family w:val="auto"/>
    <w:pitch w:val="default"/>
    <w:sig w:usb0="B00002AF" w:usb1="69D77CFB" w:usb2="00000030" w:usb3="00000000" w:csb0="4008009F" w:csb1="DFD70000"/>
  </w:font>
  <w:font w:name="Gulim">
    <w:altName w:val="Verdana"/>
    <w:panose1 w:val="020B0600000101010101"/>
    <w:charset w:val="00"/>
    <w:family w:val="auto"/>
    <w:pitch w:val="default"/>
    <w:sig w:usb0="B00002AF" w:usb1="69D77CFB" w:usb2="00000030" w:usb3="00000000" w:csb0="4008009F" w:csb1="DFD70000"/>
  </w:font>
  <w:font w:name="MS-UIGothic,Bold">
    <w:altName w:val="Malgun Gothic"/>
    <w:panose1 w:val="00000000000000000000"/>
    <w:charset w:val="81"/>
    <w:family w:val="auto"/>
    <w:pitch w:val="default"/>
    <w:sig w:usb0="00000000" w:usb1="00000000" w:usb2="00000010" w:usb3="00000000" w:csb0="00080000" w:csb1="00000000"/>
  </w:font>
  <w:font w:name="Verdana">
    <w:panose1 w:val="020B0604030504040204"/>
    <w:charset w:val="00"/>
    <w:family w:val="auto"/>
    <w:pitch w:val="default"/>
    <w:sig w:usb0="A00006FF" w:usb1="4000205B" w:usb2="00000010" w:usb3="00000000" w:csb0="2000019F" w:csb1="00000000"/>
  </w:font>
  <w:font w:name="方正大标宋简体">
    <w:altName w:val="宋体"/>
    <w:panose1 w:val="02010601030101010101"/>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7">
    <w:nsid w:val="00000007"/>
    <w:multiLevelType w:val="singleLevel"/>
    <w:tmpl w:val="00000007"/>
    <w:lvl w:ilvl="0" w:tentative="1">
      <w:start w:val="1"/>
      <w:numFmt w:val="chineseCounting"/>
      <w:suff w:val="nothing"/>
      <w:lvlText w:val="%1、"/>
      <w:lvlJc w:val="left"/>
    </w:lvl>
  </w:abstractNum>
  <w:abstractNum w:abstractNumId="10">
    <w:nsid w:val="0000000A"/>
    <w:multiLevelType w:val="singleLevel"/>
    <w:tmpl w:val="0000000A"/>
    <w:lvl w:ilvl="0" w:tentative="1">
      <w:start w:val="2"/>
      <w:numFmt w:val="chineseCounting"/>
      <w:suff w:val="nothing"/>
      <w:lvlText w:val="（%1）"/>
      <w:lvlJc w:val="left"/>
      <w:rPr>
        <w:rFonts w:hint="eastAsia"/>
      </w:rPr>
    </w:lvl>
  </w:abstractNum>
  <w:num w:numId="1">
    <w:abstractNumId w:val="7"/>
  </w:num>
  <w:num w:numId="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6"/>
    <w:pPr>
      <w:keepNext/>
      <w:keepLines/>
      <w:spacing w:before="260" w:after="260" w:line="416" w:lineRule="auto"/>
      <w:outlineLvl w:val="1"/>
    </w:pPr>
    <w:rPr>
      <w:rFonts w:ascii="Calibri" w:hAnsi="Calibri" w:eastAsia="宋体" w:cs="黑体"/>
      <w:b/>
      <w:bCs/>
      <w:sz w:val="32"/>
      <w:szCs w:val="32"/>
    </w:rPr>
  </w:style>
  <w:style w:type="paragraph" w:styleId="7">
    <w:name w:val="heading 3"/>
    <w:basedOn w:val="1"/>
    <w:next w:val="1"/>
    <w:link w:val="8"/>
    <w:pPr>
      <w:keepNext/>
      <w:keepLines/>
      <w:spacing w:before="260" w:after="260" w:line="416" w:lineRule="auto"/>
      <w:outlineLvl w:val="2"/>
    </w:pPr>
    <w:rPr>
      <w:rFonts w:ascii="Times New Roman" w:hAnsi="Times New Roman" w:eastAsia="宋体" w:cs="Times New Roman"/>
      <w:b/>
      <w:bCs/>
      <w:sz w:val="32"/>
      <w:szCs w:val="32"/>
    </w:rPr>
  </w:style>
  <w:style w:type="paragraph" w:styleId="9">
    <w:name w:val="heading 4"/>
    <w:basedOn w:val="1"/>
    <w:next w:val="1"/>
    <w:link w:val="10"/>
    <w:pPr>
      <w:keepNext/>
      <w:keepLines/>
      <w:spacing w:before="280" w:after="290" w:line="376" w:lineRule="auto"/>
      <w:outlineLvl w:val="3"/>
    </w:pPr>
    <w:rPr>
      <w:rFonts w:ascii="Calibri" w:hAnsi="Calibri" w:eastAsia="宋体" w:cs="黑体"/>
      <w:b/>
      <w:bCs/>
      <w:sz w:val="28"/>
      <w:szCs w:val="28"/>
    </w:rPr>
  </w:style>
  <w:style w:type="character" w:default="1" w:styleId="4">
    <w:name w:val="Default Paragraph Font"/>
  </w:style>
  <w:style w:type="character" w:customStyle="1" w:styleId="3">
    <w:name w:val="标题 1 Char"/>
    <w:basedOn w:val="4"/>
    <w:link w:val="2"/>
    <w:semiHidden/>
    <w:rPr>
      <w:rFonts w:ascii="Times New Roman" w:hAnsi="Times New Roman" w:eastAsia="宋体" w:cs="Times New Roman"/>
      <w:b/>
      <w:bCs/>
      <w:kern w:val="44"/>
      <w:sz w:val="44"/>
      <w:szCs w:val="44"/>
    </w:rPr>
  </w:style>
  <w:style w:type="character" w:customStyle="1" w:styleId="6">
    <w:name w:val="标题 2 Char"/>
    <w:basedOn w:val="4"/>
    <w:link w:val="5"/>
    <w:semiHidden/>
    <w:rPr>
      <w:rFonts w:ascii="Calibri" w:hAnsi="Calibri" w:eastAsia="宋体" w:cs="黑体"/>
      <w:b/>
      <w:bCs/>
      <w:sz w:val="32"/>
      <w:szCs w:val="32"/>
    </w:rPr>
  </w:style>
  <w:style w:type="character" w:customStyle="1" w:styleId="8">
    <w:name w:val="标题 3 Char"/>
    <w:basedOn w:val="4"/>
    <w:link w:val="7"/>
    <w:semiHidden/>
    <w:rPr>
      <w:rFonts w:ascii="Times New Roman" w:hAnsi="Times New Roman" w:eastAsia="宋体" w:cs="Times New Roman"/>
      <w:b/>
      <w:bCs/>
      <w:sz w:val="32"/>
      <w:szCs w:val="32"/>
    </w:rPr>
  </w:style>
  <w:style w:type="character" w:customStyle="1" w:styleId="10">
    <w:name w:val="标题 4 Char"/>
    <w:basedOn w:val="4"/>
    <w:link w:val="9"/>
    <w:semiHidden/>
    <w:rPr>
      <w:rFonts w:ascii="Calibri" w:hAnsi="Calibri" w:eastAsia="宋体" w:cs="黑体"/>
      <w:b/>
      <w:bCs/>
      <w:sz w:val="28"/>
      <w:szCs w:val="28"/>
    </w:rPr>
  </w:style>
  <w:style w:type="character" w:customStyle="1" w:styleId="11">
    <w:name w:val="批注框文本 Char"/>
    <w:basedOn w:val="4"/>
    <w:link w:val="12"/>
    <w:semiHidden/>
    <w:rPr>
      <w:rFonts w:ascii="Times New Roman" w:hAnsi="Times New Roman" w:eastAsia="宋体" w:cs="Times New Roman"/>
      <w:sz w:val="18"/>
      <w:szCs w:val="18"/>
    </w:rPr>
  </w:style>
  <w:style w:type="paragraph" w:customStyle="1" w:styleId="12">
    <w:name w:val="批注框文本1"/>
    <w:basedOn w:val="1"/>
    <w:link w:val="11"/>
    <w:rPr>
      <w:rFonts w:ascii="Times New Roman" w:hAnsi="Times New Roman" w:eastAsia="宋体" w:cs="Times New Roman"/>
      <w:sz w:val="18"/>
      <w:szCs w:val="18"/>
    </w:rPr>
  </w:style>
  <w:style w:type="paragraph" w:styleId="13">
    <w:name w:val="footer"/>
    <w:basedOn w:val="1"/>
    <w:link w:val="14"/>
    <w:pPr>
      <w:tabs>
        <w:tab w:val="center" w:pos="4153"/>
        <w:tab w:val="right" w:pos="8306"/>
      </w:tabs>
      <w:snapToGrid w:val="0"/>
      <w:jc w:val="left"/>
    </w:pPr>
    <w:rPr>
      <w:sz w:val="18"/>
      <w:szCs w:val="18"/>
    </w:rPr>
  </w:style>
  <w:style w:type="character" w:customStyle="1" w:styleId="14">
    <w:name w:val="页脚 Char"/>
    <w:basedOn w:val="4"/>
    <w:link w:val="13"/>
    <w:semiHidden/>
    <w:rPr>
      <w:sz w:val="18"/>
      <w:szCs w:val="18"/>
    </w:rPr>
  </w:style>
  <w:style w:type="paragraph" w:styleId="15">
    <w:name w:val="header"/>
    <w:basedOn w:val="1"/>
    <w:link w:val="16"/>
    <w:pPr>
      <w:pBdr>
        <w:bottom w:val="single" w:color="auto" w:sz="6" w:space="1"/>
      </w:pBdr>
      <w:tabs>
        <w:tab w:val="center" w:pos="4153"/>
        <w:tab w:val="right" w:pos="8306"/>
      </w:tabs>
      <w:snapToGrid w:val="0"/>
      <w:jc w:val="center"/>
    </w:pPr>
    <w:rPr>
      <w:sz w:val="18"/>
      <w:szCs w:val="18"/>
    </w:rPr>
  </w:style>
  <w:style w:type="character" w:customStyle="1" w:styleId="16">
    <w:name w:val="页眉 Char"/>
    <w:basedOn w:val="4"/>
    <w:link w:val="15"/>
    <w:semiHidden/>
    <w:rPr>
      <w:sz w:val="18"/>
      <w:szCs w:val="18"/>
    </w:rPr>
  </w:style>
  <w:style w:type="paragraph" w:styleId="17">
    <w:name w:val="Subtitle"/>
    <w:basedOn w:val="1"/>
    <w:next w:val="1"/>
    <w:link w:val="18"/>
    <w:pPr>
      <w:widowControl/>
      <w:spacing w:after="200" w:line="276" w:lineRule="auto"/>
      <w:jc w:val="left"/>
    </w:pPr>
    <w:rPr>
      <w:rFonts w:ascii="Calibri" w:hAnsi="Calibri" w:eastAsia="宋体" w:cs="黑体"/>
      <w:i/>
      <w:iCs/>
      <w:color w:val="F0A22E"/>
      <w:spacing w:val="15"/>
      <w:kern w:val="0"/>
      <w:sz w:val="24"/>
      <w:szCs w:val="24"/>
    </w:rPr>
  </w:style>
  <w:style w:type="character" w:customStyle="1" w:styleId="18">
    <w:name w:val="副标题 Char"/>
    <w:basedOn w:val="4"/>
    <w:link w:val="17"/>
    <w:semiHidden/>
    <w:rPr>
      <w:rFonts w:ascii="Calibri" w:hAnsi="Calibri" w:eastAsia="宋体" w:cs="黑体"/>
      <w:i/>
      <w:iCs/>
      <w:color w:val="F0A22E"/>
      <w:spacing w:val="15"/>
      <w:kern w:val="0"/>
      <w:sz w:val="24"/>
      <w:szCs w:val="24"/>
    </w:rPr>
  </w:style>
  <w:style w:type="paragraph" w:styleId="19">
    <w:name w:val="Title"/>
    <w:basedOn w:val="1"/>
    <w:next w:val="1"/>
    <w:link w:val="2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20">
    <w:name w:val="标题 Char"/>
    <w:basedOn w:val="4"/>
    <w:link w:val="19"/>
    <w:semiHidden/>
    <w:rPr>
      <w:rFonts w:ascii="Calibri" w:hAnsi="Calibri" w:eastAsia="宋体" w:cs="黑体"/>
      <w:color w:val="392B23"/>
      <w:spacing w:val="5"/>
      <w:kern w:val="28"/>
      <w:sz w:val="52"/>
      <w:szCs w:val="52"/>
    </w:rPr>
  </w:style>
  <w:style w:type="paragraph" w:customStyle="1" w:styleId="21">
    <w:name w:val="No Spacing"/>
    <w:link w:val="22"/>
    <w:pPr>
      <w:spacing w:after="160" w:line="480" w:lineRule="auto"/>
    </w:pPr>
    <w:rPr>
      <w:kern w:val="0"/>
      <w:sz w:val="22"/>
    </w:rPr>
  </w:style>
  <w:style w:type="character" w:customStyle="1" w:styleId="22">
    <w:name w:val="无间隔 Char"/>
    <w:basedOn w:val="4"/>
    <w:link w:val="21"/>
    <w:semiHidden/>
    <w:rPr>
      <w:kern w:val="0"/>
      <w:sz w:val="22"/>
    </w:rPr>
  </w:style>
  <w:style w:type="character" w:customStyle="1" w:styleId="23">
    <w:name w:val="Style1"/>
    <w:basedOn w:val="4"/>
    <w:rPr>
      <w:rFonts w:ascii="Cambria" w:hAnsi="黑体" w:eastAsia="黑体" w:cs="黑体"/>
      <w:sz w:val="22"/>
      <w:szCs w:val="22"/>
      <w:lang w:eastAsia="zh-CN"/>
    </w:rPr>
  </w:style>
  <w:style w:type="character" w:customStyle="1" w:styleId="24">
    <w:name w:val="Style2"/>
    <w:basedOn w:val="4"/>
    <w:rPr>
      <w:rFonts w:ascii="Cambria" w:hAnsi="黑体" w:eastAsia="黑体" w:cs="黑体"/>
      <w:sz w:val="22"/>
      <w:szCs w:val="22"/>
      <w:lang w:eastAsia="zh-CN"/>
    </w:rPr>
  </w:style>
  <w:style w:type="character" w:customStyle="1" w:styleId="25">
    <w:name w:val="Style3"/>
    <w:basedOn w:val="4"/>
    <w:rPr>
      <w:rFonts w:ascii="Cambria" w:hAnsi="黑体" w:eastAsia="黑体" w:cs="黑体"/>
      <w:szCs w:val="22"/>
      <w:lang w:eastAsia="zh-CN"/>
    </w:rPr>
  </w:style>
  <w:style w:type="character" w:customStyle="1" w:styleId="26">
    <w:name w:val="Style4"/>
    <w:basedOn w:val="4"/>
    <w:rPr>
      <w:rFonts w:ascii="Cambria" w:hAnsi="黑体" w:eastAsia="黑体" w:cs="黑体"/>
      <w:szCs w:val="22"/>
      <w:lang w:eastAsia="zh-CN"/>
    </w:rPr>
  </w:style>
  <w:style w:type="character" w:customStyle="1" w:styleId="27">
    <w:name w:val="Style5"/>
    <w:basedOn w:val="4"/>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637</Words>
  <Characters>3633</Characters>
  <Lines>30</Lines>
  <Paragraphs>8</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2018-08-30T08:38:00Z</dcterms:created>
  <dc:creator>User</dc:creator>
  <dcterms:modified xsi:type="dcterms:W3CDTF">2019-02-12T10:55:15Z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