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Default ContentType="image/png" Extension="png"/>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72"/>
          <w:szCs w:val="72"/>
        </w:rPr>
      </w:pPr>
      <w:r>
        <w:rPr>
          <w:rFonts w:hint="eastAsia" w:ascii="黑体" w:hAnsi="宋体" w:eastAsia="黑体"/>
          <w:color w:val="002060"/>
          <w:sz w:val="72"/>
          <w:szCs w:val="72"/>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无极县政协办公室</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hint="eastAsia" w:eastAsia="方正小标宋_GBK"/>
          <w:sz w:val="44"/>
          <w:szCs w:val="44"/>
        </w:rPr>
      </w:pP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ascii="黑体" w:hAnsi="宋体" w:eastAsia="黑体" w:cs="黑体"/>
          <w:bCs/>
          <w:sz w:val="32"/>
          <w:szCs w:val="32"/>
        </w:rPr>
        <w:t>无极县政协办</w:t>
      </w:r>
      <w:r>
        <w:rPr>
          <w:rFonts w:eastAsia="黑体"/>
          <w:sz w:val="32"/>
          <w:szCs w:val="32"/>
        </w:rPr>
        <w:t>部门概况</w:t>
      </w:r>
      <w:r>
        <w:rPr>
          <w:rFonts w:hint="eastAsia" w:eastAsia="仿宋_GB2312"/>
          <w:sz w:val="24"/>
          <w:szCs w:val="32"/>
        </w:rPr>
        <w:t xml:space="preserve">   </w:t>
      </w:r>
    </w:p>
    <w:p>
      <w:pPr>
        <w:widowControl/>
        <w:spacing w:line="580" w:lineRule="exact"/>
        <w:ind w:firstLine="1274"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4"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ascii="黑体" w:hAnsi="宋体" w:eastAsia="黑体" w:cs="黑体"/>
          <w:sz w:val="32"/>
          <w:szCs w:val="32"/>
        </w:rPr>
        <w:t>无极县政协办</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ascii="黑体" w:hAnsi="宋体" w:eastAsia="黑体" w:cs="黑体"/>
          <w:bCs/>
          <w:sz w:val="32"/>
          <w:szCs w:val="32"/>
        </w:rPr>
        <w:t>无极县政协办</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5"/>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一、部门职责</w:t>
      </w:r>
    </w:p>
    <w:p>
      <w:pPr>
        <w:ind w:firstLine="960" w:firstLineChars="300"/>
        <w:jc w:val="left"/>
        <w:outlineLvl w:val="0"/>
        <w:rPr>
          <w:rFonts w:hint="eastAsia" w:ascii="仿宋_GB2312" w:hAnsi="仿宋" w:eastAsia="仿宋_GB2312" w:cs="仿宋"/>
          <w:sz w:val="32"/>
          <w:szCs w:val="32"/>
        </w:rPr>
      </w:pPr>
      <w:r>
        <w:rPr>
          <w:rFonts w:hint="eastAsia" w:ascii="仿宋_GB2312" w:hAnsi="仿宋" w:eastAsia="仿宋_GB2312" w:cs="仿宋"/>
          <w:sz w:val="32"/>
          <w:szCs w:val="32"/>
        </w:rPr>
        <w:t>根据全国政协组织章程，县政协主要职能是对全县大政方针政策的讨论以及全县重要事务和群众生活，统一战线内部关系等重要问题进行政治协商，并通过提案、社情民意、会议等形式提出意见和建议，发挥民主监督、参政议政作用；充分发扬社会主义民主，反映社会各界意见，促进我县各级党委、政府重大决策的科学化、民主化。</w:t>
      </w:r>
    </w:p>
    <w:p>
      <w:pPr>
        <w:pStyle w:val="5"/>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二、部门决算单位构成</w:t>
      </w:r>
    </w:p>
    <w:p>
      <w:pPr>
        <w:widowControl/>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color w:val="000000"/>
          <w:sz w:val="32"/>
          <w:szCs w:val="32"/>
        </w:rPr>
        <w:t>2017年度，纳入本部门决算汇编范围的独立核算单位（以下简称“单位”）共1个，是中国人民政治协商会议无极县委员会办公室，单位基本性质为行政单位，预算管理级次为四级预算单位，执行政协办会计制度，较上年无增减变化。</w:t>
      </w:r>
    </w:p>
    <w:p>
      <w:pPr>
        <w:spacing w:line="560" w:lineRule="exact"/>
        <w:rPr>
          <w:rFonts w:ascii="仿宋_GB2312" w:hAnsi="Cambria" w:eastAsia="仿宋_GB2312" w:cs="ArialUnicodeMS"/>
          <w:kern w:val="0"/>
          <w:sz w:val="32"/>
          <w:szCs w:val="3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pStyle w:val="2"/>
        <w:numPr>
          <w:ilvl w:val="0"/>
          <w:numId w:val="1"/>
        </w:numPr>
        <w:spacing w:line="560" w:lineRule="exact"/>
        <w:jc w:val="center"/>
        <w:rPr>
          <w:rFonts w:ascii="宋体" w:hAnsi="宋体" w:cs="ArialUnicodeMS"/>
          <w:color w:val="000000"/>
          <w:kern w:val="0"/>
        </w:rPr>
      </w:pPr>
      <w:r>
        <w:rPr>
          <w:rFonts w:hint="eastAsia" w:ascii="宋体" w:hAnsi="宋体" w:cs="ArialUnicodeMS"/>
          <w:color w:val="000000"/>
          <w:kern w:val="0"/>
        </w:rPr>
        <w:t>2017年度部门决算报表</w:t>
      </w:r>
    </w:p>
    <w:p>
      <w:pPr>
        <w:widowControl/>
        <w:spacing w:line="580" w:lineRule="exact"/>
        <w:rPr>
          <w:rFonts w:eastAsia="黑体"/>
          <w:sz w:val="32"/>
          <w:szCs w:val="32"/>
        </w:rPr>
      </w:pPr>
      <w:r>
        <w:rPr>
          <w:rFonts w:hint="eastAsia" w:eastAsia="黑体"/>
          <w:sz w:val="32"/>
          <w:szCs w:val="32"/>
        </w:rPr>
        <w:t xml:space="preserve">                      （详见附件）</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pStyle w:val="2"/>
        <w:spacing w:line="560" w:lineRule="exact"/>
        <w:ind w:firstLine="2209" w:firstLineChars="500"/>
        <w:rPr>
          <w:rFonts w:hint="eastAsia" w:ascii="宋体" w:hAnsi="宋体" w:eastAsia="宋体" w:cs="ArialUnicodeMS"/>
          <w:color w:val="000000"/>
          <w:kern w:val="0"/>
        </w:rPr>
      </w:pPr>
    </w:p>
    <w:p>
      <w:pPr>
        <w:pStyle w:val="2"/>
        <w:spacing w:line="560" w:lineRule="exact"/>
        <w:ind w:firstLine="2209" w:firstLineChars="500"/>
        <w:rPr>
          <w:rFonts w:ascii="宋体" w:hAnsi="宋体" w:eastAsia="宋体" w:cs="ArialUnicodeMS"/>
          <w:color w:val="000000"/>
          <w:kern w:val="0"/>
        </w:rPr>
      </w:pPr>
      <w:r>
        <w:rPr>
          <w:rFonts w:hint="eastAsia" w:ascii="宋体" w:hAnsi="宋体" w:eastAsia="宋体" w:cs="ArialUnicodeMS"/>
          <w:color w:val="000000"/>
          <w:kern w:val="0"/>
        </w:rPr>
        <w:t>第三部分</w:t>
      </w:r>
      <w:r>
        <w:rPr>
          <w:rFonts w:ascii="宋体" w:hAnsi="宋体" w:eastAsia="宋体" w:cs="ArialUnicodeMS"/>
          <w:color w:val="000000"/>
          <w:kern w:val="0"/>
        </w:rPr>
        <w:t xml:space="preserve"> </w:t>
      </w:r>
      <w:r>
        <w:rPr>
          <w:rFonts w:hint="eastAsia" w:ascii="宋体" w:hAnsi="宋体" w:eastAsia="宋体" w:cs="ArialUnicodeMS"/>
          <w:color w:val="000000"/>
          <w:kern w:val="0"/>
        </w:rPr>
        <w:t>部门决算情况说明</w:t>
      </w:r>
    </w:p>
    <w:p>
      <w:pPr>
        <w:pStyle w:val="5"/>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lang w:val="en-US" w:eastAsia="zh-CN"/>
        </w:rPr>
        <w:t>本部门</w:t>
      </w:r>
      <w:r>
        <w:rPr>
          <w:rFonts w:hint="eastAsia" w:ascii="仿宋_GB2312" w:eastAsia="仿宋_GB2312" w:cs="DengXian-Regular"/>
          <w:sz w:val="32"/>
          <w:szCs w:val="32"/>
        </w:rPr>
        <w:t>2017年</w:t>
      </w:r>
      <w:r>
        <w:rPr>
          <w:rFonts w:hint="eastAsia" w:ascii="仿宋_GB2312" w:eastAsia="仿宋_GB2312" w:cs="DengXian-Regular"/>
          <w:sz w:val="32"/>
          <w:szCs w:val="32"/>
          <w:lang w:val="en-US" w:eastAsia="zh-CN"/>
        </w:rPr>
        <w:t>度本年收入</w:t>
      </w:r>
      <w:r>
        <w:rPr>
          <w:rFonts w:hint="eastAsia" w:ascii="仿宋_GB2312" w:eastAsia="仿宋_GB2312" w:cs="DengXian-Regular"/>
          <w:sz w:val="32"/>
          <w:szCs w:val="32"/>
        </w:rPr>
        <w:t>399.78万元，</w:t>
      </w:r>
      <w:r>
        <w:rPr>
          <w:rFonts w:hint="eastAsia" w:ascii="仿宋_GB2312" w:eastAsia="仿宋_GB2312" w:cs="DengXian-Regular"/>
          <w:sz w:val="32"/>
          <w:szCs w:val="32"/>
          <w:lang w:val="en-US" w:eastAsia="zh-CN"/>
        </w:rPr>
        <w:t>本年支出</w:t>
      </w:r>
      <w:r>
        <w:rPr>
          <w:rFonts w:hint="eastAsia" w:ascii="仿宋_GB2312" w:eastAsia="仿宋_GB2312" w:cs="DengXian-Regular"/>
          <w:sz w:val="32"/>
          <w:szCs w:val="32"/>
        </w:rPr>
        <w:t>394.52万元</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与2016年度决算相比，本年收入</w:t>
      </w:r>
      <w:r>
        <w:rPr>
          <w:rFonts w:hint="eastAsia" w:ascii="仿宋_GB2312" w:eastAsia="仿宋_GB2312" w:cs="DengXian-Regular"/>
          <w:sz w:val="32"/>
          <w:szCs w:val="32"/>
        </w:rPr>
        <w:t>增加了77.1万元，增长23.9%，主要是</w:t>
      </w:r>
      <w:r>
        <w:rPr>
          <w:rFonts w:hint="eastAsia" w:ascii="仿宋_GB2312" w:hAnsi="仿宋_GB2312" w:eastAsia="仿宋_GB2312" w:cs="仿宋_GB2312"/>
          <w:sz w:val="32"/>
          <w:szCs w:val="32"/>
        </w:rPr>
        <w:t>人员工资调整变化</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本年支出</w:t>
      </w:r>
      <w:r>
        <w:rPr>
          <w:rFonts w:hint="eastAsia" w:ascii="仿宋_GB2312" w:eastAsia="仿宋_GB2312" w:cs="DengXian-Regular"/>
          <w:sz w:val="32"/>
          <w:szCs w:val="32"/>
        </w:rPr>
        <w:t>增加了71.23万元，增长22.04%，主要是</w:t>
      </w:r>
      <w:r>
        <w:rPr>
          <w:rFonts w:hint="eastAsia" w:ascii="仿宋_GB2312" w:hAnsi="仿宋_GB2312" w:cs="仿宋_GB2312"/>
          <w:sz w:val="32"/>
          <w:szCs w:val="32"/>
        </w:rPr>
        <w:t>人员工资调整变化</w:t>
      </w:r>
      <w:r>
        <w:rPr>
          <w:rFonts w:hint="eastAsia" w:ascii="仿宋_GB2312" w:eastAsia="仿宋_GB2312" w:cs="DengXian-Regular"/>
          <w:sz w:val="32"/>
          <w:szCs w:val="32"/>
        </w:rPr>
        <w:t>。</w:t>
      </w:r>
    </w:p>
    <w:p>
      <w:pPr>
        <w:pStyle w:val="5"/>
        <w:spacing w:before="0" w:after="0" w:line="560" w:lineRule="exact"/>
        <w:ind w:firstLine="643" w:firstLineChars="200"/>
        <w:rPr>
          <w:rFonts w:ascii="黑体" w:eastAsia="黑体"/>
        </w:rPr>
      </w:pPr>
      <w:r>
        <w:rPr>
          <w:rFonts w:hint="eastAsia" w:ascii="黑体" w:eastAsia="黑体"/>
        </w:rPr>
        <w:t>二、2017年收入决算情况说明</w:t>
      </w:r>
    </w:p>
    <w:p>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本部门2017年度本年收入合计399.78万元，其中：财政拨款收入399.78万元</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占比100%</w:t>
      </w:r>
      <w:r>
        <w:rPr>
          <w:rFonts w:hint="eastAsia" w:ascii="仿宋_GB2312" w:eastAsia="仿宋_GB2312" w:cs="DengXian-Regular"/>
          <w:sz w:val="32"/>
          <w:szCs w:val="32"/>
        </w:rPr>
        <w:t>；上级补助收入0万元，事业收入0万元；其他收入0万元。</w:t>
      </w:r>
      <w:r>
        <w:rPr>
          <w:rFonts w:hint="eastAsia" w:ascii="仿宋_GB2312" w:eastAsia="仿宋_GB2312" w:cs="DengXian-Regular"/>
          <w:sz w:val="32"/>
          <w:szCs w:val="32"/>
          <w:lang w:val="en-US" w:eastAsia="zh-CN"/>
        </w:rPr>
        <w:t>如图所示：</w:t>
      </w:r>
    </w:p>
    <w:p>
      <w:pPr>
        <w:adjustRightInd w:val="0"/>
        <w:snapToGrid w:val="0"/>
        <w:spacing w:line="560" w:lineRule="exact"/>
        <w:jc w:val="center"/>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t>图</w:t>
      </w:r>
      <w:r>
        <w:rPr>
          <w:rFonts w:hint="eastAsia" w:ascii="仿宋_GB2312" w:eastAsia="仿宋_GB2312" w:cs="DengXian-Regular"/>
          <w:sz w:val="32"/>
          <w:szCs w:val="32"/>
          <w:lang w:val="en-US" w:eastAsia="zh-CN"/>
        </w:rPr>
        <w:t>1：收入决算结构饼状图</w:t>
      </w:r>
    </w:p>
    <w:p>
      <w:pPr>
        <w:adjustRightInd w:val="0"/>
        <w:snapToGrid w:val="0"/>
        <w:spacing w:after="0" w:line="240" w:lineRule="auto"/>
        <w:ind w:firstLine="0" w:firstLineChars="0"/>
        <w:rPr>
          <w:rFonts w:hint="eastAsia"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_x0000_i1025" o:spid="_x0000_s1025" type="#_x0000_t75" style="height:201.2pt;width:442.1pt;rotation:0f;" o:ole="f" fillcolor="#FFFFFF" filled="f" o:preferrelative="t" stroked="f" coordorigin="0,0" coordsize="21600,21600">
            <v:fill on="f" color2="#FFFFFF" focus="0%"/>
            <v:imagedata gain="65536f" blacklevel="0f" gamma="0" o:title="" r:id="rId5"/>
            <o:lock v:ext="edit" position="f" selection="f" grouping="f" rotation="f" cropping="f" text="f" aspectratio="t"/>
            <w10:wrap type="none"/>
            <w10:anchorlock/>
          </v:shape>
        </w:pict>
      </w:r>
    </w:p>
    <w:p>
      <w:pPr>
        <w:adjustRightInd w:val="0"/>
        <w:snapToGrid w:val="0"/>
        <w:spacing w:line="560" w:lineRule="exact"/>
        <w:ind w:firstLine="640" w:firstLineChars="200"/>
        <w:rPr>
          <w:rFonts w:hint="eastAsia" w:ascii="仿宋_GB2312" w:eastAsia="仿宋_GB2312" w:cs="DengXian-Regular"/>
          <w:sz w:val="32"/>
          <w:szCs w:val="32"/>
        </w:rPr>
      </w:pPr>
    </w:p>
    <w:p>
      <w:pPr>
        <w:adjustRightInd w:val="0"/>
        <w:snapToGrid w:val="0"/>
        <w:spacing w:line="560" w:lineRule="exact"/>
        <w:ind w:firstLine="640" w:firstLineChars="200"/>
        <w:rPr>
          <w:rFonts w:hint="eastAsia" w:ascii="仿宋_GB2312" w:eastAsia="仿宋_GB2312" w:cs="DengXian-Regular"/>
          <w:sz w:val="32"/>
          <w:szCs w:val="32"/>
        </w:rPr>
      </w:pPr>
    </w:p>
    <w:p>
      <w:pPr>
        <w:pStyle w:val="5"/>
        <w:spacing w:before="0" w:after="0" w:line="560" w:lineRule="exact"/>
        <w:rPr>
          <w:rFonts w:ascii="黑体" w:eastAsia="黑体"/>
        </w:rPr>
      </w:pPr>
      <w:r>
        <w:rPr>
          <w:rFonts w:hint="eastAsia" w:ascii="黑体" w:eastAsia="黑体"/>
          <w:lang w:val="en-US" w:eastAsia="zh-CN"/>
        </w:rPr>
        <w:t xml:space="preserve">    </w:t>
      </w: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本部门2017年度本年支出合计394.52万元，其中：基本支出365.04万元，占92.53%；项目支出29.49万元，占7.47%。</w:t>
      </w:r>
      <w:r>
        <w:rPr>
          <w:rFonts w:hint="eastAsia" w:ascii="仿宋_GB2312" w:eastAsia="仿宋_GB2312" w:cs="DengXian-Regular"/>
          <w:sz w:val="32"/>
          <w:szCs w:val="32"/>
          <w:lang w:val="en-US" w:eastAsia="zh-CN"/>
        </w:rPr>
        <w:t>如图所示：</w:t>
      </w:r>
    </w:p>
    <w:p>
      <w:pPr>
        <w:adjustRightInd w:val="0"/>
        <w:snapToGrid w:val="0"/>
        <w:spacing w:line="560" w:lineRule="exact"/>
        <w:jc w:val="center"/>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图2：支出决算结构饼状图</w:t>
      </w:r>
    </w:p>
    <w:p>
      <w:pPr>
        <w:adjustRightInd w:val="0"/>
        <w:snapToGrid w:val="0"/>
        <w:spacing w:after="0" w:line="240" w:lineRule="auto"/>
        <w:ind w:firstLine="0" w:firstLineChars="0"/>
        <w:rPr>
          <w:rFonts w:hint="eastAsia"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_x0000_i1026" o:spid="_x0000_s1026" type="#_x0000_t75" style="height:201.2pt;width:442.1pt;rotation:0f;" o:ole="f" fillcolor="#FFFFFF" filled="f" o:preferrelative="t" stroked="f" coordorigin="0,0" coordsize="21600,21600">
            <v:fill on="f" color2="#FFFFFF" focus="0%"/>
            <v:imagedata gain="65536f" blacklevel="0f" gamma="0" o:title="" r:id="rId6"/>
            <o:lock v:ext="edit" position="f" selection="f" grouping="f" rotation="f" cropping="f" text="f" aspectratio="t"/>
            <w10:wrap type="none"/>
            <w10:anchorlock/>
          </v:shape>
        </w:pict>
      </w:r>
    </w:p>
    <w:p>
      <w:pPr>
        <w:pStyle w:val="5"/>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hAnsi="仿宋" w:eastAsia="仿宋_GB2312" w:cs="仿宋"/>
          <w:bCs/>
          <w:sz w:val="32"/>
          <w:szCs w:val="32"/>
          <w:lang w:val="en-US" w:eastAsia="zh-CN"/>
        </w:rPr>
        <w:t>本部门2017年度财政拨款收支全部为公共预算财政拨款收支。</w:t>
      </w:r>
      <w:r>
        <w:rPr>
          <w:rFonts w:hint="eastAsia" w:ascii="仿宋_GB2312" w:eastAsia="仿宋_GB2312" w:cs="DengXian-Regular"/>
          <w:sz w:val="32"/>
          <w:szCs w:val="32"/>
          <w:lang w:val="en-US" w:eastAsia="zh-CN"/>
        </w:rPr>
        <w:t>本部门</w:t>
      </w:r>
      <w:r>
        <w:rPr>
          <w:rFonts w:hint="eastAsia" w:ascii="仿宋_GB2312" w:eastAsia="仿宋_GB2312" w:cs="DengXian-Regular"/>
          <w:sz w:val="32"/>
          <w:szCs w:val="32"/>
        </w:rPr>
        <w:t>2017年</w:t>
      </w:r>
      <w:r>
        <w:rPr>
          <w:rFonts w:hint="eastAsia" w:ascii="仿宋_GB2312" w:eastAsia="仿宋_GB2312" w:cs="DengXian-Regular"/>
          <w:sz w:val="32"/>
          <w:szCs w:val="32"/>
          <w:lang w:val="en-US" w:eastAsia="zh-CN"/>
        </w:rPr>
        <w:t>度本年收入</w:t>
      </w:r>
      <w:r>
        <w:rPr>
          <w:rFonts w:hint="eastAsia" w:ascii="仿宋_GB2312" w:eastAsia="仿宋_GB2312" w:cs="DengXian-Regular"/>
          <w:sz w:val="32"/>
          <w:szCs w:val="32"/>
        </w:rPr>
        <w:t>399.78万元，</w:t>
      </w:r>
      <w:r>
        <w:rPr>
          <w:rFonts w:hint="eastAsia" w:ascii="仿宋_GB2312" w:eastAsia="仿宋_GB2312" w:cs="DengXian-Regular"/>
          <w:sz w:val="32"/>
          <w:szCs w:val="32"/>
          <w:lang w:val="en-US" w:eastAsia="zh-CN"/>
        </w:rPr>
        <w:t>本年支出</w:t>
      </w:r>
      <w:r>
        <w:rPr>
          <w:rFonts w:hint="eastAsia" w:ascii="仿宋_GB2312" w:eastAsia="仿宋_GB2312" w:cs="DengXian-Regular"/>
          <w:sz w:val="32"/>
          <w:szCs w:val="32"/>
        </w:rPr>
        <w:t>394.52万元</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与2016年度决算相比，本年收入</w:t>
      </w:r>
      <w:r>
        <w:rPr>
          <w:rFonts w:hint="eastAsia" w:ascii="仿宋_GB2312" w:eastAsia="仿宋_GB2312" w:cs="DengXian-Regular"/>
          <w:sz w:val="32"/>
          <w:szCs w:val="32"/>
        </w:rPr>
        <w:t>增加了77.1万元，增长23.9%，主要是</w:t>
      </w:r>
      <w:r>
        <w:rPr>
          <w:rFonts w:hint="eastAsia" w:ascii="仿宋_GB2312" w:hAnsi="仿宋_GB2312" w:eastAsia="仿宋_GB2312" w:cs="仿宋_GB2312"/>
          <w:sz w:val="32"/>
          <w:szCs w:val="32"/>
        </w:rPr>
        <w:t>人员工资调整变化</w:t>
      </w:r>
      <w:r>
        <w:rPr>
          <w:rFonts w:hint="eastAsia" w:ascii="仿宋_GB2312" w:eastAsia="仿宋_GB2312" w:cs="DengXian-Regular"/>
          <w:sz w:val="32"/>
          <w:szCs w:val="32"/>
        </w:rPr>
        <w:t>。</w:t>
      </w:r>
      <w:r>
        <w:rPr>
          <w:rFonts w:hint="eastAsia" w:ascii="仿宋_GB2312" w:eastAsia="仿宋_GB2312" w:cs="DengXian-Regular"/>
          <w:sz w:val="32"/>
          <w:szCs w:val="32"/>
          <w:lang w:val="en-US" w:eastAsia="zh-CN"/>
        </w:rPr>
        <w:t>本年支出</w:t>
      </w:r>
      <w:r>
        <w:rPr>
          <w:rFonts w:hint="eastAsia" w:ascii="仿宋_GB2312" w:eastAsia="仿宋_GB2312" w:cs="DengXian-Regular"/>
          <w:sz w:val="32"/>
          <w:szCs w:val="32"/>
        </w:rPr>
        <w:t>增加了71.23万元，增长22.04%，主要是</w:t>
      </w:r>
      <w:r>
        <w:rPr>
          <w:rFonts w:hint="eastAsia" w:ascii="仿宋" w:hAnsi="仿宋" w:eastAsia="仿宋" w:cs="仿宋"/>
          <w:sz w:val="32"/>
          <w:szCs w:val="32"/>
        </w:rPr>
        <w:t>人员工资调整变化</w:t>
      </w:r>
      <w:r>
        <w:rPr>
          <w:rFonts w:hint="eastAsia" w:ascii="仿宋_GB2312" w:eastAsia="仿宋_GB2312" w:cs="DengXian-Regular"/>
          <w:sz w:val="32"/>
          <w:szCs w:val="32"/>
        </w:rPr>
        <w:t>。</w:t>
      </w:r>
    </w:p>
    <w:p>
      <w:pPr>
        <w:ind w:firstLine="627" w:firstLineChars="196"/>
        <w:rPr>
          <w:rFonts w:hint="eastAsia" w:ascii="仿宋_GB2312" w:hAnsi="仿宋" w:eastAsia="仿宋_GB2312" w:cs="仿宋"/>
          <w:bCs/>
          <w:sz w:val="32"/>
          <w:szCs w:val="32"/>
        </w:rPr>
      </w:pPr>
      <w:r>
        <w:rPr>
          <w:rFonts w:hint="eastAsia" w:ascii="仿宋_GB2312" w:hAnsi="仿宋" w:eastAsia="仿宋_GB2312" w:cs="仿宋"/>
          <w:bCs/>
          <w:sz w:val="32"/>
          <w:szCs w:val="32"/>
        </w:rPr>
        <w:t>财政拨款支出</w:t>
      </w:r>
      <w:r>
        <w:rPr>
          <w:rFonts w:hint="eastAsia" w:ascii="仿宋_GB2312" w:eastAsia="仿宋_GB2312" w:cs="DengXian-Regular"/>
          <w:sz w:val="32"/>
          <w:szCs w:val="32"/>
        </w:rPr>
        <w:t>394.52</w:t>
      </w:r>
      <w:r>
        <w:rPr>
          <w:rFonts w:hint="eastAsia" w:ascii="仿宋_GB2312" w:hAnsi="仿宋" w:eastAsia="仿宋_GB2312" w:cs="仿宋"/>
          <w:bCs/>
          <w:sz w:val="32"/>
          <w:szCs w:val="32"/>
        </w:rPr>
        <w:t>万元，其中人员经费320.04万元，包括工资福利支出161.41万元，对个人和家庭的补助支出158.63万元；公用经费支出43.99万元，包括商品和服务支出36.26万元,资本性支出7.73万元。项目支出29.49万元，其他支出0万元。</w:t>
      </w:r>
    </w:p>
    <w:p>
      <w:pPr>
        <w:ind w:firstLine="630" w:firstLineChars="196"/>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本部门2017年度一般公共预算财政拨款本年收入较2017年初预算增加40.07万元，增长11.14%，主要是工资调整；2017年支出相比2016年决算增加33.81万元，增长9.4%，主要是工资调整。</w:t>
      </w:r>
    </w:p>
    <w:p>
      <w:pPr>
        <w:pStyle w:val="5"/>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本部门2017年度“三公”经费支出共计8.58万元，较年初预算减少8.42万元，降低49.53%，主要是</w:t>
      </w:r>
      <w:r>
        <w:rPr>
          <w:rFonts w:hint="eastAsia" w:ascii="仿宋_GB2312" w:hAnsi="仿宋" w:eastAsia="仿宋_GB2312" w:cs="仿宋"/>
          <w:sz w:val="32"/>
          <w:szCs w:val="32"/>
        </w:rPr>
        <w:t>公务用车改革和公务接待缩减</w:t>
      </w:r>
      <w:r>
        <w:rPr>
          <w:rFonts w:hint="eastAsia" w:ascii="仿宋_GB2312" w:eastAsia="仿宋_GB2312" w:cs="DengXian-Regular"/>
          <w:sz w:val="32"/>
          <w:szCs w:val="32"/>
        </w:rPr>
        <w:t>；较2016年度决算减少4.18万元，降低32.76%，主要是</w:t>
      </w:r>
      <w:r>
        <w:rPr>
          <w:rFonts w:hint="eastAsia" w:ascii="仿宋_GB2312" w:hAnsi="仿宋" w:eastAsia="仿宋_GB2312" w:cs="仿宋"/>
          <w:sz w:val="32"/>
          <w:szCs w:val="32"/>
        </w:rPr>
        <w:t>公务用车改革和公务接待缩减</w:t>
      </w:r>
      <w:r>
        <w:rPr>
          <w:rFonts w:hint="eastAsia" w:ascii="仿宋_GB2312" w:eastAsia="仿宋_GB2312" w:cs="DengXian-Regular"/>
          <w:sz w:val="32"/>
          <w:szCs w:val="32"/>
        </w:rPr>
        <w:t>。具体情况如下：</w:t>
      </w:r>
    </w:p>
    <w:p>
      <w:pPr>
        <w:numPr>
          <w:ilvl w:val="0"/>
          <w:numId w:val="2"/>
        </w:num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因公出国（境）费支出0万元。</w:t>
      </w:r>
      <w:r>
        <w:rPr>
          <w:rFonts w:hint="eastAsia" w:ascii="仿宋_GB2312" w:eastAsia="仿宋_GB2312" w:cs="DengXian-Regular"/>
          <w:sz w:val="32"/>
          <w:szCs w:val="32"/>
        </w:rPr>
        <w:t>本部门2017年度参加其他单位组织的因公出国（境）团组0个、共0人/无本单位组织的出国（境）团组。</w:t>
      </w:r>
      <w:r>
        <w:rPr>
          <w:rFonts w:hint="eastAsia" w:ascii="仿宋_GB2312" w:eastAsia="仿宋_GB2312" w:cs="DengXian-Regular"/>
          <w:sz w:val="32"/>
          <w:szCs w:val="32"/>
          <w:lang w:val="en-US" w:eastAsia="zh-CN"/>
        </w:rPr>
        <w:t>未发生“因公出国费用”支出，较年初预算无增减变化；较2016年度决算无增减变化。</w:t>
      </w:r>
    </w:p>
    <w:p>
      <w:pPr>
        <w:widowControl w:val="0"/>
        <w:numPr>
          <w:ilvl w:val="0"/>
          <w:numId w:val="2"/>
        </w:numPr>
        <w:wordWrap/>
        <w:adjustRightInd w:val="0"/>
        <w:snapToGrid w:val="0"/>
        <w:spacing w:after="0" w:line="560" w:lineRule="exact"/>
        <w:ind w:left="0" w:leftChars="0" w:right="0" w:firstLine="640" w:firstLineChars="200"/>
        <w:jc w:val="both"/>
        <w:textAlignment w:val="auto"/>
        <w:outlineLvl w:val="9"/>
        <w:rPr>
          <w:rFonts w:hint="eastAsia" w:ascii="仿宋_GB2312" w:eastAsia="仿宋_GB2312" w:cs="DengXian-Bold"/>
          <w:b/>
          <w:bCs/>
          <w:sz w:val="32"/>
          <w:szCs w:val="32"/>
        </w:rPr>
      </w:pPr>
      <w:r>
        <w:rPr>
          <w:rFonts w:hint="eastAsia" w:ascii="楷体_GB2312" w:eastAsia="楷体_GB2312" w:cs="DengXian-Bold"/>
          <w:b/>
          <w:bCs/>
          <w:sz w:val="32"/>
          <w:szCs w:val="32"/>
        </w:rPr>
        <w:t>公务用车购置及运行维护费支出8.58万元。</w:t>
      </w:r>
      <w:r>
        <w:rPr>
          <w:rFonts w:hint="eastAsia" w:ascii="仿宋_GB2312" w:eastAsia="仿宋_GB2312" w:cs="DengXian-Regular"/>
          <w:sz w:val="32"/>
          <w:szCs w:val="32"/>
        </w:rPr>
        <w:t>本部门2017年度公务用车购置及运行维护费较年初预算减少7.42万元，降低46.38%,主要是因为</w:t>
      </w:r>
      <w:r>
        <w:rPr>
          <w:rFonts w:hint="eastAsia" w:ascii="仿宋_GB2312" w:hAnsi="仿宋" w:eastAsia="仿宋_GB2312" w:cs="仿宋"/>
          <w:sz w:val="32"/>
          <w:szCs w:val="32"/>
        </w:rPr>
        <w:t>公务用车改革后公车费用减少</w:t>
      </w:r>
      <w:r>
        <w:rPr>
          <w:rFonts w:hint="eastAsia" w:ascii="仿宋_GB2312" w:eastAsia="仿宋_GB2312" w:cs="DengXian-Regular"/>
          <w:sz w:val="32"/>
          <w:szCs w:val="32"/>
        </w:rPr>
        <w:t>；较2016年度决算减少3.95万元，降低31.53%,主要是因为公务用车改革后公车费用减少。</w:t>
      </w:r>
      <w:r>
        <w:rPr>
          <w:rFonts w:hint="eastAsia" w:ascii="仿宋_GB2312" w:eastAsia="仿宋_GB2312" w:cs="DengXian-Bold"/>
          <w:b/>
          <w:bCs/>
          <w:sz w:val="32"/>
          <w:szCs w:val="32"/>
        </w:rPr>
        <w:t>其中：</w:t>
      </w:r>
    </w:p>
    <w:p>
      <w:pPr>
        <w:widowControl w:val="0"/>
        <w:numPr>
          <w:numId w:val="0"/>
        </w:numPr>
        <w:wordWrap/>
        <w:adjustRightInd w:val="0"/>
        <w:snapToGrid w:val="0"/>
        <w:spacing w:after="0" w:line="560" w:lineRule="exact"/>
        <w:ind w:left="0" w:leftChars="0" w:right="0" w:firstLine="640" w:firstLineChars="200"/>
        <w:jc w:val="both"/>
        <w:textAlignment w:val="auto"/>
        <w:outlineLvl w:val="9"/>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w:t>
      </w:r>
      <w:r>
        <w:rPr>
          <w:rFonts w:hint="eastAsia" w:ascii="仿宋_GB2312" w:eastAsia="仿宋_GB2312" w:cs="DengXian-Regular"/>
          <w:sz w:val="32"/>
          <w:szCs w:val="32"/>
          <w:lang w:val="en-US" w:eastAsia="zh-CN"/>
        </w:rPr>
        <w:t>未发生“</w:t>
      </w:r>
      <w:r>
        <w:rPr>
          <w:rFonts w:hint="eastAsia" w:ascii="仿宋_GB2312" w:eastAsia="仿宋_GB2312" w:cs="DengXian-Regular"/>
          <w:sz w:val="32"/>
          <w:szCs w:val="32"/>
        </w:rPr>
        <w:t>公务用车购置</w:t>
      </w:r>
      <w:r>
        <w:rPr>
          <w:rFonts w:hint="eastAsia" w:ascii="仿宋_GB2312" w:eastAsia="仿宋_GB2312" w:cs="DengXian-Regular"/>
          <w:sz w:val="32"/>
          <w:szCs w:val="32"/>
          <w:lang w:val="en-US" w:eastAsia="zh-CN"/>
        </w:rPr>
        <w:t>”支出，较年初预算无增减变化；较2016年度决算无增减变化。</w:t>
      </w:r>
    </w:p>
    <w:p>
      <w:pPr>
        <w:adjustRightInd w:val="0"/>
        <w:snapToGrid w:val="0"/>
        <w:spacing w:after="0" w:line="560" w:lineRule="exact"/>
        <w:rPr>
          <w:rFonts w:hint="eastAsia" w:ascii="仿宋_GB2312" w:eastAsia="仿宋_GB2312" w:cs="DengXian-Regular"/>
          <w:sz w:val="32"/>
          <w:szCs w:val="32"/>
        </w:rPr>
      </w:pPr>
      <w:r>
        <w:rPr>
          <w:rFonts w:hint="eastAsia" w:ascii="仿宋_GB2312" w:eastAsia="仿宋_GB2312" w:cs="DengXian-Regular"/>
          <w:b/>
          <w:sz w:val="32"/>
          <w:szCs w:val="32"/>
          <w:lang w:val="en-US" w:eastAsia="zh-CN"/>
        </w:rPr>
        <w:t xml:space="preserve">    </w:t>
      </w: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本部门2017年度单位公务用车保有量4辆。公车运行维护费支出较年初预算减少7.42万元，降低46.38%,较2016年度决算减少3.96万元，降低31.53%，主要是因为</w:t>
      </w:r>
      <w:r>
        <w:rPr>
          <w:rFonts w:hint="eastAsia" w:ascii="仿宋_GB2312" w:hAnsi="仿宋" w:eastAsia="仿宋_GB2312" w:cs="仿宋"/>
          <w:sz w:val="32"/>
          <w:szCs w:val="32"/>
        </w:rPr>
        <w:t>公务用车改革后公车费用减少</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本部门2017年度公务接待共0批次、0人次。公务接待费支出较年初预算减少1万元，降低100%,主要是压缩开支，无公务接待；较2016年度决算减少0.24万元，降低100%, 主要是压缩开支无公务接待。</w:t>
      </w:r>
    </w:p>
    <w:p>
      <w:pPr>
        <w:pStyle w:val="5"/>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cs="黑体"/>
          <w:kern w:val="0"/>
        </w:rPr>
        <w:t>管理</w:t>
      </w:r>
      <w:r>
        <w:rPr>
          <w:rFonts w:hint="eastAsia" w:ascii="黑体" w:eastAsia="黑体" w:cs="Times New Roman"/>
        </w:rPr>
        <w:t>工作开展情况说明</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（一）绩效管理工作开展情况</w:t>
      </w:r>
      <w:r>
        <w:rPr>
          <w:rFonts w:hint="eastAsia" w:ascii="仿宋_GB2312" w:eastAsia="仿宋_GB2312" w:cs="DengXian-Regular"/>
          <w:sz w:val="32"/>
          <w:szCs w:val="32"/>
          <w:lang w:eastAsia="zh-CN"/>
        </w:rPr>
        <w:t>。</w:t>
      </w:r>
      <w:r>
        <w:rPr>
          <w:rFonts w:hint="eastAsia" w:ascii="仿宋_GB2312" w:eastAsia="仿宋_GB2312" w:cs="DengXian-Regular"/>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w:t>
      </w:r>
      <w:r>
        <w:rPr>
          <w:rFonts w:hint="eastAsia" w:ascii="仿宋_GB2312" w:eastAsia="仿宋_GB2312" w:cs="DengXian-Regular"/>
          <w:sz w:val="32"/>
          <w:szCs w:val="32"/>
          <w:lang w:val="en-US" w:eastAsia="zh-CN"/>
        </w:rPr>
        <w:t>优秀</w:t>
      </w:r>
      <w:bookmarkStart w:id="0" w:name="_GoBack"/>
      <w:bookmarkEnd w:id="0"/>
      <w:r>
        <w:rPr>
          <w:rFonts w:hint="eastAsia" w:ascii="仿宋_GB2312" w:eastAsia="仿宋_GB2312" w:cs="DengXian-Regular"/>
          <w:sz w:val="32"/>
          <w:szCs w:val="32"/>
        </w:rPr>
        <w:t>。</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（二）预算项目绩效评价开展情况</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根据预算绩效管理要求，本单位组织对2017年度一般公共预算项目支出开展绩效自评，涉及</w:t>
      </w:r>
      <w:r>
        <w:rPr>
          <w:rFonts w:hint="eastAsia" w:ascii="仿宋_GB2312" w:eastAsia="仿宋_GB2312" w:cs="DengXian-Regular"/>
          <w:sz w:val="32"/>
          <w:szCs w:val="32"/>
          <w:lang w:eastAsia="zh-CN"/>
        </w:rPr>
        <w:t>政协十三届一次会议</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lang w:eastAsia="zh-CN"/>
        </w:rPr>
        <w:t>个</w:t>
      </w:r>
      <w:r>
        <w:rPr>
          <w:rFonts w:hint="eastAsia" w:ascii="仿宋_GB2312" w:eastAsia="仿宋_GB2312" w:cs="DengXian-Regular"/>
          <w:sz w:val="32"/>
          <w:szCs w:val="32"/>
        </w:rPr>
        <w:t>项目，涉及资金</w:t>
      </w:r>
      <w:r>
        <w:rPr>
          <w:rFonts w:hint="eastAsia" w:ascii="仿宋_GB2312" w:eastAsia="仿宋_GB2312" w:cs="DengXian-Regular"/>
          <w:sz w:val="32"/>
          <w:szCs w:val="32"/>
          <w:lang w:val="en-US" w:eastAsia="zh-CN"/>
        </w:rPr>
        <w:t>23</w:t>
      </w:r>
      <w:r>
        <w:rPr>
          <w:rFonts w:hint="eastAsia" w:ascii="仿宋_GB2312" w:eastAsia="仿宋_GB2312" w:cs="DengXian-Regular"/>
          <w:sz w:val="32"/>
          <w:szCs w:val="32"/>
        </w:rPr>
        <w:t>万元，自评结果</w:t>
      </w:r>
      <w:r>
        <w:rPr>
          <w:rFonts w:hint="eastAsia" w:ascii="仿宋_GB2312" w:eastAsia="仿宋_GB2312" w:cs="DengXian-Regular"/>
          <w:sz w:val="32"/>
          <w:szCs w:val="32"/>
          <w:lang w:eastAsia="zh-CN"/>
        </w:rPr>
        <w:t>为优秀</w:t>
      </w:r>
      <w:r>
        <w:rPr>
          <w:rFonts w:hint="eastAsia" w:ascii="仿宋_GB2312" w:eastAsia="仿宋_GB2312" w:cs="DengXian-Regular"/>
          <w:sz w:val="32"/>
          <w:szCs w:val="32"/>
        </w:rPr>
        <w:t>。</w:t>
      </w:r>
    </w:p>
    <w:p>
      <w:pPr>
        <w:ind w:firstLine="720" w:firstLineChars="225"/>
        <w:rPr>
          <w:rFonts w:hint="eastAsia" w:ascii="仿宋_GB2312" w:eastAsia="仿宋_GB2312" w:cs="DengXian-Regular"/>
          <w:sz w:val="32"/>
          <w:szCs w:val="32"/>
        </w:rPr>
      </w:pPr>
      <w:r>
        <w:rPr>
          <w:rFonts w:hint="eastAsia" w:ascii="仿宋_GB2312" w:eastAsia="仿宋_GB2312" w:cs="DengXian-Regular"/>
          <w:sz w:val="32"/>
          <w:szCs w:val="32"/>
        </w:rPr>
        <w:t>（三）预算项目自评选例</w:t>
      </w:r>
    </w:p>
    <w:p>
      <w:pPr>
        <w:ind w:firstLine="720" w:firstLineChars="225"/>
      </w:pPr>
      <w:r>
        <w:rPr>
          <w:rFonts w:hint="eastAsia" w:ascii="仿宋_GB2312" w:eastAsia="仿宋_GB2312" w:cs="DengXian-Regular"/>
          <w:sz w:val="32"/>
          <w:szCs w:val="32"/>
        </w:rPr>
        <w:t>    本单位</w:t>
      </w:r>
      <w:r>
        <w:rPr>
          <w:rFonts w:hint="eastAsia" w:ascii="仿宋_GB2312" w:eastAsia="仿宋_GB2312" w:cs="DengXian-Regular"/>
          <w:sz w:val="32"/>
          <w:szCs w:val="32"/>
          <w:lang w:eastAsia="zh-CN"/>
        </w:rPr>
        <w:t>无极县政协十三届一次会议</w:t>
      </w:r>
      <w:r>
        <w:rPr>
          <w:rFonts w:hint="eastAsia" w:ascii="仿宋_GB2312" w:eastAsia="仿宋_GB2312" w:cs="DengXian-Regular"/>
          <w:sz w:val="32"/>
          <w:szCs w:val="32"/>
        </w:rPr>
        <w:t>项目自评：根据年初设定的绩效目标，</w:t>
      </w:r>
      <w:r>
        <w:rPr>
          <w:rFonts w:hint="eastAsia" w:ascii="仿宋_GB2312" w:eastAsia="仿宋_GB2312" w:cs="DengXian-Regular"/>
          <w:sz w:val="32"/>
          <w:szCs w:val="32"/>
          <w:lang w:eastAsia="zh-CN"/>
        </w:rPr>
        <w:t>十三届一次会议</w:t>
      </w:r>
      <w:r>
        <w:rPr>
          <w:rFonts w:hint="eastAsia" w:ascii="仿宋_GB2312" w:eastAsia="仿宋_GB2312" w:cs="DengXian-Regular"/>
          <w:sz w:val="32"/>
          <w:szCs w:val="32"/>
        </w:rPr>
        <w:t>自评结果为</w:t>
      </w:r>
      <w:r>
        <w:rPr>
          <w:rFonts w:hint="eastAsia" w:ascii="仿宋_GB2312" w:eastAsia="仿宋_GB2312" w:cs="DengXian-Regular"/>
          <w:sz w:val="32"/>
          <w:szCs w:val="32"/>
          <w:lang w:eastAsia="zh-CN"/>
        </w:rPr>
        <w:t>优秀</w:t>
      </w:r>
      <w:r>
        <w:rPr>
          <w:rFonts w:hint="eastAsia" w:ascii="仿宋_GB2312" w:eastAsia="仿宋_GB2312" w:cs="DengXian-Regular"/>
          <w:sz w:val="32"/>
          <w:szCs w:val="32"/>
        </w:rPr>
        <w:t>。项目全年预算数为</w:t>
      </w:r>
      <w:r>
        <w:rPr>
          <w:rFonts w:hint="eastAsia" w:ascii="仿宋_GB2312" w:eastAsia="仿宋_GB2312" w:cs="DengXian-Regular"/>
          <w:sz w:val="32"/>
          <w:szCs w:val="32"/>
          <w:lang w:val="en-US" w:eastAsia="zh-CN"/>
        </w:rPr>
        <w:t>23</w:t>
      </w:r>
      <w:r>
        <w:rPr>
          <w:rFonts w:hint="eastAsia" w:ascii="仿宋_GB2312" w:eastAsia="仿宋_GB2312" w:cs="DengXian-Regular"/>
          <w:sz w:val="32"/>
          <w:szCs w:val="32"/>
        </w:rPr>
        <w:t>万元。完成预算的100%。</w:t>
      </w:r>
    </w:p>
    <w:p>
      <w:pPr>
        <w:pStyle w:val="5"/>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ind w:firstLine="627" w:firstLineChars="196"/>
        <w:rPr>
          <w:rFonts w:hint="eastAsia" w:ascii="仿宋_GB2312" w:eastAsia="仿宋_GB2312" w:cs="DengXian-Regular"/>
          <w:sz w:val="32"/>
          <w:szCs w:val="32"/>
        </w:rPr>
      </w:pPr>
      <w:r>
        <w:rPr>
          <w:rFonts w:hint="eastAsia" w:ascii="仿宋_GB2312" w:eastAsia="仿宋_GB2312" w:cs="DengXian-Regular"/>
          <w:sz w:val="32"/>
          <w:szCs w:val="32"/>
        </w:rPr>
        <w:t>本部门2017年度机关运行经费支出43.99万元，比2016年度减少1.12万元，降低2.49%。主要原因是“三公经费”减少。</w:t>
      </w:r>
      <w:r>
        <w:rPr>
          <w:rFonts w:hint="eastAsia" w:ascii="仿宋_GB2312" w:hAnsi="仿宋" w:eastAsia="仿宋_GB2312" w:cs="仿宋"/>
          <w:sz w:val="32"/>
          <w:szCs w:val="32"/>
        </w:rPr>
        <w:t>除三公经费外，主要有办公及印刷费10.72万元，邮电费1万元，差旅费4.12万元，会议费1.37万元，工会费1.68万元，日常维修费6.31万元，培训费0.03万元，劳务费1.62万元，公务用车维护费8.58，其他费用0.82万元。设备购置费7.73万元。</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本部门2017年度政府采购支出总额0万元，其中：政府采购货物支出0万元、政府采购工程支出0万元、政府采购服务支出0万元。</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截至2017年12月31日，本部门共有车辆4辆，其中，一般公务用车4辆、一般执法执勤用车0辆、特种专业技术用车0辆、其他用车0辆；单位价值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w:t>
      </w:r>
    </w:p>
    <w:p>
      <w:pPr>
        <w:pStyle w:val="7"/>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1、本部门2017年度政府性基金预算财政拨款收入支出决算表为空，国有资本经营预算财政款收入支出决算表为空、政府采购情况表为空。故以空表列示。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eastAsia="宋体" w:cs="SimSun,Bold"/>
        </w:rPr>
      </w:pPr>
      <w:r>
        <w:rPr>
          <w:rFonts w:hint="eastAsia" w:ascii="宋体" w:hAnsi="宋体" w:eastAsia="宋体" w:cs="SimSun,Bold"/>
        </w:rPr>
        <w:t>第四部分</w:t>
      </w:r>
      <w:r>
        <w:rPr>
          <w:rFonts w:hint="eastAsia" w:ascii="宋体" w:hAnsi="宋体" w:eastAsia="宋体" w:cs="SimSun,Bold"/>
          <w:bCs w:val="0"/>
        </w:rPr>
        <w:t xml:space="preserve"> </w:t>
      </w:r>
      <w:r>
        <w:rPr>
          <w:rFonts w:hint="eastAsia" w:ascii="宋体" w:hAnsi="宋体" w:eastAsia="宋体" w:cs="SimSun,Bold"/>
        </w:rPr>
        <w:t>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ind w:firstLine="640"/>
        <w:rPr>
          <w:rFonts w:ascii="仿宋" w:hAnsi="仿宋" w:eastAsia="仿宋" w:cs="仿宋"/>
          <w:sz w:val="32"/>
          <w:szCs w:val="32"/>
        </w:rPr>
      </w:pPr>
    </w:p>
    <w:p>
      <w:pPr>
        <w:widowControl/>
        <w:spacing w:after="0" w:line="560" w:lineRule="exact"/>
        <w:ind w:firstLine="640" w:firstLineChars="200"/>
        <w:rPr>
          <w:rFonts w:ascii="仿宋_GB2312" w:hAnsi="宋体" w:eastAsia="仿宋_GB2312"/>
          <w:color w:val="000000"/>
          <w:kern w:val="0"/>
          <w:sz w:val="32"/>
          <w:szCs w:val="32"/>
        </w:rPr>
      </w:pPr>
    </w:p>
    <w:sectPr>
      <w:pgSz w:w="11906" w:h="16838"/>
      <w:pgMar w:top="2098" w:right="1474" w:bottom="1985" w:left="1588" w:header="851" w:footer="992" w:gutter="0"/>
      <w:cols w:space="720" w:num="1"/>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Tahoma">
    <w:panose1 w:val="020B0604030504040204"/>
    <w:charset w:val="00"/>
    <w:family w:val="auto"/>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Cambria">
    <w:panose1 w:val="02040503050406030204"/>
    <w:charset w:val="00"/>
    <w:family w:val="auto"/>
    <w:pitch w:val="default"/>
    <w:sig w:usb0="E00006FF" w:usb1="420024FF" w:usb2="02000000" w:usb3="00000000" w:csb0="2000019F" w:csb1="00000000"/>
  </w:font>
  <w:font w:name="Calibri">
    <w:panose1 w:val="020F0502020204030204"/>
    <w:charset w:val="00"/>
    <w:family w:val="auto"/>
    <w:pitch w:val="default"/>
    <w:sig w:usb0="E0002AFF" w:usb1="C000247B" w:usb2="00000009" w:usb3="00000000" w:csb0="200001FF" w:csb1="00000000"/>
  </w:font>
  <w:font w:name="方正小标宋_GBK">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1" w:usb1="080E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02F" w:usb1="29D77CFB" w:usb2="00000012" w:usb3="00000000" w:csb0="00080001" w:csb1="00000000"/>
  </w:font>
  <w:font w:name="方正仿宋_GBK">
    <w:altName w:val="宋体"/>
    <w:panose1 w:val="00000000000000000000"/>
    <w:charset w:val="86"/>
    <w:family w:val="auto"/>
    <w:pitch w:val="default"/>
    <w:sig w:usb0="00000000" w:usb1="00000000" w:usb2="00000010" w:usb3="00000000" w:csb0="00040000" w:csb1="00000000"/>
  </w:font>
  <w:font w:name="Dotum">
    <w:altName w:val="Verdana"/>
    <w:panose1 w:val="020B0600000101010101"/>
    <w:charset w:val="00"/>
    <w:family w:val="auto"/>
    <w:pitch w:val="default"/>
    <w:sig w:usb0="B00002AF" w:usb1="69D77CFB" w:usb2="00000030" w:usb3="00000000" w:csb0="4008009F" w:csb1="DFD70000"/>
  </w:font>
  <w:font w:name="Corbel">
    <w:panose1 w:val="020B0503020204020204"/>
    <w:charset w:val="00"/>
    <w:family w:val="auto"/>
    <w:pitch w:val="default"/>
    <w:sig w:usb0="A00002EF" w:usb1="4000A44B" w:usb2="00000000" w:usb3="00000000" w:csb0="2000019F" w:csb1="00000000"/>
  </w:font>
  <w:font w:name="Verdana">
    <w:panose1 w:val="020B0604030504040204"/>
    <w:charset w:val="00"/>
    <w:family w:val="auto"/>
    <w:pitch w:val="default"/>
    <w:sig w:usb0="A00006FF" w:usb1="4000205B" w:usb2="0000001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7">
    <w:nsid w:val="00000007"/>
    <w:multiLevelType w:val="singleLevel"/>
    <w:tmpl w:val="00000007"/>
    <w:lvl w:ilvl="0" w:tentative="1">
      <w:start w:val="1"/>
      <w:numFmt w:val="chineseCounting"/>
      <w:suff w:val="nothing"/>
      <w:lvlText w:val="（%1）"/>
      <w:lvlJc w:val="left"/>
      <w:rPr>
        <w:rFonts w:hint="eastAsia"/>
      </w:rPr>
    </w:lvl>
  </w:abstractNum>
  <w:abstractNum w:abstractNumId="9">
    <w:nsid w:val="00000009"/>
    <w:multiLevelType w:val="singleLevel"/>
    <w:tmpl w:val="00000009"/>
    <w:lvl w:ilvl="0" w:tentative="1">
      <w:start w:val="2"/>
      <w:numFmt w:val="chineseCounting"/>
      <w:suff w:val="space"/>
      <w:lvlText w:val="第%1部分"/>
      <w:lvlJc w:val="left"/>
      <w:rPr>
        <w:rFonts w:hint="eastAsia"/>
      </w:rPr>
    </w:lvl>
  </w:abstractNum>
  <w:num w:numId="1">
    <w:abstractNumId w:val="9"/>
  </w:num>
  <w:num w:numId="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style w:type="paragraph" w:default="1" w:styleId="1">
    <w:name w:val="Normal"/>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3"/>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5">
    <w:name w:val="heading 2"/>
    <w:basedOn w:val="1"/>
    <w:next w:val="1"/>
    <w:link w:val="6"/>
    <w:pPr>
      <w:keepNext/>
      <w:keepLines/>
      <w:spacing w:before="260" w:after="260" w:line="416" w:lineRule="auto"/>
      <w:outlineLvl w:val="1"/>
    </w:pPr>
    <w:rPr>
      <w:rFonts w:ascii="Calibri" w:hAnsi="Calibri" w:eastAsia="宋体" w:cs="黑体"/>
      <w:b/>
      <w:bCs/>
      <w:sz w:val="32"/>
      <w:szCs w:val="32"/>
    </w:rPr>
  </w:style>
  <w:style w:type="paragraph" w:styleId="7">
    <w:name w:val="heading 3"/>
    <w:basedOn w:val="1"/>
    <w:next w:val="1"/>
    <w:link w:val="8"/>
    <w:pPr>
      <w:keepNext/>
      <w:keepLines/>
      <w:spacing w:before="260" w:after="260" w:line="416" w:lineRule="auto"/>
      <w:outlineLvl w:val="2"/>
    </w:pPr>
    <w:rPr>
      <w:rFonts w:ascii="Times New Roman" w:hAnsi="Times New Roman" w:eastAsia="宋体" w:cs="Times New Roman"/>
      <w:b/>
      <w:bCs/>
      <w:sz w:val="32"/>
      <w:szCs w:val="32"/>
    </w:rPr>
  </w:style>
  <w:style w:type="paragraph" w:styleId="9">
    <w:name w:val="heading 4"/>
    <w:basedOn w:val="1"/>
    <w:next w:val="1"/>
    <w:link w:val="10"/>
    <w:pPr>
      <w:keepNext/>
      <w:keepLines/>
      <w:spacing w:before="280" w:after="290" w:line="376" w:lineRule="auto"/>
      <w:outlineLvl w:val="3"/>
    </w:pPr>
    <w:rPr>
      <w:rFonts w:ascii="Calibri" w:hAnsi="Calibri" w:eastAsia="宋体" w:cs="黑体"/>
      <w:b/>
      <w:bCs/>
      <w:sz w:val="28"/>
      <w:szCs w:val="28"/>
    </w:rPr>
  </w:style>
  <w:style w:type="character" w:default="1" w:styleId="4">
    <w:name w:val="Default Paragraph Font"/>
  </w:style>
  <w:style w:type="character" w:customStyle="1" w:styleId="3">
    <w:name w:val="标题 1 Char"/>
    <w:basedOn w:val="4"/>
    <w:link w:val="2"/>
    <w:semiHidden/>
    <w:rPr>
      <w:rFonts w:ascii="Times New Roman" w:hAnsi="Times New Roman" w:eastAsia="宋体" w:cs="Times New Roman"/>
      <w:b/>
      <w:bCs/>
      <w:kern w:val="44"/>
      <w:sz w:val="44"/>
      <w:szCs w:val="44"/>
    </w:rPr>
  </w:style>
  <w:style w:type="character" w:customStyle="1" w:styleId="6">
    <w:name w:val="标题 2 Char"/>
    <w:basedOn w:val="4"/>
    <w:link w:val="5"/>
    <w:semiHidden/>
    <w:rPr>
      <w:rFonts w:ascii="Calibri" w:hAnsi="Calibri" w:eastAsia="宋体" w:cs="黑体"/>
      <w:b/>
      <w:bCs/>
      <w:sz w:val="32"/>
      <w:szCs w:val="32"/>
    </w:rPr>
  </w:style>
  <w:style w:type="character" w:customStyle="1" w:styleId="8">
    <w:name w:val="标题 3 Char"/>
    <w:basedOn w:val="4"/>
    <w:link w:val="7"/>
    <w:semiHidden/>
    <w:rPr>
      <w:rFonts w:ascii="Times New Roman" w:hAnsi="Times New Roman" w:eastAsia="宋体" w:cs="Times New Roman"/>
      <w:b/>
      <w:bCs/>
      <w:sz w:val="32"/>
      <w:szCs w:val="32"/>
    </w:rPr>
  </w:style>
  <w:style w:type="character" w:customStyle="1" w:styleId="10">
    <w:name w:val="标题 4 Char"/>
    <w:basedOn w:val="4"/>
    <w:link w:val="9"/>
    <w:semiHidden/>
    <w:rPr>
      <w:rFonts w:ascii="Calibri" w:hAnsi="Calibri" w:eastAsia="宋体" w:cs="黑体"/>
      <w:b/>
      <w:bCs/>
      <w:sz w:val="28"/>
      <w:szCs w:val="28"/>
    </w:rPr>
  </w:style>
  <w:style w:type="character" w:customStyle="1" w:styleId="11">
    <w:name w:val="批注框文本 Char"/>
    <w:basedOn w:val="4"/>
    <w:link w:val="12"/>
    <w:semiHidden/>
    <w:rPr>
      <w:rFonts w:ascii="Times New Roman" w:hAnsi="Times New Roman" w:eastAsia="宋体" w:cs="Times New Roman"/>
      <w:sz w:val="18"/>
      <w:szCs w:val="18"/>
    </w:rPr>
  </w:style>
  <w:style w:type="paragraph" w:customStyle="1" w:styleId="12">
    <w:name w:val="批注框文本1"/>
    <w:basedOn w:val="1"/>
    <w:link w:val="11"/>
    <w:rPr>
      <w:rFonts w:ascii="Times New Roman" w:hAnsi="Times New Roman" w:eastAsia="宋体" w:cs="Times New Roman"/>
      <w:sz w:val="18"/>
      <w:szCs w:val="18"/>
    </w:rPr>
  </w:style>
  <w:style w:type="paragraph" w:styleId="13">
    <w:name w:val="footer"/>
    <w:basedOn w:val="1"/>
    <w:link w:val="14"/>
    <w:pPr>
      <w:tabs>
        <w:tab w:val="center" w:pos="4153"/>
        <w:tab w:val="right" w:pos="8306"/>
      </w:tabs>
      <w:snapToGrid w:val="0"/>
      <w:jc w:val="left"/>
    </w:pPr>
    <w:rPr>
      <w:sz w:val="18"/>
      <w:szCs w:val="18"/>
    </w:rPr>
  </w:style>
  <w:style w:type="character" w:customStyle="1" w:styleId="14">
    <w:name w:val="页脚 Char"/>
    <w:basedOn w:val="4"/>
    <w:link w:val="13"/>
    <w:semiHidden/>
    <w:rPr>
      <w:sz w:val="18"/>
      <w:szCs w:val="18"/>
    </w:rPr>
  </w:style>
  <w:style w:type="paragraph" w:styleId="15">
    <w:name w:val="header"/>
    <w:basedOn w:val="1"/>
    <w:link w:val="16"/>
    <w:pPr>
      <w:pBdr>
        <w:bottom w:val="single" w:color="auto" w:sz="6" w:space="1"/>
      </w:pBdr>
      <w:tabs>
        <w:tab w:val="center" w:pos="4153"/>
        <w:tab w:val="right" w:pos="8306"/>
      </w:tabs>
      <w:snapToGrid w:val="0"/>
      <w:jc w:val="center"/>
    </w:pPr>
    <w:rPr>
      <w:sz w:val="18"/>
      <w:szCs w:val="18"/>
    </w:rPr>
  </w:style>
  <w:style w:type="character" w:customStyle="1" w:styleId="16">
    <w:name w:val="页眉 Char"/>
    <w:basedOn w:val="4"/>
    <w:link w:val="15"/>
    <w:semiHidden/>
    <w:rPr>
      <w:sz w:val="18"/>
      <w:szCs w:val="18"/>
    </w:rPr>
  </w:style>
  <w:style w:type="paragraph" w:styleId="17">
    <w:name w:val="Subtitle"/>
    <w:basedOn w:val="1"/>
    <w:next w:val="1"/>
    <w:link w:val="18"/>
    <w:pPr>
      <w:widowControl/>
      <w:spacing w:after="200" w:line="276" w:lineRule="auto"/>
      <w:jc w:val="left"/>
    </w:pPr>
    <w:rPr>
      <w:rFonts w:ascii="Calibri" w:hAnsi="Calibri" w:eastAsia="宋体" w:cs="黑体"/>
      <w:i/>
      <w:iCs/>
      <w:color w:val="F0A22E"/>
      <w:spacing w:val="15"/>
      <w:kern w:val="0"/>
      <w:sz w:val="24"/>
      <w:szCs w:val="24"/>
    </w:rPr>
  </w:style>
  <w:style w:type="character" w:customStyle="1" w:styleId="18">
    <w:name w:val="副标题 Char"/>
    <w:basedOn w:val="4"/>
    <w:link w:val="17"/>
    <w:semiHidden/>
    <w:rPr>
      <w:rFonts w:ascii="Calibri" w:hAnsi="Calibri" w:eastAsia="宋体" w:cs="黑体"/>
      <w:i/>
      <w:iCs/>
      <w:color w:val="F0A22E"/>
      <w:spacing w:val="15"/>
      <w:kern w:val="0"/>
      <w:sz w:val="24"/>
      <w:szCs w:val="24"/>
    </w:rPr>
  </w:style>
  <w:style w:type="paragraph" w:styleId="19">
    <w:name w:val="Title"/>
    <w:basedOn w:val="1"/>
    <w:next w:val="1"/>
    <w:link w:val="2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20">
    <w:name w:val="标题 Char"/>
    <w:basedOn w:val="4"/>
    <w:link w:val="19"/>
    <w:semiHidden/>
    <w:rPr>
      <w:rFonts w:ascii="Calibri" w:hAnsi="Calibri" w:eastAsia="宋体" w:cs="黑体"/>
      <w:color w:val="392B23"/>
      <w:spacing w:val="5"/>
      <w:kern w:val="28"/>
      <w:sz w:val="52"/>
      <w:szCs w:val="52"/>
    </w:rPr>
  </w:style>
  <w:style w:type="paragraph" w:customStyle="1" w:styleId="21">
    <w:name w:val="No Spacing"/>
    <w:link w:val="22"/>
    <w:pPr>
      <w:spacing w:after="160" w:line="480" w:lineRule="auto"/>
    </w:pPr>
    <w:rPr>
      <w:kern w:val="0"/>
      <w:sz w:val="22"/>
    </w:rPr>
  </w:style>
  <w:style w:type="character" w:customStyle="1" w:styleId="22">
    <w:name w:val="无间隔 Char"/>
    <w:basedOn w:val="4"/>
    <w:link w:val="21"/>
    <w:semiHidden/>
    <w:rPr>
      <w:kern w:val="0"/>
      <w:sz w:val="22"/>
    </w:rPr>
  </w:style>
  <w:style w:type="character" w:customStyle="1" w:styleId="23">
    <w:name w:val="Style1"/>
    <w:basedOn w:val="4"/>
    <w:rPr>
      <w:rFonts w:ascii="Cambria" w:hAnsi="黑体" w:eastAsia="黑体" w:cs="黑体"/>
      <w:sz w:val="22"/>
      <w:szCs w:val="22"/>
      <w:lang w:eastAsia="zh-CN"/>
    </w:rPr>
  </w:style>
  <w:style w:type="character" w:customStyle="1" w:styleId="24">
    <w:name w:val="Style2"/>
    <w:basedOn w:val="4"/>
    <w:rPr>
      <w:rFonts w:ascii="Cambria" w:hAnsi="黑体" w:eastAsia="黑体" w:cs="黑体"/>
      <w:sz w:val="22"/>
      <w:szCs w:val="22"/>
      <w:lang w:eastAsia="zh-CN"/>
    </w:rPr>
  </w:style>
  <w:style w:type="character" w:customStyle="1" w:styleId="25">
    <w:name w:val="Style3"/>
    <w:basedOn w:val="4"/>
    <w:rPr>
      <w:rFonts w:ascii="Cambria" w:hAnsi="黑体" w:eastAsia="黑体" w:cs="黑体"/>
      <w:szCs w:val="22"/>
      <w:lang w:eastAsia="zh-CN"/>
    </w:rPr>
  </w:style>
  <w:style w:type="character" w:customStyle="1" w:styleId="26">
    <w:name w:val="Style4"/>
    <w:basedOn w:val="4"/>
    <w:rPr>
      <w:rFonts w:ascii="Cambria" w:hAnsi="黑体" w:eastAsia="黑体" w:cs="黑体"/>
      <w:szCs w:val="22"/>
      <w:lang w:eastAsia="zh-CN"/>
    </w:rPr>
  </w:style>
  <w:style w:type="character" w:customStyle="1" w:styleId="27">
    <w:name w:val="Style5"/>
    <w:basedOn w:val="4"/>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customXml" Target="../customXml/item1.xml"/><Relationship Id="rId8" Type="http://schemas.openxmlformats.org/officeDocument/2006/relationships/numbering" Target="numbering.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11</Pages>
  <Words>538</Words>
  <Characters>3067</Characters>
  <Lines>25</Lines>
  <Paragraphs>7</Paragraphs>
  <ScaleCrop>false</ScaleCrop>
  <LinksUpToDate>false</LinksUpToDate>
  <CharactersWithSpaces>0</CharactersWithSpaces>
  <Application>WPS Office 专业版_9.1.0.4167</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2018-08-30T08:38:00Z</dcterms:created>
  <dc:creator>User</dc:creator>
  <cp:lastPrinted>2018-09-14T07:22:00Z</cp:lastPrinted>
  <dcterms:modified xsi:type="dcterms:W3CDTF">2019-02-13T14:18:52Z</dcterms:modified>
  <dc:subject>石家庄市xxx部门</dc:subject>
  <dc:title>Administrator</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