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ascii="黑体" w:hAnsi="宋体" w:eastAsia="黑体"/>
          <w:color w:val="002060"/>
          <w:sz w:val="84"/>
          <w:szCs w:val="84"/>
        </w:rPr>
        <w:t>2017</w:t>
      </w:r>
      <w:r>
        <w:rPr>
          <w:rFonts w:hint="eastAsia" w:ascii="黑体" w:hAnsi="宋体" w:eastAsia="黑体"/>
          <w:color w:val="002060"/>
          <w:sz w:val="84"/>
          <w:szCs w:val="84"/>
        </w:rPr>
        <w:t>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b/>
          <w:sz w:val="44"/>
          <w:szCs w:val="44"/>
        </w:rPr>
      </w:pPr>
      <w:r>
        <w:rPr>
          <w:rFonts w:hint="eastAsia" w:ascii="宋体" w:hAnsi="宋体"/>
          <w:b/>
          <w:sz w:val="44"/>
          <w:szCs w:val="44"/>
        </w:rPr>
        <w:t>石家庄市无极县委宣传部</w:t>
      </w:r>
    </w:p>
    <w:p>
      <w:pPr>
        <w:widowControl/>
        <w:jc w:val="center"/>
        <w:rPr>
          <w:rFonts w:ascii="宋体"/>
          <w:b/>
          <w:sz w:val="44"/>
          <w:szCs w:val="44"/>
        </w:rPr>
      </w:pPr>
      <w:r>
        <w:rPr>
          <w:rFonts w:ascii="宋体" w:hAnsi="宋体"/>
          <w:b/>
          <w:sz w:val="44"/>
          <w:szCs w:val="44"/>
        </w:rPr>
        <w:t>2018</w:t>
      </w:r>
      <w:r>
        <w:rPr>
          <w:rFonts w:hint="eastAsia" w:ascii="宋体" w:hAnsi="宋体"/>
          <w:b/>
          <w:sz w:val="44"/>
          <w:szCs w:val="44"/>
        </w:rPr>
        <w:t>年</w:t>
      </w:r>
      <w:r>
        <w:rPr>
          <w:rFonts w:ascii="宋体" w:hAnsi="宋体"/>
          <w:b/>
          <w:sz w:val="44"/>
          <w:szCs w:val="44"/>
        </w:rPr>
        <w:t>9</w:t>
      </w:r>
      <w:r>
        <w:rPr>
          <w:rFonts w:hint="eastAsia" w:ascii="宋体" w:hAnsi="宋体"/>
          <w:b/>
          <w:sz w:val="44"/>
          <w:szCs w:val="44"/>
        </w:rPr>
        <w:t>月</w:t>
      </w:r>
      <w:r>
        <w:rPr>
          <w:rFonts w:ascii="宋体" w:hAnsi="宋体"/>
          <w:b/>
          <w:sz w:val="44"/>
          <w:szCs w:val="44"/>
        </w:rPr>
        <w:t>18</w:t>
      </w:r>
      <w:r>
        <w:rPr>
          <w:rFonts w:hint="eastAsia" w:ascii="宋体" w:hAnsi="宋体"/>
          <w:b/>
          <w:sz w:val="44"/>
          <w:szCs w:val="44"/>
        </w:rPr>
        <w:t>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hint="eastAsia" w:eastAsia="黑体"/>
          <w:sz w:val="32"/>
          <w:szCs w:val="32"/>
        </w:rPr>
        <w:t>第一部分</w:t>
      </w:r>
      <w:r>
        <w:rPr>
          <w:rFonts w:eastAsia="黑体"/>
          <w:sz w:val="32"/>
          <w:szCs w:val="32"/>
        </w:rPr>
        <w:t xml:space="preserve">  </w:t>
      </w:r>
      <w:r>
        <w:rPr>
          <w:rFonts w:hint="eastAsia" w:eastAsia="黑体"/>
          <w:sz w:val="32"/>
          <w:szCs w:val="32"/>
        </w:rPr>
        <w:t>中国共产党无极县委宣传部部门概况</w:t>
      </w:r>
    </w:p>
    <w:p>
      <w:pPr>
        <w:widowControl/>
        <w:spacing w:line="580" w:lineRule="exact"/>
        <w:ind w:firstLine="1273" w:firstLineChars="398"/>
        <w:rPr>
          <w:rFonts w:eastAsia="仿宋_GB2312"/>
          <w:sz w:val="32"/>
          <w:szCs w:val="32"/>
        </w:rPr>
      </w:pPr>
      <w:r>
        <w:rPr>
          <w:rFonts w:hint="eastAsia" w:eastAsia="仿宋_GB2312"/>
          <w:sz w:val="32"/>
          <w:szCs w:val="32"/>
        </w:rPr>
        <w:t>一、部门职责</w:t>
      </w:r>
    </w:p>
    <w:p>
      <w:pPr>
        <w:widowControl/>
        <w:spacing w:line="580" w:lineRule="exact"/>
        <w:ind w:firstLine="1273" w:firstLineChars="398"/>
        <w:rPr>
          <w:rFonts w:eastAsia="仿宋_GB2312"/>
          <w:sz w:val="32"/>
          <w:szCs w:val="32"/>
        </w:rPr>
      </w:pPr>
      <w:r>
        <w:rPr>
          <w:rFonts w:hint="eastAsia" w:eastAsia="仿宋_GB2312"/>
          <w:sz w:val="32"/>
          <w:szCs w:val="32"/>
        </w:rPr>
        <w:t>二、部门决算单位构成</w:t>
      </w:r>
    </w:p>
    <w:p>
      <w:pPr>
        <w:widowControl/>
        <w:spacing w:line="580" w:lineRule="exact"/>
        <w:ind w:firstLine="640" w:firstLineChars="200"/>
        <w:rPr>
          <w:rFonts w:eastAsia="仿宋_GB2312"/>
          <w:sz w:val="20"/>
          <w:szCs w:val="32"/>
        </w:rPr>
      </w:pPr>
      <w:r>
        <w:rPr>
          <w:rFonts w:hint="eastAsia" w:eastAsia="黑体"/>
          <w:sz w:val="32"/>
          <w:szCs w:val="32"/>
        </w:rPr>
        <w:t>第二部分</w:t>
      </w:r>
      <w:r>
        <w:rPr>
          <w:rFonts w:eastAsia="黑体"/>
          <w:sz w:val="32"/>
          <w:szCs w:val="32"/>
        </w:rPr>
        <w:t xml:space="preserve">  </w:t>
      </w:r>
      <w:r>
        <w:rPr>
          <w:rFonts w:hint="eastAsia" w:eastAsia="黑体"/>
          <w:sz w:val="32"/>
          <w:szCs w:val="32"/>
        </w:rPr>
        <w:t>中国共产党无极县委宣传部部门</w:t>
      </w:r>
      <w:r>
        <w:rPr>
          <w:rFonts w:eastAsia="黑体"/>
          <w:sz w:val="32"/>
          <w:szCs w:val="32"/>
        </w:rPr>
        <w:t>2017</w:t>
      </w:r>
      <w:r>
        <w:rPr>
          <w:rFonts w:hint="eastAsia" w:eastAsia="黑体"/>
          <w:sz w:val="32"/>
          <w:szCs w:val="32"/>
        </w:rPr>
        <w:t>年度部门决算报表</w:t>
      </w:r>
    </w:p>
    <w:p>
      <w:pPr>
        <w:widowControl/>
        <w:spacing w:line="580" w:lineRule="exact"/>
        <w:ind w:left="640" w:firstLine="640" w:firstLineChars="200"/>
        <w:rPr>
          <w:rFonts w:eastAsia="仿宋_GB2312"/>
          <w:sz w:val="32"/>
          <w:szCs w:val="32"/>
        </w:rPr>
      </w:pPr>
      <w:r>
        <w:rPr>
          <w:rFonts w:hint="eastAsia"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hint="eastAsia" w:eastAsia="仿宋_GB2312"/>
          <w:sz w:val="32"/>
          <w:szCs w:val="32"/>
        </w:rPr>
        <w:t>二、收入决算表</w:t>
      </w:r>
    </w:p>
    <w:p>
      <w:pPr>
        <w:widowControl/>
        <w:spacing w:line="580" w:lineRule="exact"/>
        <w:ind w:left="640" w:firstLine="640" w:firstLineChars="200"/>
        <w:rPr>
          <w:rFonts w:eastAsia="仿宋_GB2312"/>
          <w:sz w:val="32"/>
          <w:szCs w:val="32"/>
        </w:rPr>
      </w:pPr>
      <w:r>
        <w:rPr>
          <w:rFonts w:hint="eastAsia" w:eastAsia="仿宋_GB2312"/>
          <w:sz w:val="32"/>
          <w:szCs w:val="32"/>
        </w:rPr>
        <w:t>三、支出决算表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hint="eastAsia"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w:t>
      </w:r>
      <w:r>
        <w:rPr>
          <w:rFonts w:hint="eastAsia" w:eastAsia="仿宋_GB2312"/>
          <w:sz w:val="32"/>
          <w:szCs w:val="32"/>
        </w:rPr>
        <w:t>三公</w:t>
      </w:r>
      <w:r>
        <w:rPr>
          <w:rFonts w:eastAsia="仿宋_GB2312"/>
          <w:sz w:val="32"/>
          <w:szCs w:val="32"/>
        </w:rPr>
        <w:t>”</w:t>
      </w:r>
      <w:r>
        <w:rPr>
          <w:rFonts w:hint="eastAsia" w:eastAsia="仿宋_GB2312"/>
          <w:sz w:val="32"/>
          <w:szCs w:val="32"/>
        </w:rPr>
        <w:t>经费等相关信息统计表</w:t>
      </w:r>
    </w:p>
    <w:p>
      <w:pPr>
        <w:widowControl/>
        <w:spacing w:line="580" w:lineRule="exact"/>
        <w:ind w:left="640" w:firstLine="640" w:firstLineChars="200"/>
        <w:rPr>
          <w:rFonts w:eastAsia="仿宋_GB2312"/>
          <w:sz w:val="32"/>
          <w:szCs w:val="32"/>
        </w:rPr>
      </w:pPr>
      <w:r>
        <w:rPr>
          <w:rFonts w:hint="eastAsia" w:eastAsia="仿宋_GB2312"/>
          <w:sz w:val="32"/>
          <w:szCs w:val="32"/>
        </w:rPr>
        <w:t>十、政府采购情况表</w:t>
      </w:r>
    </w:p>
    <w:p>
      <w:pPr>
        <w:widowControl/>
        <w:spacing w:line="580" w:lineRule="exact"/>
        <w:ind w:firstLine="640" w:firstLineChars="200"/>
        <w:rPr>
          <w:rFonts w:eastAsia="黑体"/>
          <w:sz w:val="32"/>
          <w:szCs w:val="32"/>
        </w:rPr>
      </w:pPr>
      <w:r>
        <w:rPr>
          <w:rFonts w:hint="eastAsia" w:eastAsia="黑体"/>
          <w:sz w:val="32"/>
          <w:szCs w:val="32"/>
        </w:rPr>
        <w:t>第三部分</w:t>
      </w:r>
      <w:r>
        <w:rPr>
          <w:rFonts w:eastAsia="黑体"/>
          <w:sz w:val="32"/>
          <w:szCs w:val="32"/>
        </w:rPr>
        <w:t xml:space="preserve">  </w:t>
      </w:r>
      <w:r>
        <w:rPr>
          <w:rFonts w:hint="eastAsia" w:eastAsia="黑体"/>
          <w:sz w:val="32"/>
          <w:szCs w:val="32"/>
        </w:rPr>
        <w:t>中国共产党无极县委宣传部部门</w:t>
      </w:r>
      <w:r>
        <w:rPr>
          <w:rFonts w:eastAsia="黑体"/>
          <w:sz w:val="32"/>
          <w:szCs w:val="32"/>
        </w:rPr>
        <w:t>2017</w:t>
      </w:r>
      <w:r>
        <w:rPr>
          <w:rFonts w:hint="eastAsia" w:eastAsia="黑体"/>
          <w:sz w:val="32"/>
          <w:szCs w:val="32"/>
        </w:rPr>
        <w:t>年部门决算情况说明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hint="eastAsia"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w:t>
      </w:r>
      <w:r>
        <w:rPr>
          <w:rFonts w:eastAsia="仿宋_GB2312"/>
          <w:sz w:val="32"/>
          <w:szCs w:val="32"/>
        </w:rPr>
        <w:t>“</w:t>
      </w:r>
      <w:r>
        <w:rPr>
          <w:rFonts w:hint="eastAsia" w:eastAsia="仿宋_GB2312"/>
          <w:sz w:val="32"/>
          <w:szCs w:val="32"/>
        </w:rPr>
        <w:t>三公</w:t>
      </w:r>
      <w:r>
        <w:rPr>
          <w:rFonts w:eastAsia="仿宋_GB2312"/>
          <w:sz w:val="32"/>
          <w:szCs w:val="32"/>
        </w:rPr>
        <w:t>”</w:t>
      </w:r>
      <w:r>
        <w:rPr>
          <w:rFonts w:hint="eastAsia" w:eastAsia="仿宋_GB2312"/>
          <w:sz w:val="32"/>
          <w:szCs w:val="32"/>
        </w:rPr>
        <w:t>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w:t>
      </w:r>
      <w:r>
        <w:rPr>
          <w:rFonts w:hint="eastAsia" w:eastAsia="仿宋_GB2312"/>
          <w:sz w:val="32"/>
          <w:szCs w:val="32"/>
        </w:rPr>
        <w:t>机关运行经费情况</w:t>
      </w:r>
    </w:p>
    <w:p>
      <w:pPr>
        <w:widowControl/>
        <w:spacing w:line="580" w:lineRule="exact"/>
        <w:ind w:left="640" w:firstLine="1344" w:firstLineChars="420"/>
        <w:rPr>
          <w:rFonts w:eastAsia="仿宋_GB2312"/>
          <w:sz w:val="32"/>
          <w:szCs w:val="32"/>
        </w:rPr>
      </w:pPr>
      <w:r>
        <w:rPr>
          <w:rFonts w:eastAsia="仿宋_GB2312"/>
          <w:sz w:val="32"/>
          <w:szCs w:val="32"/>
        </w:rPr>
        <w:t>2.</w:t>
      </w:r>
      <w:r>
        <w:rPr>
          <w:rFonts w:hint="eastAsia" w:eastAsia="仿宋_GB2312"/>
          <w:sz w:val="32"/>
          <w:szCs w:val="32"/>
        </w:rPr>
        <w:t>政府采购情况</w:t>
      </w:r>
    </w:p>
    <w:p>
      <w:pPr>
        <w:widowControl/>
        <w:spacing w:line="580" w:lineRule="exact"/>
        <w:ind w:left="640" w:firstLine="1344" w:firstLineChars="420"/>
        <w:rPr>
          <w:rFonts w:eastAsia="仿宋_GB2312"/>
          <w:sz w:val="32"/>
          <w:szCs w:val="32"/>
        </w:rPr>
      </w:pPr>
      <w:r>
        <w:rPr>
          <w:rFonts w:eastAsia="仿宋_GB2312"/>
          <w:sz w:val="32"/>
          <w:szCs w:val="32"/>
        </w:rPr>
        <w:t>3.</w:t>
      </w:r>
      <w:r>
        <w:rPr>
          <w:rFonts w:hint="eastAsia" w:eastAsia="仿宋_GB2312"/>
          <w:sz w:val="32"/>
          <w:szCs w:val="32"/>
        </w:rPr>
        <w:t>国有资产占用情况</w:t>
      </w:r>
    </w:p>
    <w:p>
      <w:pPr>
        <w:widowControl/>
        <w:spacing w:line="580" w:lineRule="exact"/>
        <w:ind w:left="640" w:firstLine="1344" w:firstLineChars="420"/>
        <w:rPr>
          <w:rFonts w:eastAsia="仿宋_GB2312"/>
          <w:sz w:val="32"/>
          <w:szCs w:val="32"/>
        </w:rPr>
      </w:pPr>
      <w:r>
        <w:rPr>
          <w:rFonts w:eastAsia="仿宋_GB2312"/>
          <w:sz w:val="32"/>
          <w:szCs w:val="32"/>
        </w:rPr>
        <w:t>4.</w:t>
      </w:r>
      <w:r>
        <w:rPr>
          <w:rFonts w:hint="eastAsia" w:eastAsia="仿宋_GB2312"/>
          <w:sz w:val="32"/>
          <w:szCs w:val="32"/>
        </w:rPr>
        <w:t>其他需要说明的情况</w:t>
      </w:r>
    </w:p>
    <w:p>
      <w:pPr>
        <w:widowControl/>
        <w:spacing w:line="580" w:lineRule="exact"/>
        <w:ind w:firstLine="640" w:firstLineChars="200"/>
        <w:rPr>
          <w:rFonts w:eastAsia="黑体"/>
          <w:sz w:val="32"/>
          <w:szCs w:val="32"/>
        </w:rPr>
      </w:pPr>
      <w:r>
        <w:rPr>
          <w:rFonts w:hint="eastAsia" w:eastAsia="黑体"/>
          <w:sz w:val="32"/>
          <w:szCs w:val="32"/>
        </w:rPr>
        <w:t>第四部分</w:t>
      </w:r>
      <w:r>
        <w:rPr>
          <w:rFonts w:eastAsia="黑体"/>
          <w:sz w:val="32"/>
          <w:szCs w:val="32"/>
        </w:rPr>
        <w:t xml:space="preserve">  </w:t>
      </w:r>
      <w:r>
        <w:rPr>
          <w:rFonts w:hint="eastAsia" w:eastAsia="黑体"/>
          <w:sz w:val="32"/>
          <w:szCs w:val="32"/>
        </w:rPr>
        <w:t>名词解释</w:t>
      </w:r>
    </w:p>
    <w:p/>
    <w:p/>
    <w:p/>
    <w:p>
      <w:pPr>
        <w:pStyle w:val="2"/>
        <w:spacing w:line="560" w:lineRule="exact"/>
        <w:jc w:val="center"/>
        <w:rPr>
          <w:rFonts w:ascii="宋体" w:cs="ArialUnicodeMS"/>
          <w:color w:val="000000"/>
          <w:kern w:val="0"/>
        </w:rPr>
      </w:pPr>
      <w:r>
        <w:rPr>
          <w:rFonts w:hint="eastAsia" w:ascii="宋体" w:hAnsi="宋体" w:cs="ArialUnicodeMS"/>
          <w:color w:val="000000"/>
          <w:kern w:val="0"/>
        </w:rPr>
        <w:t>第一部分</w:t>
      </w:r>
      <w:r>
        <w:rPr>
          <w:rFonts w:ascii="宋体" w:hAnsi="宋体" w:cs="ArialUnicodeMS"/>
          <w:color w:val="000000"/>
          <w:kern w:val="0"/>
        </w:rPr>
        <w:t xml:space="preserve"> </w:t>
      </w:r>
      <w:r>
        <w:rPr>
          <w:rFonts w:hint="eastAsia" w:ascii="宋体" w:hAnsi="宋体" w:cs="ArialUnicodeMS"/>
          <w:color w:val="000000"/>
          <w:kern w:val="0"/>
        </w:rPr>
        <w:t>部门概况</w:t>
      </w:r>
    </w:p>
    <w:p>
      <w:pPr>
        <w:pStyle w:val="3"/>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一、部门职责</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中共无极县委宣传部是县委主管全县意识形态方面工作的综合职能部门，主要职责是：</w:t>
      </w:r>
    </w:p>
    <w:p>
      <w:pPr>
        <w:numPr>
          <w:ilvl w:val="0"/>
          <w:numId w:val="1"/>
        </w:num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根据中央提出的一个时期的中心工作和中宣部、省委、市委、县委的要求，结合我县情况，制定宣传规划，提出实施方案，部署工作任务。</w:t>
      </w:r>
    </w:p>
    <w:p>
      <w:pPr>
        <w:numPr>
          <w:ilvl w:val="0"/>
          <w:numId w:val="1"/>
        </w:num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负责指导全县理论研究、理论学习、理论宣传工作。负责县委理论学习中心组理论学习的有关工作。</w:t>
      </w:r>
    </w:p>
    <w:p>
      <w:pPr>
        <w:numPr>
          <w:ilvl w:val="0"/>
          <w:numId w:val="1"/>
        </w:num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负责引导社会舆论，指导、协调各新闻单位的工作。对县广播电视台的工作实施方针、政策的指导。</w:t>
      </w:r>
    </w:p>
    <w:p>
      <w:pPr>
        <w:numPr>
          <w:ilvl w:val="0"/>
          <w:numId w:val="1"/>
        </w:num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负责从宏观上指导全县精神产品生产和文化事业建设。对县文广新局、县文联实施方针、政策的指导。</w:t>
      </w:r>
    </w:p>
    <w:p>
      <w:pPr>
        <w:numPr>
          <w:ilvl w:val="0"/>
          <w:numId w:val="1"/>
        </w:num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负责规划、部署全局性的党员教育和思想政治工作，组织开展思想教育活动；负责全县爱国主义教育基地的建设和管理；负责全县政工职称的评定和政工师的管理工作。</w:t>
      </w:r>
    </w:p>
    <w:p>
      <w:pPr>
        <w:spacing w:line="600" w:lineRule="exact"/>
        <w:rPr>
          <w:rFonts w:ascii="仿宋_GB2312" w:hAnsi="仿宋_GB2312" w:eastAsia="仿宋_GB2312" w:cs="仿宋_GB2312"/>
          <w:sz w:val="32"/>
          <w:szCs w:val="32"/>
        </w:rPr>
      </w:pPr>
      <w:r>
        <w:rPr>
          <w:rFonts w:ascii="仿宋_GB2312" w:hAnsi="仿宋_GB2312" w:eastAsia="仿宋_GB2312" w:cs="仿宋_GB2312"/>
          <w:sz w:val="32"/>
          <w:szCs w:val="32"/>
        </w:rPr>
        <w:t xml:space="preserve">     6</w:t>
      </w:r>
      <w:r>
        <w:rPr>
          <w:rFonts w:hint="eastAsia" w:ascii="仿宋_GB2312" w:hAnsi="仿宋_GB2312" w:eastAsia="仿宋_GB2312" w:cs="仿宋_GB2312"/>
          <w:sz w:val="32"/>
          <w:szCs w:val="32"/>
        </w:rPr>
        <w:t>、负责谋划全县对外宣传工作，组织协调我县对外宣传和网上新闻宣传工作，完成市委外宣工作领导小组交办的各项工作。</w:t>
      </w:r>
    </w:p>
    <w:p>
      <w:pPr>
        <w:spacing w:line="600" w:lineRule="exact"/>
        <w:rPr>
          <w:rFonts w:ascii="仿宋_GB2312" w:hAnsi="仿宋_GB2312" w:eastAsia="仿宋_GB2312" w:cs="仿宋_GB2312"/>
          <w:sz w:val="32"/>
          <w:szCs w:val="32"/>
        </w:rPr>
      </w:pPr>
      <w:r>
        <w:rPr>
          <w:rFonts w:ascii="仿宋_GB2312" w:hAnsi="仿宋_GB2312" w:eastAsia="仿宋_GB2312" w:cs="仿宋_GB2312"/>
          <w:sz w:val="32"/>
          <w:szCs w:val="32"/>
        </w:rPr>
        <w:t xml:space="preserve">     7</w:t>
      </w:r>
      <w:r>
        <w:rPr>
          <w:rFonts w:hint="eastAsia" w:ascii="仿宋_GB2312" w:hAnsi="仿宋_GB2312" w:eastAsia="仿宋_GB2312" w:cs="仿宋_GB2312"/>
          <w:sz w:val="32"/>
          <w:szCs w:val="32"/>
        </w:rPr>
        <w:t>、负责规划部署全县精神文明建设工作；组织指导全县群众性精神文明创建活动。</w:t>
      </w:r>
    </w:p>
    <w:p>
      <w:pPr>
        <w:spacing w:line="600" w:lineRule="exact"/>
        <w:rPr>
          <w:rFonts w:ascii="仿宋_GB2312" w:hAnsi="仿宋_GB2312" w:eastAsia="仿宋_GB2312" w:cs="仿宋_GB2312"/>
          <w:sz w:val="32"/>
          <w:szCs w:val="32"/>
        </w:rPr>
      </w:pPr>
      <w:r>
        <w:rPr>
          <w:rFonts w:ascii="仿宋_GB2312" w:hAnsi="仿宋_GB2312" w:eastAsia="仿宋_GB2312" w:cs="仿宋_GB2312"/>
          <w:sz w:val="32"/>
          <w:szCs w:val="32"/>
        </w:rPr>
        <w:t xml:space="preserve">     8</w:t>
      </w:r>
      <w:r>
        <w:rPr>
          <w:rFonts w:hint="eastAsia" w:ascii="仿宋_GB2312" w:hAnsi="仿宋_GB2312" w:eastAsia="仿宋_GB2312" w:cs="仿宋_GB2312"/>
          <w:sz w:val="32"/>
          <w:szCs w:val="32"/>
        </w:rPr>
        <w:t>、指导协调全县文化市场建设和管理，落实“扫黄打非”任务，做好督导检查工作，及时掌握研究文化市场发展动向和趋势。</w:t>
      </w:r>
    </w:p>
    <w:p>
      <w:pPr>
        <w:spacing w:line="600" w:lineRule="exact"/>
        <w:rPr>
          <w:rFonts w:ascii="仿宋_GB2312" w:hAnsi="Cambria" w:eastAsia="仿宋_GB2312" w:cs="ArialUnicodeMS"/>
          <w:kern w:val="0"/>
          <w:sz w:val="32"/>
          <w:szCs w:val="32"/>
          <w:highlight w:val="yellow"/>
        </w:rPr>
      </w:pPr>
      <w:r>
        <w:rPr>
          <w:rFonts w:ascii="仿宋_GB2312" w:hAnsi="仿宋_GB2312" w:eastAsia="仿宋_GB2312" w:cs="仿宋_GB2312"/>
          <w:sz w:val="32"/>
          <w:szCs w:val="32"/>
        </w:rPr>
        <w:t xml:space="preserve">     9</w:t>
      </w:r>
      <w:r>
        <w:rPr>
          <w:rFonts w:hint="eastAsia" w:ascii="仿宋_GB2312" w:hAnsi="仿宋_GB2312" w:eastAsia="仿宋_GB2312" w:cs="仿宋_GB2312"/>
          <w:sz w:val="32"/>
          <w:szCs w:val="32"/>
        </w:rPr>
        <w:t>、完成市委宣传部和县委交办的其他任务。</w:t>
      </w:r>
    </w:p>
    <w:p>
      <w:pPr>
        <w:pStyle w:val="3"/>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二、部门决算单位构成</w:t>
      </w: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2017年度，纳入本部门决算汇编范围的独立核算单位</w:t>
      </w:r>
    </w:p>
    <w:p>
      <w:pPr>
        <w:autoSpaceDE w:val="0"/>
        <w:autoSpaceDN w:val="0"/>
        <w:adjustRightInd w:val="0"/>
        <w:spacing w:after="0" w:line="560" w:lineRule="exact"/>
        <w:jc w:val="left"/>
        <w:rPr>
          <w:rFonts w:hint="eastAsia" w:ascii="仿宋_GB2312" w:eastAsia="仿宋_GB2312" w:cs="ArialUnicodeMS" w:hAnsiTheme="minorHAnsi"/>
          <w:kern w:val="0"/>
          <w:sz w:val="32"/>
          <w:szCs w:val="32"/>
          <w:lang w:eastAsia="zh-CN"/>
        </w:rPr>
        <w:sectPr>
          <w:pgSz w:w="11906" w:h="16838"/>
          <w:pgMar w:top="2098" w:right="1474" w:bottom="1985" w:left="1588" w:header="851" w:footer="992" w:gutter="0"/>
          <w:pgNumType w:start="0"/>
          <w:cols w:space="425" w:num="1"/>
          <w:titlePg/>
          <w:docGrid w:type="lines" w:linePitch="312" w:charSpace="0"/>
        </w:sectPr>
      </w:pPr>
      <w:r>
        <w:rPr>
          <w:rFonts w:hint="eastAsia" w:ascii="仿宋_GB2312" w:eastAsia="仿宋_GB2312" w:cs="ArialUnicodeMS" w:hAnsiTheme="minorHAnsi"/>
          <w:kern w:val="0"/>
          <w:sz w:val="32"/>
          <w:szCs w:val="32"/>
        </w:rPr>
        <w:t>（以下简称“单位”）共</w:t>
      </w:r>
      <w:r>
        <w:rPr>
          <w:rFonts w:hint="eastAsia" w:ascii="仿宋_GB2312" w:eastAsia="仿宋_GB2312" w:cs="ArialUnicodeMS" w:hAnsiTheme="minorHAnsi"/>
          <w:kern w:val="0"/>
          <w:sz w:val="32"/>
          <w:szCs w:val="32"/>
          <w:lang w:val="en-US" w:eastAsia="zh-CN"/>
        </w:rPr>
        <w:t>1</w:t>
      </w:r>
      <w:r>
        <w:rPr>
          <w:rFonts w:hint="eastAsia" w:ascii="仿宋_GB2312" w:eastAsia="仿宋_GB2312" w:cs="ArialUnicodeMS" w:hAnsiTheme="minorHAnsi"/>
          <w:kern w:val="0"/>
          <w:sz w:val="32"/>
          <w:szCs w:val="32"/>
        </w:rPr>
        <w:t>个，分别是</w:t>
      </w:r>
      <w:r>
        <w:rPr>
          <w:rFonts w:hint="eastAsia" w:ascii="仿宋_GB2312" w:eastAsia="仿宋_GB2312" w:cs="ArialUnicodeMS" w:hAnsiTheme="minorHAnsi"/>
          <w:kern w:val="0"/>
          <w:sz w:val="32"/>
          <w:szCs w:val="32"/>
          <w:lang w:eastAsia="zh-CN"/>
        </w:rPr>
        <w:t>无极县委</w:t>
      </w:r>
      <w:r>
        <w:rPr>
          <w:rFonts w:hint="eastAsia" w:ascii="仿宋_GB2312" w:eastAsia="仿宋_GB2312" w:cs="ArialUnicodeMS" w:hAnsiTheme="minorHAnsi"/>
          <w:kern w:val="0"/>
          <w:sz w:val="32"/>
          <w:szCs w:val="32"/>
          <w:lang w:val="en-US" w:eastAsia="zh-CN"/>
        </w:rPr>
        <w:t>宣传部</w:t>
      </w:r>
      <w:r>
        <w:rPr>
          <w:rFonts w:hint="eastAsia" w:ascii="仿宋_GB2312" w:eastAsia="仿宋_GB2312" w:cs="ArialUnicodeMS" w:hAnsiTheme="minorHAnsi"/>
          <w:kern w:val="0"/>
          <w:sz w:val="32"/>
          <w:szCs w:val="32"/>
        </w:rPr>
        <w:t>，单位基本性质为</w:t>
      </w:r>
      <w:r>
        <w:rPr>
          <w:rFonts w:hint="eastAsia" w:ascii="仿宋_GB2312" w:eastAsia="仿宋_GB2312" w:cs="ArialUnicodeMS" w:hAnsiTheme="minorHAnsi"/>
          <w:kern w:val="0"/>
          <w:sz w:val="32"/>
          <w:szCs w:val="32"/>
          <w:lang w:eastAsia="zh-CN"/>
        </w:rPr>
        <w:t>行政</w:t>
      </w:r>
      <w:r>
        <w:rPr>
          <w:rFonts w:hint="eastAsia" w:ascii="仿宋_GB2312" w:eastAsia="仿宋_GB2312" w:cs="ArialUnicodeMS" w:hAnsiTheme="minorHAnsi"/>
          <w:kern w:val="0"/>
          <w:sz w:val="32"/>
          <w:szCs w:val="32"/>
        </w:rPr>
        <w:t>单位，预算管理级次为</w:t>
      </w:r>
      <w:r>
        <w:rPr>
          <w:rFonts w:hint="eastAsia" w:ascii="仿宋_GB2312" w:eastAsia="仿宋_GB2312" w:cs="ArialUnicodeMS" w:hAnsiTheme="minorHAnsi"/>
          <w:kern w:val="0"/>
          <w:sz w:val="32"/>
          <w:szCs w:val="32"/>
          <w:lang w:eastAsia="zh-CN"/>
        </w:rPr>
        <w:t>正科</w:t>
      </w:r>
      <w:r>
        <w:rPr>
          <w:rFonts w:hint="eastAsia" w:ascii="仿宋_GB2312" w:eastAsia="仿宋_GB2312" w:cs="ArialUnicodeMS" w:hAnsiTheme="minorHAnsi"/>
          <w:kern w:val="0"/>
          <w:sz w:val="32"/>
          <w:szCs w:val="32"/>
        </w:rPr>
        <w:t>级预算单位，执行</w:t>
      </w:r>
      <w:r>
        <w:rPr>
          <w:rFonts w:hint="eastAsia" w:ascii="仿宋_GB2312" w:eastAsia="仿宋_GB2312" w:cs="ArialUnicodeMS" w:hAnsiTheme="minorHAnsi"/>
          <w:kern w:val="0"/>
          <w:sz w:val="32"/>
          <w:szCs w:val="32"/>
          <w:lang w:eastAsia="zh-CN"/>
        </w:rPr>
        <w:t>行政</w:t>
      </w:r>
      <w:r>
        <w:rPr>
          <w:rFonts w:hint="eastAsia" w:ascii="仿宋_GB2312" w:eastAsia="仿宋_GB2312" w:cs="ArialUnicodeMS" w:hAnsiTheme="minorHAnsi"/>
          <w:kern w:val="0"/>
          <w:sz w:val="32"/>
          <w:szCs w:val="32"/>
        </w:rPr>
        <w:t>单位会计制度</w:t>
      </w:r>
      <w:r>
        <w:rPr>
          <w:rFonts w:hint="eastAsia" w:ascii="仿宋_GB2312" w:eastAsia="仿宋_GB2312" w:cs="ArialUnicodeMS" w:hAnsiTheme="minorHAnsi"/>
          <w:kern w:val="0"/>
          <w:sz w:val="32"/>
          <w:szCs w:val="32"/>
          <w:lang w:eastAsia="zh-CN"/>
        </w:rPr>
        <w:t>。</w:t>
      </w:r>
      <w:bookmarkStart w:id="0" w:name="_GoBack"/>
      <w:bookmarkEnd w:id="0"/>
    </w:p>
    <w:p/>
    <w:tbl>
      <w:tblPr>
        <w:tblStyle w:val="10"/>
        <w:tblW w:w="8777"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10"/>
        <w:gridCol w:w="1532"/>
        <w:gridCol w:w="1530"/>
        <w:gridCol w:w="22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82" w:hRule="atLeast"/>
          <w:tblHeader/>
          <w:jc w:val="center"/>
        </w:trPr>
        <w:tc>
          <w:tcPr>
            <w:tcW w:w="3510" w:type="dxa"/>
            <w:vAlign w:val="center"/>
          </w:tcPr>
          <w:p>
            <w:pPr>
              <w:widowControl w:val="0"/>
              <w:tabs>
                <w:tab w:val="left" w:pos="1035"/>
                <w:tab w:val="center" w:pos="2173"/>
              </w:tabs>
              <w:wordWrap/>
              <w:adjustRightInd/>
              <w:snapToGrid/>
              <w:spacing w:before="0" w:after="160" w:line="340" w:lineRule="exact"/>
              <w:ind w:left="0" w:leftChars="0" w:right="0" w:firstLine="0" w:firstLineChars="0"/>
              <w:jc w:val="center"/>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单位名称</w:t>
            </w:r>
          </w:p>
        </w:tc>
        <w:tc>
          <w:tcPr>
            <w:tcW w:w="1532" w:type="dxa"/>
            <w:vAlign w:val="center"/>
          </w:tcPr>
          <w:p>
            <w:pPr>
              <w:widowControl w:val="0"/>
              <w:wordWrap/>
              <w:adjustRightInd/>
              <w:snapToGrid/>
              <w:spacing w:before="0" w:after="160" w:line="340" w:lineRule="exact"/>
              <w:ind w:left="0" w:leftChars="0" w:right="0" w:firstLine="0" w:firstLineChars="0"/>
              <w:jc w:val="center"/>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单位性质</w:t>
            </w:r>
          </w:p>
        </w:tc>
        <w:tc>
          <w:tcPr>
            <w:tcW w:w="1530" w:type="dxa"/>
            <w:vAlign w:val="center"/>
          </w:tcPr>
          <w:p>
            <w:pPr>
              <w:widowControl w:val="0"/>
              <w:wordWrap/>
              <w:adjustRightInd/>
              <w:snapToGrid/>
              <w:spacing w:before="0" w:after="160" w:line="340" w:lineRule="exact"/>
              <w:ind w:left="0" w:leftChars="0" w:right="0" w:firstLine="0" w:firstLineChars="0"/>
              <w:jc w:val="center"/>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单位规格</w:t>
            </w:r>
          </w:p>
        </w:tc>
        <w:tc>
          <w:tcPr>
            <w:tcW w:w="2205" w:type="dxa"/>
            <w:vAlign w:val="center"/>
          </w:tcPr>
          <w:p>
            <w:pPr>
              <w:widowControl w:val="0"/>
              <w:wordWrap/>
              <w:adjustRightInd/>
              <w:snapToGrid/>
              <w:spacing w:before="0" w:after="160" w:line="340" w:lineRule="exact"/>
              <w:ind w:left="0" w:leftChars="0" w:right="0" w:firstLine="0" w:firstLineChars="0"/>
              <w:jc w:val="center"/>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85" w:hRule="atLeast"/>
          <w:jc w:val="center"/>
        </w:trPr>
        <w:tc>
          <w:tcPr>
            <w:tcW w:w="3510" w:type="dxa"/>
            <w:vAlign w:val="center"/>
          </w:tcPr>
          <w:p>
            <w:pPr>
              <w:widowControl w:val="0"/>
              <w:wordWrap/>
              <w:adjustRightInd/>
              <w:snapToGrid/>
              <w:spacing w:before="0" w:after="160" w:line="340" w:lineRule="exact"/>
              <w:ind w:left="0" w:leftChars="0" w:right="0" w:firstLine="0" w:firstLineChars="0"/>
              <w:jc w:val="center"/>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中共无极县委宣传部</w:t>
            </w:r>
          </w:p>
        </w:tc>
        <w:tc>
          <w:tcPr>
            <w:tcW w:w="1532" w:type="dxa"/>
            <w:vAlign w:val="center"/>
          </w:tcPr>
          <w:p>
            <w:pPr>
              <w:widowControl w:val="0"/>
              <w:wordWrap/>
              <w:adjustRightInd/>
              <w:snapToGrid/>
              <w:spacing w:before="0" w:after="160" w:line="340" w:lineRule="exact"/>
              <w:ind w:left="0" w:leftChars="0" w:right="0" w:firstLine="0" w:firstLineChars="0"/>
              <w:jc w:val="center"/>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行政</w:t>
            </w:r>
          </w:p>
        </w:tc>
        <w:tc>
          <w:tcPr>
            <w:tcW w:w="1530" w:type="dxa"/>
            <w:vAlign w:val="center"/>
          </w:tcPr>
          <w:p>
            <w:pPr>
              <w:widowControl w:val="0"/>
              <w:wordWrap/>
              <w:adjustRightInd/>
              <w:snapToGrid/>
              <w:spacing w:before="0" w:after="160" w:line="340" w:lineRule="exact"/>
              <w:ind w:left="0" w:leftChars="0" w:right="0" w:firstLine="0" w:firstLineChars="0"/>
              <w:jc w:val="center"/>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正科级</w:t>
            </w:r>
          </w:p>
        </w:tc>
        <w:tc>
          <w:tcPr>
            <w:tcW w:w="2205" w:type="dxa"/>
            <w:vAlign w:val="center"/>
          </w:tcPr>
          <w:p>
            <w:pPr>
              <w:widowControl w:val="0"/>
              <w:wordWrap/>
              <w:adjustRightInd/>
              <w:snapToGrid/>
              <w:spacing w:before="0" w:after="160" w:line="340" w:lineRule="exact"/>
              <w:ind w:left="0" w:leftChars="0" w:right="0" w:firstLine="0" w:firstLineChars="0"/>
              <w:jc w:val="center"/>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财政拨款</w:t>
            </w:r>
          </w:p>
        </w:tc>
      </w:tr>
    </w:tbl>
    <w:p>
      <w:pPr>
        <w:spacing w:after="0" w:line="560" w:lineRule="exact"/>
        <w:sectPr>
          <w:pgSz w:w="11906" w:h="16838"/>
          <w:pgMar w:top="2098" w:right="1474" w:bottom="1985" w:left="1588" w:header="851" w:footer="992" w:gutter="0"/>
          <w:pgNumType w:start="0"/>
          <w:cols w:space="720" w:num="1"/>
          <w:titlePg/>
          <w:docGrid w:type="lines" w:linePitch="312" w:charSpace="0"/>
        </w:sectPr>
      </w:pPr>
    </w:p>
    <w:p>
      <w:pPr>
        <w:pStyle w:val="2"/>
        <w:spacing w:line="560" w:lineRule="exact"/>
        <w:jc w:val="center"/>
        <w:rPr>
          <w:rFonts w:ascii="宋体" w:cs="ArialUnicodeMS"/>
          <w:color w:val="000000"/>
          <w:kern w:val="0"/>
        </w:rPr>
      </w:pPr>
      <w:r>
        <w:rPr>
          <w:rFonts w:hint="eastAsia" w:ascii="宋体" w:hAnsi="宋体" w:cs="ArialUnicodeMS"/>
          <w:color w:val="000000"/>
          <w:kern w:val="0"/>
        </w:rPr>
        <w:t>第二部分</w:t>
      </w:r>
      <w:r>
        <w:rPr>
          <w:rFonts w:ascii="宋体" w:hAnsi="宋体" w:cs="ArialUnicodeMS"/>
          <w:color w:val="000000"/>
          <w:kern w:val="0"/>
        </w:rPr>
        <w:t xml:space="preserve"> 2017</w:t>
      </w:r>
      <w:r>
        <w:rPr>
          <w:rFonts w:hint="eastAsia" w:ascii="宋体" w:hAnsi="宋体" w:cs="ArialUnicodeMS"/>
          <w:color w:val="000000"/>
          <w:kern w:val="0"/>
        </w:rPr>
        <w:t>年度部门决算报表</w:t>
      </w:r>
    </w:p>
    <w:p>
      <w:pPr>
        <w:widowControl/>
        <w:spacing w:line="580" w:lineRule="exact"/>
        <w:ind w:left="640" w:firstLine="640" w:firstLineChars="200"/>
        <w:jc w:val="center"/>
        <w:rPr>
          <w:rFonts w:eastAsia="仿宋_GB2312"/>
          <w:sz w:val="32"/>
          <w:szCs w:val="32"/>
        </w:rPr>
      </w:pPr>
      <w:r>
        <w:rPr>
          <w:rFonts w:hint="eastAsia" w:eastAsia="仿宋_GB2312"/>
          <w:sz w:val="32"/>
          <w:szCs w:val="32"/>
        </w:rPr>
        <w:t>（详见附件）</w:t>
      </w:r>
    </w:p>
    <w:p>
      <w:pPr>
        <w:widowControl/>
        <w:spacing w:line="580" w:lineRule="exact"/>
        <w:ind w:left="640" w:firstLine="640" w:firstLineChars="200"/>
        <w:rPr>
          <w:rFonts w:eastAsia="仿宋_GB2312"/>
          <w:sz w:val="32"/>
          <w:szCs w:val="32"/>
        </w:rPr>
      </w:pPr>
      <w:r>
        <w:rPr>
          <w:rFonts w:hint="eastAsia"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hint="eastAsia" w:eastAsia="仿宋_GB2312"/>
          <w:sz w:val="32"/>
          <w:szCs w:val="32"/>
        </w:rPr>
        <w:t>二、收入决算表</w:t>
      </w:r>
    </w:p>
    <w:p>
      <w:pPr>
        <w:widowControl/>
        <w:spacing w:line="580" w:lineRule="exact"/>
        <w:ind w:left="640" w:firstLine="640" w:firstLineChars="200"/>
        <w:rPr>
          <w:rFonts w:eastAsia="仿宋_GB2312"/>
          <w:sz w:val="32"/>
          <w:szCs w:val="32"/>
        </w:rPr>
      </w:pPr>
      <w:r>
        <w:rPr>
          <w:rFonts w:hint="eastAsia" w:eastAsia="仿宋_GB2312"/>
          <w:sz w:val="32"/>
          <w:szCs w:val="32"/>
        </w:rPr>
        <w:t>三、支出决算表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hint="eastAsia"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w:t>
      </w:r>
      <w:r>
        <w:rPr>
          <w:rFonts w:hint="eastAsia" w:eastAsia="仿宋_GB2312"/>
          <w:sz w:val="32"/>
          <w:szCs w:val="32"/>
        </w:rPr>
        <w:t>三公</w:t>
      </w:r>
      <w:r>
        <w:rPr>
          <w:rFonts w:eastAsia="仿宋_GB2312"/>
          <w:sz w:val="32"/>
          <w:szCs w:val="32"/>
        </w:rPr>
        <w:t>”</w:t>
      </w:r>
      <w:r>
        <w:rPr>
          <w:rFonts w:hint="eastAsia" w:eastAsia="仿宋_GB2312"/>
          <w:sz w:val="32"/>
          <w:szCs w:val="32"/>
        </w:rPr>
        <w:t>经费等相关信息统计表</w:t>
      </w:r>
    </w:p>
    <w:p>
      <w:pPr>
        <w:widowControl/>
        <w:spacing w:line="580" w:lineRule="exact"/>
        <w:ind w:left="640" w:firstLine="640" w:firstLineChars="200"/>
        <w:rPr>
          <w:rFonts w:eastAsia="仿宋_GB2312"/>
          <w:sz w:val="32"/>
          <w:szCs w:val="32"/>
        </w:rPr>
      </w:pPr>
      <w:r>
        <w:rPr>
          <w:rFonts w:hint="eastAsia" w:eastAsia="仿宋_GB2312"/>
          <w:sz w:val="32"/>
          <w:szCs w:val="32"/>
        </w:rPr>
        <w:t>十、政府采购情况表</w:t>
      </w:r>
    </w:p>
    <w:p>
      <w:pPr>
        <w:autoSpaceDE w:val="0"/>
        <w:autoSpaceDN w:val="0"/>
        <w:adjustRightInd w:val="0"/>
        <w:spacing w:line="560" w:lineRule="exact"/>
        <w:jc w:val="left"/>
        <w:rPr>
          <w:rFonts w:ascii="宋体" w:cs="黑体"/>
          <w:b/>
          <w:color w:val="FF0000"/>
          <w:kern w:val="0"/>
          <w:sz w:val="44"/>
          <w:szCs w:val="44"/>
        </w:rPr>
      </w:pPr>
    </w:p>
    <w:p>
      <w:pPr>
        <w:autoSpaceDE w:val="0"/>
        <w:autoSpaceDN w:val="0"/>
        <w:adjustRightInd w:val="0"/>
        <w:spacing w:line="560" w:lineRule="exact"/>
        <w:jc w:val="left"/>
        <w:rPr>
          <w:rFonts w:ascii="宋体" w:cs="黑体"/>
          <w:b/>
          <w:color w:val="FF0000"/>
          <w:kern w:val="0"/>
          <w:sz w:val="44"/>
          <w:szCs w:val="44"/>
        </w:rPr>
      </w:pPr>
    </w:p>
    <w:p>
      <w:pPr>
        <w:autoSpaceDE w:val="0"/>
        <w:autoSpaceDN w:val="0"/>
        <w:adjustRightInd w:val="0"/>
        <w:spacing w:line="560" w:lineRule="exact"/>
        <w:jc w:val="left"/>
        <w:rPr>
          <w:rFonts w:ascii="宋体" w:cs="黑体"/>
          <w:b/>
          <w:color w:val="FF0000"/>
          <w:kern w:val="0"/>
          <w:sz w:val="44"/>
          <w:szCs w:val="44"/>
        </w:rPr>
      </w:pPr>
    </w:p>
    <w:p>
      <w:pPr>
        <w:autoSpaceDE w:val="0"/>
        <w:autoSpaceDN w:val="0"/>
        <w:adjustRightInd w:val="0"/>
        <w:spacing w:line="560" w:lineRule="exact"/>
        <w:jc w:val="left"/>
        <w:rPr>
          <w:rFonts w:ascii="宋体" w:cs="黑体"/>
          <w:b/>
          <w:color w:val="FF0000"/>
          <w:kern w:val="0"/>
          <w:sz w:val="44"/>
          <w:szCs w:val="44"/>
        </w:rPr>
      </w:pPr>
    </w:p>
    <w:p>
      <w:pPr>
        <w:pStyle w:val="2"/>
        <w:spacing w:line="560" w:lineRule="exact"/>
        <w:jc w:val="center"/>
        <w:rPr>
          <w:rFonts w:ascii="宋体" w:cs="ArialUnicodeMS"/>
          <w:color w:val="000000"/>
          <w:kern w:val="0"/>
        </w:rPr>
      </w:pPr>
      <w:r>
        <w:rPr>
          <w:rFonts w:hint="eastAsia" w:ascii="宋体" w:hAnsi="宋体" w:cs="ArialUnicodeMS"/>
          <w:color w:val="000000"/>
          <w:kern w:val="0"/>
        </w:rPr>
        <w:t>第三部分</w:t>
      </w:r>
      <w:r>
        <w:rPr>
          <w:rFonts w:ascii="宋体" w:hAnsi="宋体" w:cs="ArialUnicodeMS"/>
          <w:color w:val="000000"/>
          <w:kern w:val="0"/>
        </w:rPr>
        <w:t xml:space="preserve"> </w:t>
      </w:r>
      <w:r>
        <w:rPr>
          <w:rFonts w:hint="eastAsia" w:ascii="宋体" w:hAnsi="宋体" w:cs="ArialUnicodeMS"/>
          <w:color w:val="000000"/>
          <w:kern w:val="0"/>
        </w:rPr>
        <w:t>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cs="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2017</w:t>
      </w:r>
      <w:r>
        <w:rPr>
          <w:rFonts w:hint="eastAsia" w:ascii="仿宋_GB2312" w:eastAsia="仿宋_GB2312" w:cs="DengXian-Regular"/>
          <w:sz w:val="32"/>
          <w:szCs w:val="32"/>
        </w:rPr>
        <w:t>年度年初结转和结余</w:t>
      </w:r>
      <w:r>
        <w:rPr>
          <w:rFonts w:ascii="仿宋_GB2312" w:eastAsia="仿宋_GB2312" w:cs="DengXian-Regular"/>
          <w:sz w:val="32"/>
          <w:szCs w:val="32"/>
        </w:rPr>
        <w:t>2.34</w:t>
      </w:r>
      <w:r>
        <w:rPr>
          <w:rFonts w:hint="eastAsia" w:ascii="仿宋_GB2312" w:eastAsia="仿宋_GB2312" w:cs="DengXian-Regular"/>
          <w:sz w:val="32"/>
          <w:szCs w:val="32"/>
        </w:rPr>
        <w:t>万元，本年收入</w:t>
      </w:r>
      <w:r>
        <w:rPr>
          <w:rFonts w:ascii="仿宋_GB2312" w:eastAsia="仿宋_GB2312" w:cs="DengXian-Regular"/>
          <w:sz w:val="32"/>
          <w:szCs w:val="32"/>
        </w:rPr>
        <w:t>306.33</w:t>
      </w:r>
      <w:r>
        <w:rPr>
          <w:rFonts w:hint="eastAsia" w:ascii="仿宋_GB2312" w:eastAsia="仿宋_GB2312" w:cs="DengXian-Regular"/>
          <w:sz w:val="32"/>
          <w:szCs w:val="32"/>
        </w:rPr>
        <w:t>万元；本年支出</w:t>
      </w:r>
      <w:r>
        <w:rPr>
          <w:rFonts w:ascii="仿宋_GB2312" w:eastAsia="仿宋_GB2312" w:cs="DengXian-Regular"/>
          <w:sz w:val="32"/>
          <w:szCs w:val="32"/>
        </w:rPr>
        <w:t>250.03</w:t>
      </w:r>
      <w:r>
        <w:rPr>
          <w:rFonts w:hint="eastAsia" w:ascii="仿宋_GB2312" w:eastAsia="仿宋_GB2312" w:cs="DengXian-Regular"/>
          <w:sz w:val="32"/>
          <w:szCs w:val="32"/>
        </w:rPr>
        <w:t>万元、年末结转和结余</w:t>
      </w:r>
      <w:r>
        <w:rPr>
          <w:rFonts w:ascii="仿宋_GB2312" w:eastAsia="仿宋_GB2312" w:cs="DengXian-Regular"/>
          <w:sz w:val="32"/>
          <w:szCs w:val="32"/>
        </w:rPr>
        <w:t>58.64</w:t>
      </w:r>
      <w:r>
        <w:rPr>
          <w:rFonts w:hint="eastAsia" w:ascii="仿宋_GB2312" w:eastAsia="仿宋_GB2312" w:cs="DengXian-Regular"/>
          <w:sz w:val="32"/>
          <w:szCs w:val="32"/>
        </w:rPr>
        <w:t>万元。与</w:t>
      </w:r>
      <w:r>
        <w:rPr>
          <w:rFonts w:ascii="仿宋_GB2312" w:eastAsia="仿宋_GB2312" w:cs="DengXian-Regular"/>
          <w:sz w:val="32"/>
          <w:szCs w:val="32"/>
        </w:rPr>
        <w:t>2016</w:t>
      </w:r>
      <w:r>
        <w:rPr>
          <w:rFonts w:hint="eastAsia" w:ascii="仿宋_GB2312" w:eastAsia="仿宋_GB2312" w:cs="DengXian-Regular"/>
          <w:sz w:val="32"/>
          <w:szCs w:val="32"/>
        </w:rPr>
        <w:t>年度决算相比，本年收入增加</w:t>
      </w:r>
      <w:r>
        <w:rPr>
          <w:rFonts w:ascii="仿宋_GB2312" w:eastAsia="仿宋_GB2312" w:cs="DengXian-Regular"/>
          <w:sz w:val="32"/>
          <w:szCs w:val="32"/>
        </w:rPr>
        <w:t>111.65</w:t>
      </w:r>
      <w:r>
        <w:rPr>
          <w:rFonts w:hint="eastAsia" w:ascii="仿宋_GB2312" w:eastAsia="仿宋_GB2312" w:cs="DengXian-Regular"/>
          <w:sz w:val="32"/>
          <w:szCs w:val="32"/>
        </w:rPr>
        <w:t>万元，增长</w:t>
      </w:r>
      <w:r>
        <w:rPr>
          <w:rFonts w:ascii="仿宋_GB2312" w:eastAsia="仿宋_GB2312" w:cs="DengXian-Regular"/>
          <w:sz w:val="32"/>
          <w:szCs w:val="32"/>
        </w:rPr>
        <w:t>57.35%</w:t>
      </w:r>
      <w:r>
        <w:rPr>
          <w:rFonts w:hint="eastAsia" w:ascii="仿宋_GB2312" w:eastAsia="仿宋_GB2312" w:cs="DengXian-Regular"/>
          <w:sz w:val="32"/>
          <w:szCs w:val="32"/>
        </w:rPr>
        <w:t>，主要是文化产业上级拨款、创建省级文明县城经费增加；本年支出增加</w:t>
      </w:r>
      <w:r>
        <w:rPr>
          <w:rFonts w:ascii="仿宋_GB2312" w:eastAsia="仿宋_GB2312" w:cs="DengXian-Regular"/>
          <w:sz w:val="32"/>
          <w:szCs w:val="32"/>
        </w:rPr>
        <w:t>57.69</w:t>
      </w:r>
      <w:r>
        <w:rPr>
          <w:rFonts w:hint="eastAsia" w:ascii="仿宋_GB2312" w:eastAsia="仿宋_GB2312" w:cs="DengXian-Regular"/>
          <w:sz w:val="32"/>
          <w:szCs w:val="32"/>
        </w:rPr>
        <w:t>万元，增长</w:t>
      </w:r>
      <w:r>
        <w:rPr>
          <w:rFonts w:ascii="仿宋_GB2312" w:eastAsia="仿宋_GB2312" w:cs="DengXian-Regular"/>
          <w:sz w:val="32"/>
          <w:szCs w:val="32"/>
        </w:rPr>
        <w:t>29.99%</w:t>
      </w:r>
      <w:r>
        <w:rPr>
          <w:rFonts w:hint="eastAsia" w:ascii="仿宋_GB2312" w:eastAsia="仿宋_GB2312" w:cs="DengXian-Regular"/>
          <w:sz w:val="32"/>
          <w:szCs w:val="32"/>
        </w:rPr>
        <w:t>，主要是文化产业上级拨款、创建省级文明县城经费增加。</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jc w:val="left"/>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w:t>
      </w:r>
      <w:r>
        <w:rPr>
          <w:rFonts w:ascii="仿宋_GB2312" w:eastAsia="仿宋_GB2312" w:cs="DengXian-Regular"/>
          <w:sz w:val="32"/>
          <w:szCs w:val="32"/>
        </w:rPr>
        <w:t>2017</w:t>
      </w:r>
      <w:r>
        <w:rPr>
          <w:rFonts w:hint="eastAsia" w:ascii="仿宋_GB2312" w:eastAsia="仿宋_GB2312" w:cs="DengXian-Regular"/>
          <w:sz w:val="32"/>
          <w:szCs w:val="32"/>
        </w:rPr>
        <w:t>年度本年收入合计</w:t>
      </w:r>
      <w:r>
        <w:rPr>
          <w:rFonts w:ascii="仿宋_GB2312" w:eastAsia="仿宋_GB2312" w:cs="DengXian-Regular"/>
          <w:sz w:val="32"/>
          <w:szCs w:val="32"/>
        </w:rPr>
        <w:t>306.33</w:t>
      </w:r>
      <w:r>
        <w:rPr>
          <w:rFonts w:hint="eastAsia" w:ascii="仿宋_GB2312" w:eastAsia="仿宋_GB2312" w:cs="DengXian-Regular"/>
          <w:sz w:val="32"/>
          <w:szCs w:val="32"/>
        </w:rPr>
        <w:t>万元，其中：财政拨款收入</w:t>
      </w:r>
      <w:r>
        <w:rPr>
          <w:rFonts w:ascii="仿宋_GB2312" w:eastAsia="仿宋_GB2312" w:cs="DengXian-Regular"/>
          <w:sz w:val="32"/>
          <w:szCs w:val="32"/>
        </w:rPr>
        <w:t>306.33</w:t>
      </w:r>
      <w:r>
        <w:rPr>
          <w:rFonts w:hint="eastAsia" w:ascii="仿宋_GB2312" w:eastAsia="仿宋_GB2312" w:cs="DengXian-Regular"/>
          <w:sz w:val="32"/>
          <w:szCs w:val="32"/>
        </w:rPr>
        <w:t>万元，占</w:t>
      </w:r>
      <w:r>
        <w:rPr>
          <w:rFonts w:ascii="仿宋_GB2312" w:eastAsia="仿宋_GB2312" w:cs="DengXian-Regular"/>
          <w:sz w:val="32"/>
          <w:szCs w:val="32"/>
        </w:rPr>
        <w:t>100%</w:t>
      </w:r>
      <w:r>
        <w:rPr>
          <w:rFonts w:hint="eastAsia" w:ascii="仿宋_GB2312" w:eastAsia="仿宋_GB2312" w:cs="DengXian-Regular"/>
          <w:sz w:val="32"/>
          <w:szCs w:val="32"/>
        </w:rPr>
        <w:t>；事业收入</w:t>
      </w:r>
      <w:r>
        <w:rPr>
          <w:rFonts w:ascii="仿宋_GB2312" w:eastAsia="仿宋_GB2312" w:cs="DengXian-Regular"/>
          <w:sz w:val="32"/>
          <w:szCs w:val="32"/>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ascii="仿宋_GB2312" w:eastAsia="仿宋_GB2312" w:cs="DengXian-Regular"/>
          <w:sz w:val="32"/>
          <w:szCs w:val="32"/>
        </w:rPr>
        <w:t>%</w:t>
      </w:r>
      <w:r>
        <w:rPr>
          <w:rFonts w:hint="eastAsia" w:ascii="仿宋_GB2312" w:eastAsia="仿宋_GB2312" w:cs="DengXian-Regular"/>
          <w:sz w:val="32"/>
          <w:szCs w:val="32"/>
        </w:rPr>
        <w:t>；经营收入</w:t>
      </w:r>
      <w:r>
        <w:rPr>
          <w:rFonts w:ascii="仿宋_GB2312" w:eastAsia="仿宋_GB2312" w:cs="DengXian-Regular"/>
          <w:sz w:val="32"/>
          <w:szCs w:val="32"/>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ascii="仿宋_GB2312" w:eastAsia="仿宋_GB2312" w:cs="DengXian-Regular"/>
          <w:sz w:val="32"/>
          <w:szCs w:val="32"/>
        </w:rPr>
        <w:t>%</w:t>
      </w:r>
      <w:r>
        <w:rPr>
          <w:rFonts w:hint="eastAsia" w:ascii="仿宋_GB2312" w:eastAsia="仿宋_GB2312" w:cs="DengXian-Regular"/>
          <w:sz w:val="32"/>
          <w:szCs w:val="32"/>
        </w:rPr>
        <w:t>；其他收入</w:t>
      </w:r>
      <w:r>
        <w:rPr>
          <w:rFonts w:ascii="仿宋_GB2312" w:eastAsia="仿宋_GB2312" w:cs="DengXian-Regular"/>
          <w:sz w:val="32"/>
          <w:szCs w:val="32"/>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ascii="仿宋_GB2312" w:eastAsia="仿宋_GB2312" w:cs="DengXian-Regular"/>
          <w:sz w:val="32"/>
          <w:szCs w:val="32"/>
        </w:rPr>
        <w:t>%</w:t>
      </w:r>
      <w:r>
        <w:rPr>
          <w:rFonts w:hint="eastAsia" w:ascii="仿宋_GB2312" w:eastAsia="仿宋_GB2312" w:cs="DengXian-Regular"/>
          <w:sz w:val="32"/>
          <w:szCs w:val="32"/>
        </w:rPr>
        <w:t>。</w:t>
      </w:r>
      <w:r>
        <w:rPr>
          <w:rFonts w:hint="eastAsia" w:ascii="仿宋_GB2312" w:eastAsia="仿宋_GB2312" w:cs="DengXian-Regular"/>
          <w:sz w:val="32"/>
          <w:szCs w:val="32"/>
          <w:lang w:val="en-US" w:eastAsia="zh-CN"/>
        </w:rPr>
        <w:t>如图所示：</w:t>
      </w:r>
    </w:p>
    <w:p>
      <w:pPr>
        <w:adjustRightInd w:val="0"/>
        <w:snapToGrid w:val="0"/>
        <w:spacing w:line="560" w:lineRule="exact"/>
        <w:ind w:firstLine="640" w:firstLineChars="200"/>
        <w:jc w:val="left"/>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图1：收入决算结构饼状图</w:t>
      </w:r>
    </w:p>
    <w:p>
      <w:pPr>
        <w:adjustRightInd w:val="0"/>
        <w:snapToGrid w:val="0"/>
        <w:spacing w:after="0" w:line="240" w:lineRule="auto"/>
        <w:ind w:firstLine="0" w:firstLineChars="0"/>
        <w:jc w:val="left"/>
        <w:rPr>
          <w:rFonts w:hint="eastAsia" w:ascii="仿宋_GB2312" w:eastAsia="仿宋_GB2312" w:cs="DengXian-Regular"/>
          <w:sz w:val="32"/>
          <w:szCs w:val="32"/>
          <w:lang w:val="en-US" w:eastAsia="zh-CN"/>
        </w:rPr>
      </w:pPr>
      <w:r>
        <w:rPr>
          <w:rFonts w:ascii="Times New Roman" w:hAnsi="Times New Roman" w:eastAsia="宋体" w:cs="Times New Roman"/>
          <w:kern w:val="2"/>
          <w:sz w:val="21"/>
          <w:szCs w:val="24"/>
          <w:lang w:val="en-US" w:eastAsia="zh-CN" w:bidi="ar-SA"/>
        </w:rPr>
        <w:pict>
          <v:shape id="_x0000_i1025" o:spt="75" type="#_x0000_t75" style="height:201.2pt;width:442.1pt;" fillcolor="#FFFFFF" filled="f" o:preferrelative="t" stroked="f" coordsize="21600,21600">
            <v:path/>
            <v:fill on="f" color2="#FFFFFF" focussize="0,0"/>
            <v:stroke on="f"/>
            <v:imagedata r:id="rId4" gain="65536f" blacklevel="0f" gamma="0" o:title=""/>
            <o:lock v:ext="edit" position="f" selection="f" grouping="f" rotation="f" cropping="f" text="f" aspectratio="t"/>
            <w10:wrap type="none"/>
            <w10:anchorlock/>
          </v:shape>
        </w:pict>
      </w:r>
    </w:p>
    <w:p>
      <w:pPr>
        <w:pStyle w:val="3"/>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w:t>
      </w:r>
      <w:r>
        <w:rPr>
          <w:rFonts w:ascii="仿宋_GB2312" w:eastAsia="仿宋_GB2312" w:cs="DengXian-Regular"/>
          <w:sz w:val="32"/>
          <w:szCs w:val="32"/>
        </w:rPr>
        <w:t>2017</w:t>
      </w:r>
      <w:r>
        <w:rPr>
          <w:rFonts w:hint="eastAsia" w:ascii="仿宋_GB2312" w:eastAsia="仿宋_GB2312" w:cs="DengXian-Regular"/>
          <w:sz w:val="32"/>
          <w:szCs w:val="32"/>
        </w:rPr>
        <w:t>年度本年支出合计</w:t>
      </w:r>
      <w:r>
        <w:rPr>
          <w:rFonts w:ascii="仿宋_GB2312" w:eastAsia="仿宋_GB2312" w:cs="DengXian-Regular"/>
          <w:sz w:val="32"/>
          <w:szCs w:val="32"/>
        </w:rPr>
        <w:t>250.03</w:t>
      </w:r>
      <w:r>
        <w:rPr>
          <w:rFonts w:hint="eastAsia" w:ascii="仿宋_GB2312" w:eastAsia="仿宋_GB2312" w:cs="DengXian-Regular"/>
          <w:sz w:val="32"/>
          <w:szCs w:val="32"/>
        </w:rPr>
        <w:t>万元，其中：基本支出</w:t>
      </w:r>
      <w:r>
        <w:rPr>
          <w:rFonts w:ascii="仿宋_GB2312" w:eastAsia="仿宋_GB2312" w:cs="DengXian-Regular"/>
          <w:sz w:val="32"/>
          <w:szCs w:val="32"/>
        </w:rPr>
        <w:t>122.16</w:t>
      </w:r>
      <w:r>
        <w:rPr>
          <w:rFonts w:hint="eastAsia" w:ascii="仿宋_GB2312" w:eastAsia="仿宋_GB2312" w:cs="DengXian-Regular"/>
          <w:sz w:val="32"/>
          <w:szCs w:val="32"/>
        </w:rPr>
        <w:t>万元，占</w:t>
      </w:r>
      <w:r>
        <w:rPr>
          <w:rFonts w:ascii="仿宋_GB2312" w:eastAsia="仿宋_GB2312" w:cs="DengXian-Regular"/>
          <w:sz w:val="32"/>
          <w:szCs w:val="32"/>
        </w:rPr>
        <w:t>48.86%</w:t>
      </w:r>
      <w:r>
        <w:rPr>
          <w:rFonts w:hint="eastAsia" w:ascii="仿宋_GB2312" w:eastAsia="仿宋_GB2312" w:cs="DengXian-Regular"/>
          <w:sz w:val="32"/>
          <w:szCs w:val="32"/>
        </w:rPr>
        <w:t>；项目支出</w:t>
      </w:r>
      <w:r>
        <w:rPr>
          <w:rFonts w:ascii="仿宋_GB2312" w:eastAsia="仿宋_GB2312" w:cs="DengXian-Regular"/>
          <w:sz w:val="32"/>
          <w:szCs w:val="32"/>
        </w:rPr>
        <w:t>127.86</w:t>
      </w:r>
      <w:r>
        <w:rPr>
          <w:rFonts w:hint="eastAsia" w:ascii="仿宋_GB2312" w:eastAsia="仿宋_GB2312" w:cs="DengXian-Regular"/>
          <w:sz w:val="32"/>
          <w:szCs w:val="32"/>
        </w:rPr>
        <w:t>万元，占</w:t>
      </w:r>
      <w:r>
        <w:rPr>
          <w:rFonts w:ascii="仿宋_GB2312" w:eastAsia="仿宋_GB2312" w:cs="DengXian-Regular"/>
          <w:sz w:val="32"/>
          <w:szCs w:val="32"/>
        </w:rPr>
        <w:t>51.14%</w:t>
      </w:r>
      <w:r>
        <w:rPr>
          <w:rFonts w:hint="eastAsia" w:ascii="仿宋_GB2312" w:eastAsia="仿宋_GB2312" w:cs="DengXian-Regular"/>
          <w:sz w:val="32"/>
          <w:szCs w:val="32"/>
        </w:rPr>
        <w:t>。</w:t>
      </w:r>
      <w:r>
        <w:rPr>
          <w:rFonts w:ascii="仿宋_GB2312" w:eastAsia="仿宋_GB2312" w:cs="DengXian-Regular"/>
          <w:sz w:val="32"/>
          <w:szCs w:val="32"/>
        </w:rPr>
        <w:t xml:space="preserve"> </w:t>
      </w:r>
      <w:r>
        <w:rPr>
          <w:rFonts w:hint="eastAsia" w:ascii="仿宋_GB2312" w:eastAsia="仿宋_GB2312" w:cs="DengXian-Regular"/>
          <w:sz w:val="32"/>
          <w:szCs w:val="32"/>
          <w:lang w:val="en-US" w:eastAsia="zh-CN"/>
        </w:rPr>
        <w:t>如图所示：</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图2：支出决算结构饼状图</w:t>
      </w:r>
    </w:p>
    <w:p>
      <w:pPr>
        <w:adjustRightInd w:val="0"/>
        <w:snapToGrid w:val="0"/>
        <w:spacing w:after="0" w:line="240" w:lineRule="auto"/>
        <w:ind w:firstLine="0" w:firstLineChars="0"/>
        <w:rPr>
          <w:rFonts w:ascii="仿宋_GB2312" w:eastAsia="仿宋_GB2312" w:cs="DengXian-Regular"/>
          <w:sz w:val="32"/>
          <w:szCs w:val="32"/>
        </w:rPr>
      </w:pPr>
      <w:r>
        <w:rPr>
          <w:rFonts w:ascii="Times New Roman" w:hAnsi="Times New Roman" w:eastAsia="宋体" w:cs="Times New Roman"/>
          <w:kern w:val="2"/>
          <w:sz w:val="21"/>
          <w:szCs w:val="24"/>
          <w:lang w:val="en-US" w:eastAsia="zh-CN" w:bidi="ar-SA"/>
        </w:rPr>
        <w:pict>
          <v:shape id="_x0000_i1026" o:spt="75" type="#_x0000_t75" style="height:201.2pt;width:442.1pt;" fillcolor="#FFFFFF" filled="f" o:preferrelative="t" stroked="f" coordsize="21600,21600">
            <v:path/>
            <v:fill on="f" color2="#FFFFFF" focussize="0,0"/>
            <v:stroke on="f"/>
            <v:imagedata r:id="rId5" gain="65536f" blacklevel="0f" gamma="0" o:title=""/>
            <o:lock v:ext="edit" position="f" selection="f" grouping="f" rotation="f" cropping="f" text="f" aspectratio="t"/>
            <w10:wrap type="none"/>
            <w10:anchorlock/>
          </v:shape>
        </w:pict>
      </w: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cs="黑体"/>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w:t>
      </w:r>
      <w:r>
        <w:rPr>
          <w:rFonts w:ascii="楷体_GB2312" w:eastAsia="楷体_GB2312" w:cs="DengXian-Bold"/>
          <w:b/>
          <w:bCs/>
          <w:sz w:val="32"/>
          <w:szCs w:val="32"/>
        </w:rPr>
        <w:t xml:space="preserve">2016 </w:t>
      </w:r>
      <w:r>
        <w:rPr>
          <w:rFonts w:hint="eastAsia" w:ascii="楷体_GB2312" w:eastAsia="楷体_GB2312" w:cs="DengXian-Bold"/>
          <w:b/>
          <w:bCs/>
          <w:sz w:val="32"/>
          <w:szCs w:val="32"/>
        </w:rPr>
        <w:t>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2017</w:t>
      </w:r>
      <w:r>
        <w:rPr>
          <w:rFonts w:hint="eastAsia" w:ascii="仿宋_GB2312" w:eastAsia="仿宋_GB2312" w:cs="DengXian-Regular"/>
          <w:sz w:val="32"/>
          <w:szCs w:val="32"/>
        </w:rPr>
        <w:t>年度财政拨款收支全部为一般公共预算财政拨款收支。一般公共预算财政拨款年初结转和结余</w:t>
      </w:r>
      <w:r>
        <w:rPr>
          <w:rFonts w:ascii="仿宋_GB2312" w:eastAsia="仿宋_GB2312" w:cs="DengXian-Regular"/>
          <w:sz w:val="32"/>
          <w:szCs w:val="32"/>
        </w:rPr>
        <w:t>2.34</w:t>
      </w:r>
      <w:r>
        <w:rPr>
          <w:rFonts w:hint="eastAsia" w:ascii="仿宋_GB2312" w:eastAsia="仿宋_GB2312" w:cs="DengXian-Regular"/>
          <w:sz w:val="32"/>
          <w:szCs w:val="32"/>
        </w:rPr>
        <w:t>万元、本年收入</w:t>
      </w:r>
      <w:r>
        <w:rPr>
          <w:rFonts w:ascii="仿宋_GB2312" w:eastAsia="仿宋_GB2312" w:cs="DengXian-Regular"/>
          <w:sz w:val="32"/>
          <w:szCs w:val="32"/>
        </w:rPr>
        <w:t>306.33</w:t>
      </w:r>
      <w:r>
        <w:rPr>
          <w:rFonts w:hint="eastAsia" w:ascii="仿宋_GB2312" w:eastAsia="仿宋_GB2312" w:cs="DengXian-Regular"/>
          <w:sz w:val="32"/>
          <w:szCs w:val="32"/>
        </w:rPr>
        <w:t>万元；本年支出</w:t>
      </w:r>
      <w:r>
        <w:rPr>
          <w:rFonts w:ascii="仿宋_GB2312" w:eastAsia="仿宋_GB2312" w:cs="DengXian-Regular"/>
          <w:sz w:val="32"/>
          <w:szCs w:val="32"/>
        </w:rPr>
        <w:t>250.03</w:t>
      </w:r>
      <w:r>
        <w:rPr>
          <w:rFonts w:hint="eastAsia" w:ascii="仿宋_GB2312" w:eastAsia="仿宋_GB2312" w:cs="DengXian-Regular"/>
          <w:sz w:val="32"/>
          <w:szCs w:val="32"/>
        </w:rPr>
        <w:t>万元、年末结转和结余</w:t>
      </w:r>
      <w:r>
        <w:rPr>
          <w:rFonts w:ascii="仿宋_GB2312" w:eastAsia="仿宋_GB2312" w:cs="DengXian-Regular"/>
          <w:sz w:val="32"/>
          <w:szCs w:val="32"/>
        </w:rPr>
        <w:t>58.64</w:t>
      </w:r>
      <w:r>
        <w:rPr>
          <w:rFonts w:hint="eastAsia" w:ascii="仿宋_GB2312" w:eastAsia="仿宋_GB2312" w:cs="DengXian-Regular"/>
          <w:sz w:val="32"/>
          <w:szCs w:val="32"/>
        </w:rPr>
        <w:t>万元。与</w:t>
      </w:r>
      <w:r>
        <w:rPr>
          <w:rFonts w:ascii="仿宋_GB2312" w:eastAsia="仿宋_GB2312" w:cs="DengXian-Regular"/>
          <w:sz w:val="32"/>
          <w:szCs w:val="32"/>
        </w:rPr>
        <w:t>2016</w:t>
      </w:r>
      <w:r>
        <w:rPr>
          <w:rFonts w:hint="eastAsia" w:ascii="仿宋_GB2312" w:eastAsia="仿宋_GB2312" w:cs="DengXian-Regular"/>
          <w:sz w:val="32"/>
          <w:szCs w:val="32"/>
        </w:rPr>
        <w:t>年度决算相比，一般公共预算财政拨款本年收入增加</w:t>
      </w:r>
      <w:r>
        <w:rPr>
          <w:rFonts w:ascii="仿宋_GB2312" w:eastAsia="仿宋_GB2312" w:cs="DengXian-Regular"/>
          <w:sz w:val="32"/>
          <w:szCs w:val="32"/>
        </w:rPr>
        <w:t>111.65</w:t>
      </w:r>
      <w:r>
        <w:rPr>
          <w:rFonts w:hint="eastAsia" w:ascii="仿宋_GB2312" w:eastAsia="仿宋_GB2312" w:cs="DengXian-Regular"/>
          <w:sz w:val="32"/>
          <w:szCs w:val="32"/>
        </w:rPr>
        <w:t>万元，增长</w:t>
      </w:r>
      <w:r>
        <w:rPr>
          <w:rFonts w:ascii="仿宋_GB2312" w:eastAsia="仿宋_GB2312" w:cs="DengXian-Regular"/>
          <w:sz w:val="32"/>
          <w:szCs w:val="32"/>
        </w:rPr>
        <w:t>57.35%</w:t>
      </w:r>
      <w:r>
        <w:rPr>
          <w:rFonts w:hint="eastAsia" w:ascii="仿宋_GB2312" w:eastAsia="仿宋_GB2312" w:cs="DengXian-Regular"/>
          <w:sz w:val="32"/>
          <w:szCs w:val="32"/>
        </w:rPr>
        <w:t>，主要是文化产业上级拨款、创建省级文明县城经费增加；本年支出增加</w:t>
      </w:r>
      <w:r>
        <w:rPr>
          <w:rFonts w:ascii="仿宋_GB2312" w:eastAsia="仿宋_GB2312" w:cs="DengXian-Regular"/>
          <w:sz w:val="32"/>
          <w:szCs w:val="32"/>
        </w:rPr>
        <w:t>57.69</w:t>
      </w:r>
      <w:r>
        <w:rPr>
          <w:rFonts w:hint="eastAsia" w:ascii="仿宋_GB2312" w:eastAsia="仿宋_GB2312" w:cs="DengXian-Regular"/>
          <w:sz w:val="32"/>
          <w:szCs w:val="32"/>
        </w:rPr>
        <w:t>万元，增长</w:t>
      </w:r>
      <w:r>
        <w:rPr>
          <w:rFonts w:ascii="仿宋_GB2312" w:eastAsia="仿宋_GB2312" w:cs="DengXian-Regular"/>
          <w:sz w:val="32"/>
          <w:szCs w:val="32"/>
        </w:rPr>
        <w:t>29.99%</w:t>
      </w:r>
      <w:r>
        <w:rPr>
          <w:rFonts w:hint="eastAsia" w:ascii="仿宋_GB2312" w:eastAsia="仿宋_GB2312" w:cs="DengXian-Regular"/>
          <w:sz w:val="32"/>
          <w:szCs w:val="32"/>
        </w:rPr>
        <w:t>，主要是一般公共服务支出，文化体育与传媒支出增加；新增社会保障和就业支出。</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2017</w:t>
      </w:r>
      <w:r>
        <w:rPr>
          <w:rFonts w:hint="eastAsia" w:ascii="仿宋_GB2312" w:eastAsia="仿宋_GB2312" w:cs="DengXian-Regular"/>
          <w:sz w:val="32"/>
          <w:szCs w:val="32"/>
        </w:rPr>
        <w:t>年度一般公共预算财政拨款本年收入较</w:t>
      </w:r>
      <w:r>
        <w:rPr>
          <w:rFonts w:ascii="仿宋_GB2312" w:eastAsia="仿宋_GB2312" w:cs="DengXian-Regular"/>
          <w:sz w:val="32"/>
          <w:szCs w:val="32"/>
        </w:rPr>
        <w:t>2017</w:t>
      </w:r>
      <w:r>
        <w:rPr>
          <w:rFonts w:hint="eastAsia" w:ascii="仿宋_GB2312" w:eastAsia="仿宋_GB2312" w:cs="DengXian-Regular"/>
          <w:sz w:val="32"/>
          <w:szCs w:val="32"/>
        </w:rPr>
        <w:t>年初预算增加</w:t>
      </w:r>
      <w:r>
        <w:rPr>
          <w:rFonts w:ascii="仿宋_GB2312" w:eastAsia="仿宋_GB2312" w:cs="DengXian-Regular"/>
          <w:sz w:val="32"/>
          <w:szCs w:val="32"/>
        </w:rPr>
        <w:t>184.81</w:t>
      </w:r>
      <w:r>
        <w:rPr>
          <w:rFonts w:hint="eastAsia" w:ascii="仿宋_GB2312" w:eastAsia="仿宋_GB2312" w:cs="DengXian-Regular"/>
          <w:sz w:val="32"/>
          <w:szCs w:val="32"/>
        </w:rPr>
        <w:t>万元，增长</w:t>
      </w:r>
      <w:r>
        <w:rPr>
          <w:rFonts w:ascii="仿宋_GB2312" w:eastAsia="仿宋_GB2312" w:cs="DengXian-Regular"/>
          <w:sz w:val="32"/>
          <w:szCs w:val="32"/>
        </w:rPr>
        <w:t>152.08%</w:t>
      </w:r>
      <w:r>
        <w:rPr>
          <w:rFonts w:hint="eastAsia" w:ascii="仿宋_GB2312" w:eastAsia="仿宋_GB2312" w:cs="DengXian-Regular"/>
          <w:sz w:val="32"/>
          <w:szCs w:val="32"/>
        </w:rPr>
        <w:t>，主要是文化产业上级拨款、创建省级文明县城经费增加；本年支出增加</w:t>
      </w:r>
      <w:r>
        <w:rPr>
          <w:rFonts w:ascii="仿宋_GB2312" w:eastAsia="仿宋_GB2312" w:cs="DengXian-Regular"/>
          <w:sz w:val="32"/>
          <w:szCs w:val="32"/>
        </w:rPr>
        <w:t>128.51</w:t>
      </w:r>
      <w:r>
        <w:rPr>
          <w:rFonts w:hint="eastAsia" w:ascii="仿宋_GB2312" w:eastAsia="仿宋_GB2312" w:cs="DengXian-Regular"/>
          <w:sz w:val="32"/>
          <w:szCs w:val="32"/>
        </w:rPr>
        <w:t>万元，增长</w:t>
      </w:r>
      <w:r>
        <w:rPr>
          <w:rFonts w:ascii="仿宋_GB2312" w:eastAsia="仿宋_GB2312" w:cs="DengXian-Regular"/>
          <w:sz w:val="32"/>
          <w:szCs w:val="32"/>
        </w:rPr>
        <w:t>105.75%</w:t>
      </w:r>
      <w:r>
        <w:rPr>
          <w:rFonts w:hint="eastAsia" w:ascii="仿宋_GB2312" w:eastAsia="仿宋_GB2312" w:cs="DengXian-Regular"/>
          <w:sz w:val="32"/>
          <w:szCs w:val="32"/>
        </w:rPr>
        <w:t>，主要是文化产业上级拨款、创建省级文明县城追加经费。</w:t>
      </w:r>
    </w:p>
    <w:p>
      <w:pPr>
        <w:pStyle w:val="3"/>
        <w:spacing w:before="0" w:after="0" w:line="560" w:lineRule="exact"/>
        <w:ind w:firstLine="643" w:firstLineChars="200"/>
        <w:rPr>
          <w:rFonts w:ascii="黑体" w:eastAsia="黑体"/>
        </w:rPr>
      </w:pPr>
      <w:r>
        <w:rPr>
          <w:rFonts w:hint="eastAsia" w:ascii="黑体" w:eastAsia="黑体"/>
        </w:rPr>
        <w:t>五、“三公”</w:t>
      </w:r>
      <w:r>
        <w:rPr>
          <w:rFonts w:ascii="黑体" w:eastAsia="黑体"/>
        </w:rPr>
        <w:t xml:space="preserve"> </w:t>
      </w:r>
      <w:r>
        <w:rPr>
          <w:rFonts w:hint="eastAsia" w:ascii="黑体" w:eastAsia="黑体"/>
        </w:rPr>
        <w:t>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2017</w:t>
      </w:r>
      <w:r>
        <w:rPr>
          <w:rFonts w:hint="eastAsia" w:ascii="仿宋_GB2312" w:eastAsia="仿宋_GB2312" w:cs="DengXian-Regular"/>
          <w:sz w:val="32"/>
          <w:szCs w:val="32"/>
        </w:rPr>
        <w:t>年度“三公”经费支出共计</w:t>
      </w:r>
      <w:r>
        <w:rPr>
          <w:rFonts w:ascii="仿宋_GB2312" w:eastAsia="仿宋_GB2312" w:cs="DengXian-Regular"/>
          <w:sz w:val="32"/>
          <w:szCs w:val="32"/>
        </w:rPr>
        <w:t>2.4</w:t>
      </w:r>
      <w:r>
        <w:rPr>
          <w:rFonts w:hint="eastAsia" w:ascii="仿宋_GB2312" w:eastAsia="仿宋_GB2312" w:cs="DengXian-Regular"/>
          <w:sz w:val="32"/>
          <w:szCs w:val="32"/>
        </w:rPr>
        <w:t>万元，较年初预算减少</w:t>
      </w:r>
      <w:r>
        <w:rPr>
          <w:rFonts w:ascii="仿宋_GB2312" w:eastAsia="仿宋_GB2312" w:cs="DengXian-Regular"/>
          <w:sz w:val="32"/>
          <w:szCs w:val="32"/>
        </w:rPr>
        <w:t>1.1</w:t>
      </w:r>
      <w:r>
        <w:rPr>
          <w:rFonts w:hint="eastAsia" w:ascii="仿宋_GB2312" w:eastAsia="仿宋_GB2312" w:cs="DengXian-Regular"/>
          <w:sz w:val="32"/>
          <w:szCs w:val="32"/>
        </w:rPr>
        <w:t>万元，降低</w:t>
      </w:r>
      <w:r>
        <w:rPr>
          <w:rFonts w:ascii="仿宋_GB2312" w:eastAsia="仿宋_GB2312" w:cs="DengXian-Regular"/>
          <w:sz w:val="32"/>
          <w:szCs w:val="32"/>
        </w:rPr>
        <w:t>31.43%</w:t>
      </w:r>
      <w:r>
        <w:rPr>
          <w:rFonts w:hint="eastAsia" w:ascii="仿宋_GB2312" w:eastAsia="仿宋_GB2312" w:cs="DengXian-Regular"/>
          <w:sz w:val="32"/>
          <w:szCs w:val="32"/>
        </w:rPr>
        <w:t>，主要是公务用车维护费和外事接待费；较</w:t>
      </w:r>
      <w:r>
        <w:rPr>
          <w:rFonts w:ascii="仿宋_GB2312" w:eastAsia="仿宋_GB2312" w:cs="DengXian-Regular"/>
          <w:sz w:val="32"/>
          <w:szCs w:val="32"/>
        </w:rPr>
        <w:t>2016</w:t>
      </w:r>
      <w:r>
        <w:rPr>
          <w:rFonts w:hint="eastAsia" w:ascii="仿宋_GB2312" w:eastAsia="仿宋_GB2312" w:cs="DengXian-Regular"/>
          <w:sz w:val="32"/>
          <w:szCs w:val="32"/>
        </w:rPr>
        <w:t>年度决算减少</w:t>
      </w:r>
      <w:r>
        <w:rPr>
          <w:rFonts w:ascii="仿宋_GB2312" w:eastAsia="仿宋_GB2312" w:cs="DengXian-Regular"/>
          <w:sz w:val="32"/>
          <w:szCs w:val="32"/>
        </w:rPr>
        <w:t>1.38</w:t>
      </w:r>
      <w:r>
        <w:rPr>
          <w:rFonts w:hint="eastAsia" w:ascii="仿宋_GB2312" w:eastAsia="仿宋_GB2312" w:cs="DengXian-Regular"/>
          <w:sz w:val="32"/>
          <w:szCs w:val="32"/>
        </w:rPr>
        <w:t>万元，降低</w:t>
      </w:r>
      <w:r>
        <w:rPr>
          <w:rFonts w:ascii="仿宋_GB2312" w:eastAsia="仿宋_GB2312" w:cs="DengXian-Regular"/>
          <w:sz w:val="32"/>
          <w:szCs w:val="32"/>
        </w:rPr>
        <w:t>36.5%</w:t>
      </w:r>
      <w:r>
        <w:rPr>
          <w:rFonts w:hint="eastAsia" w:ascii="仿宋_GB2312" w:eastAsia="仿宋_GB2312" w:cs="DengXian-Regular"/>
          <w:sz w:val="32"/>
          <w:szCs w:val="32"/>
        </w:rPr>
        <w:t>，主要是公务用车维护费减少。具体情况如下：</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w:t>
      </w:r>
      <w:r>
        <w:rPr>
          <w:rFonts w:ascii="楷体_GB2312" w:eastAsia="楷体_GB2312" w:cs="DengXian-Bold"/>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w:t>
      </w:r>
      <w:r>
        <w:rPr>
          <w:rFonts w:ascii="仿宋_GB2312" w:eastAsia="仿宋_GB2312" w:cs="DengXian-Regular"/>
          <w:sz w:val="32"/>
          <w:szCs w:val="32"/>
        </w:rPr>
        <w:t>2017</w:t>
      </w:r>
      <w:r>
        <w:rPr>
          <w:rFonts w:hint="eastAsia" w:ascii="仿宋_GB2312" w:eastAsia="仿宋_GB2312" w:cs="DengXian-Regular"/>
          <w:sz w:val="32"/>
          <w:szCs w:val="32"/>
        </w:rPr>
        <w:t>年度参加其他单位组织的因公出国（境）团组</w:t>
      </w:r>
      <w:r>
        <w:rPr>
          <w:rFonts w:ascii="仿宋_GB2312" w:eastAsia="仿宋_GB2312" w:cs="DengXian-Regular"/>
          <w:sz w:val="32"/>
          <w:szCs w:val="32"/>
        </w:rPr>
        <w:t>0</w:t>
      </w:r>
      <w:r>
        <w:rPr>
          <w:rFonts w:hint="eastAsia" w:ascii="仿宋_GB2312" w:eastAsia="仿宋_GB2312" w:cs="DengXian-Regular"/>
          <w:sz w:val="32"/>
          <w:szCs w:val="32"/>
        </w:rPr>
        <w:t>个、共</w:t>
      </w:r>
      <w:r>
        <w:rPr>
          <w:rFonts w:ascii="仿宋_GB2312" w:eastAsia="仿宋_GB2312" w:cs="DengXian-Regular"/>
          <w:sz w:val="32"/>
          <w:szCs w:val="32"/>
        </w:rPr>
        <w:t>0</w:t>
      </w:r>
      <w:r>
        <w:rPr>
          <w:rFonts w:hint="eastAsia" w:ascii="仿宋_GB2312" w:eastAsia="仿宋_GB2312" w:cs="DengXian-Regular"/>
          <w:sz w:val="32"/>
          <w:szCs w:val="32"/>
        </w:rPr>
        <w:t>人</w:t>
      </w:r>
      <w:r>
        <w:rPr>
          <w:rFonts w:ascii="仿宋_GB2312" w:eastAsia="仿宋_GB2312" w:cs="DengXian-Regular"/>
          <w:sz w:val="32"/>
          <w:szCs w:val="32"/>
        </w:rPr>
        <w:t>/</w:t>
      </w:r>
      <w:r>
        <w:rPr>
          <w:rFonts w:hint="eastAsia" w:ascii="仿宋_GB2312" w:eastAsia="仿宋_GB2312" w:cs="DengXian-Regular"/>
          <w:sz w:val="32"/>
          <w:szCs w:val="32"/>
        </w:rPr>
        <w:t>无本单位组织的出国（境）团组。因公出国（境）费支出较年初预算</w:t>
      </w:r>
      <w:r>
        <w:rPr>
          <w:rFonts w:hint="eastAsia" w:ascii="仿宋_GB2312" w:eastAsia="仿宋_GB2312" w:cs="DengXian-Regular"/>
          <w:sz w:val="32"/>
          <w:szCs w:val="32"/>
          <w:lang w:val="en-US" w:eastAsia="zh-CN"/>
        </w:rPr>
        <w:t>无增减变化</w:t>
      </w:r>
      <w:r>
        <w:rPr>
          <w:rFonts w:ascii="仿宋_GB2312" w:eastAsia="仿宋_GB2312" w:cs="DengXian-Regular"/>
          <w:sz w:val="32"/>
          <w:szCs w:val="32"/>
        </w:rPr>
        <w:t>,</w:t>
      </w:r>
      <w:r>
        <w:rPr>
          <w:rFonts w:hint="eastAsia" w:ascii="仿宋_GB2312" w:eastAsia="仿宋_GB2312" w:cs="DengXian-Regular"/>
          <w:sz w:val="32"/>
          <w:szCs w:val="32"/>
        </w:rPr>
        <w:t>主要是无此费用；较</w:t>
      </w:r>
      <w:r>
        <w:rPr>
          <w:rFonts w:ascii="仿宋_GB2312" w:eastAsia="仿宋_GB2312" w:cs="DengXian-Regular"/>
          <w:sz w:val="32"/>
          <w:szCs w:val="32"/>
        </w:rPr>
        <w:t>2016</w:t>
      </w:r>
      <w:r>
        <w:rPr>
          <w:rFonts w:hint="eastAsia" w:ascii="仿宋_GB2312" w:eastAsia="仿宋_GB2312" w:cs="DengXian-Regular"/>
          <w:sz w:val="32"/>
          <w:szCs w:val="32"/>
        </w:rPr>
        <w:t>年度决算</w:t>
      </w:r>
      <w:r>
        <w:rPr>
          <w:rFonts w:hint="eastAsia" w:ascii="仿宋_GB2312" w:eastAsia="仿宋_GB2312" w:cs="DengXian-Regular"/>
          <w:sz w:val="32"/>
          <w:szCs w:val="32"/>
          <w:lang w:val="en-US" w:eastAsia="zh-CN"/>
        </w:rPr>
        <w:t>无增减变化</w:t>
      </w:r>
      <w:r>
        <w:rPr>
          <w:rFonts w:ascii="仿宋_GB2312" w:eastAsia="仿宋_GB2312" w:cs="DengXian-Regular"/>
          <w:sz w:val="32"/>
          <w:szCs w:val="32"/>
        </w:rPr>
        <w:t>,</w:t>
      </w:r>
      <w:r>
        <w:rPr>
          <w:rFonts w:hint="eastAsia" w:ascii="仿宋_GB2312" w:eastAsia="仿宋_GB2312" w:cs="DengXian-Regular"/>
          <w:sz w:val="32"/>
          <w:szCs w:val="32"/>
        </w:rPr>
        <w:t>主要是无此费用。</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ascii="楷体_GB2312" w:eastAsia="楷体_GB2312" w:cs="DengXian-Bold"/>
          <w:b/>
          <w:bCs/>
          <w:sz w:val="32"/>
          <w:szCs w:val="32"/>
        </w:rPr>
        <w:t>1.92</w:t>
      </w:r>
      <w:r>
        <w:rPr>
          <w:rFonts w:hint="eastAsia" w:ascii="楷体_GB2312" w:eastAsia="楷体_GB2312" w:cs="DengXian-Bold"/>
          <w:b/>
          <w:bCs/>
          <w:sz w:val="32"/>
          <w:szCs w:val="32"/>
        </w:rPr>
        <w:t>万元。</w:t>
      </w:r>
      <w:r>
        <w:rPr>
          <w:rFonts w:hint="eastAsia" w:ascii="仿宋_GB2312" w:eastAsia="仿宋_GB2312" w:cs="DengXian-Regular"/>
          <w:sz w:val="32"/>
          <w:szCs w:val="32"/>
        </w:rPr>
        <w:t>本部门</w:t>
      </w:r>
      <w:r>
        <w:rPr>
          <w:rFonts w:ascii="仿宋_GB2312" w:eastAsia="仿宋_GB2312" w:cs="DengXian-Regular"/>
          <w:sz w:val="32"/>
          <w:szCs w:val="32"/>
        </w:rPr>
        <w:t>2017</w:t>
      </w:r>
      <w:r>
        <w:rPr>
          <w:rFonts w:hint="eastAsia" w:ascii="仿宋_GB2312" w:eastAsia="仿宋_GB2312" w:cs="DengXian-Regular"/>
          <w:sz w:val="32"/>
          <w:szCs w:val="32"/>
        </w:rPr>
        <w:t>年度公务用车购置及运行维护费较年初预算减少</w:t>
      </w:r>
      <w:r>
        <w:rPr>
          <w:rFonts w:ascii="仿宋_GB2312" w:eastAsia="仿宋_GB2312" w:cs="DengXian-Regular"/>
          <w:sz w:val="32"/>
          <w:szCs w:val="32"/>
        </w:rPr>
        <w:t>1.08</w:t>
      </w:r>
      <w:r>
        <w:rPr>
          <w:rFonts w:hint="eastAsia" w:ascii="仿宋_GB2312" w:eastAsia="仿宋_GB2312" w:cs="DengXian-Regular"/>
          <w:sz w:val="32"/>
          <w:szCs w:val="32"/>
        </w:rPr>
        <w:t>万元，降低</w:t>
      </w:r>
      <w:r>
        <w:rPr>
          <w:rFonts w:ascii="仿宋_GB2312" w:eastAsia="仿宋_GB2312" w:cs="DengXian-Regular"/>
          <w:sz w:val="32"/>
          <w:szCs w:val="32"/>
        </w:rPr>
        <w:t>36%,</w:t>
      </w:r>
      <w:r>
        <w:rPr>
          <w:rFonts w:hint="eastAsia" w:ascii="仿宋_GB2312" w:eastAsia="仿宋_GB2312" w:cs="DengXian-Regular"/>
          <w:sz w:val="32"/>
          <w:szCs w:val="32"/>
        </w:rPr>
        <w:t>主要是公务用车维护费降低；较</w:t>
      </w:r>
      <w:r>
        <w:rPr>
          <w:rFonts w:ascii="仿宋_GB2312" w:eastAsia="仿宋_GB2312" w:cs="DengXian-Regular"/>
          <w:sz w:val="32"/>
          <w:szCs w:val="32"/>
        </w:rPr>
        <w:t>2016</w:t>
      </w:r>
      <w:r>
        <w:rPr>
          <w:rFonts w:hint="eastAsia" w:ascii="仿宋_GB2312" w:eastAsia="仿宋_GB2312" w:cs="DengXian-Regular"/>
          <w:sz w:val="32"/>
          <w:szCs w:val="32"/>
        </w:rPr>
        <w:t>年度决算减少</w:t>
      </w:r>
      <w:r>
        <w:rPr>
          <w:rFonts w:ascii="仿宋_GB2312" w:eastAsia="仿宋_GB2312" w:cs="DengXian-Regular"/>
          <w:sz w:val="32"/>
          <w:szCs w:val="32"/>
        </w:rPr>
        <w:t>1.86</w:t>
      </w:r>
      <w:r>
        <w:rPr>
          <w:rFonts w:hint="eastAsia" w:ascii="仿宋_GB2312" w:eastAsia="仿宋_GB2312" w:cs="DengXian-Regular"/>
          <w:sz w:val="32"/>
          <w:szCs w:val="32"/>
        </w:rPr>
        <w:t>万元，降低</w:t>
      </w:r>
      <w:r>
        <w:rPr>
          <w:rFonts w:ascii="仿宋_GB2312" w:eastAsia="仿宋_GB2312" w:cs="DengXian-Regular"/>
          <w:sz w:val="32"/>
          <w:szCs w:val="32"/>
        </w:rPr>
        <w:t>49.21%,</w:t>
      </w:r>
      <w:r>
        <w:rPr>
          <w:rFonts w:hint="eastAsia" w:ascii="仿宋_GB2312" w:eastAsia="仿宋_GB2312" w:cs="DengXian-Regular"/>
          <w:sz w:val="32"/>
          <w:szCs w:val="32"/>
        </w:rPr>
        <w:t>主要是公务用车维护费降低。</w:t>
      </w:r>
    </w:p>
    <w:p>
      <w:pPr>
        <w:ind w:firstLine="640"/>
        <w:rPr>
          <w:rFonts w:ascii="仿宋_GB2312" w:eastAsia="仿宋_GB2312" w:cs="仿宋_GB231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w:t>
      </w:r>
      <w:r>
        <w:rPr>
          <w:rFonts w:ascii="仿宋_GB2312" w:eastAsia="仿宋_GB2312" w:cs="DengXian-Regular"/>
          <w:sz w:val="32"/>
          <w:szCs w:val="32"/>
        </w:rPr>
        <w:t>2017</w:t>
      </w:r>
      <w:r>
        <w:rPr>
          <w:rFonts w:hint="eastAsia" w:ascii="仿宋_GB2312" w:eastAsia="仿宋_GB2312" w:cs="DengXian-Regular"/>
          <w:sz w:val="32"/>
          <w:szCs w:val="32"/>
        </w:rPr>
        <w:t>年度单位公务用车保有量</w:t>
      </w:r>
      <w:r>
        <w:rPr>
          <w:rFonts w:ascii="仿宋_GB2312" w:eastAsia="仿宋_GB2312" w:cs="DengXian-Regular"/>
          <w:sz w:val="32"/>
          <w:szCs w:val="32"/>
        </w:rPr>
        <w:t>1</w:t>
      </w:r>
      <w:r>
        <w:rPr>
          <w:rFonts w:hint="eastAsia" w:ascii="仿宋_GB2312" w:eastAsia="仿宋_GB2312" w:cs="DengXian-Regular"/>
          <w:sz w:val="32"/>
          <w:szCs w:val="32"/>
        </w:rPr>
        <w:t>辆。公车运行维护费支出较年初预算减少</w:t>
      </w:r>
      <w:r>
        <w:rPr>
          <w:rFonts w:ascii="仿宋_GB2312" w:eastAsia="仿宋_GB2312" w:cs="DengXian-Regular"/>
          <w:sz w:val="32"/>
          <w:szCs w:val="32"/>
        </w:rPr>
        <w:t>1.08</w:t>
      </w:r>
      <w:r>
        <w:rPr>
          <w:rFonts w:hint="eastAsia" w:ascii="仿宋_GB2312" w:eastAsia="仿宋_GB2312" w:cs="DengXian-Regular"/>
          <w:sz w:val="32"/>
          <w:szCs w:val="32"/>
        </w:rPr>
        <w:t>万元，降低</w:t>
      </w:r>
      <w:r>
        <w:rPr>
          <w:rFonts w:ascii="仿宋_GB2312" w:eastAsia="仿宋_GB2312" w:cs="DengXian-Regular"/>
          <w:sz w:val="32"/>
          <w:szCs w:val="32"/>
        </w:rPr>
        <w:t>36%,</w:t>
      </w:r>
      <w:r>
        <w:rPr>
          <w:rFonts w:hint="eastAsia" w:ascii="仿宋_GB2312" w:eastAsia="仿宋_GB2312" w:cs="DengXian-Regular"/>
          <w:sz w:val="32"/>
          <w:szCs w:val="32"/>
        </w:rPr>
        <w:t>主要是根据相关要求缩减三公经费；较</w:t>
      </w:r>
      <w:r>
        <w:rPr>
          <w:rFonts w:ascii="仿宋_GB2312" w:eastAsia="仿宋_GB2312" w:cs="DengXian-Regular"/>
          <w:sz w:val="32"/>
          <w:szCs w:val="32"/>
        </w:rPr>
        <w:t>2016</w:t>
      </w:r>
      <w:r>
        <w:rPr>
          <w:rFonts w:hint="eastAsia" w:ascii="仿宋_GB2312" w:eastAsia="仿宋_GB2312" w:cs="DengXian-Regular"/>
          <w:sz w:val="32"/>
          <w:szCs w:val="32"/>
        </w:rPr>
        <w:t>年度决算减少</w:t>
      </w:r>
      <w:r>
        <w:rPr>
          <w:rFonts w:ascii="仿宋_GB2312" w:eastAsia="仿宋_GB2312" w:cs="DengXian-Regular"/>
          <w:sz w:val="32"/>
          <w:szCs w:val="32"/>
        </w:rPr>
        <w:t>1.86</w:t>
      </w:r>
      <w:r>
        <w:rPr>
          <w:rFonts w:hint="eastAsia" w:ascii="仿宋_GB2312" w:eastAsia="仿宋_GB2312" w:cs="DengXian-Regular"/>
          <w:sz w:val="32"/>
          <w:szCs w:val="32"/>
        </w:rPr>
        <w:t>万元，降低</w:t>
      </w:r>
      <w:r>
        <w:rPr>
          <w:rFonts w:ascii="仿宋_GB2312" w:eastAsia="仿宋_GB2312" w:cs="DengXian-Regular"/>
          <w:sz w:val="32"/>
          <w:szCs w:val="32"/>
        </w:rPr>
        <w:t>49.2%</w:t>
      </w:r>
      <w:r>
        <w:rPr>
          <w:rFonts w:hint="eastAsia" w:ascii="仿宋_GB2312" w:eastAsia="仿宋_GB2312" w:cs="DengXian-Regular"/>
          <w:sz w:val="32"/>
          <w:szCs w:val="32"/>
        </w:rPr>
        <w:t>，主要是严格按照公车管理办法管控公车使用，严格按照上级规定进行公务接待活动，最大限度的压缩开支。</w:t>
      </w:r>
    </w:p>
    <w:p>
      <w:pPr>
        <w:ind w:firstLine="640"/>
        <w:rPr>
          <w:rFonts w:ascii="仿宋_GB2312" w:eastAsia="仿宋_GB2312" w:cs="仿宋_GB2312"/>
          <w:szCs w:val="32"/>
        </w:rPr>
      </w:pPr>
      <w:r>
        <w:rPr>
          <w:rFonts w:hint="eastAsia" w:ascii="楷体_GB2312" w:eastAsia="楷体_GB2312" w:cs="DengXian-Bold"/>
          <w:b/>
          <w:bCs/>
          <w:sz w:val="32"/>
          <w:szCs w:val="32"/>
        </w:rPr>
        <w:t>（三）公务接待费支出</w:t>
      </w:r>
      <w:r>
        <w:rPr>
          <w:rFonts w:ascii="楷体_GB2312" w:eastAsia="楷体_GB2312" w:cs="DengXian-Bold"/>
          <w:b/>
          <w:bCs/>
          <w:sz w:val="32"/>
          <w:szCs w:val="32"/>
        </w:rPr>
        <w:t>0.48</w:t>
      </w:r>
      <w:r>
        <w:rPr>
          <w:rFonts w:hint="eastAsia" w:ascii="楷体_GB2312" w:eastAsia="楷体_GB2312" w:cs="DengXian-Bold"/>
          <w:b/>
          <w:bCs/>
          <w:sz w:val="32"/>
          <w:szCs w:val="32"/>
        </w:rPr>
        <w:t>万元。</w:t>
      </w:r>
      <w:r>
        <w:rPr>
          <w:rFonts w:hint="eastAsia" w:ascii="仿宋_GB2312" w:eastAsia="仿宋_GB2312" w:cs="DengXian-Regular"/>
          <w:sz w:val="32"/>
          <w:szCs w:val="32"/>
        </w:rPr>
        <w:t>本部门</w:t>
      </w:r>
      <w:r>
        <w:rPr>
          <w:rFonts w:ascii="仿宋_GB2312" w:eastAsia="仿宋_GB2312" w:cs="DengXian-Regular"/>
          <w:sz w:val="32"/>
          <w:szCs w:val="32"/>
        </w:rPr>
        <w:t>2017</w:t>
      </w:r>
      <w:r>
        <w:rPr>
          <w:rFonts w:hint="eastAsia" w:ascii="仿宋_GB2312" w:eastAsia="仿宋_GB2312" w:cs="DengXian-Regular"/>
          <w:sz w:val="32"/>
          <w:szCs w:val="32"/>
        </w:rPr>
        <w:t>年度公务接待共</w:t>
      </w:r>
      <w:r>
        <w:rPr>
          <w:rFonts w:ascii="仿宋_GB2312" w:eastAsia="仿宋_GB2312" w:cs="DengXian-Regular"/>
          <w:sz w:val="32"/>
          <w:szCs w:val="32"/>
        </w:rPr>
        <w:t>15</w:t>
      </w:r>
      <w:r>
        <w:rPr>
          <w:rFonts w:hint="eastAsia" w:ascii="仿宋_GB2312" w:eastAsia="仿宋_GB2312" w:cs="DengXian-Regular"/>
          <w:sz w:val="32"/>
          <w:szCs w:val="32"/>
        </w:rPr>
        <w:t>批次、</w:t>
      </w:r>
      <w:r>
        <w:rPr>
          <w:rFonts w:ascii="仿宋_GB2312" w:eastAsia="仿宋_GB2312" w:cs="DengXian-Regular"/>
          <w:sz w:val="32"/>
          <w:szCs w:val="32"/>
        </w:rPr>
        <w:t>161</w:t>
      </w:r>
      <w:r>
        <w:rPr>
          <w:rFonts w:hint="eastAsia" w:ascii="仿宋_GB2312" w:eastAsia="仿宋_GB2312" w:cs="DengXian-Regular"/>
          <w:sz w:val="32"/>
          <w:szCs w:val="32"/>
        </w:rPr>
        <w:t>人次。公务接待费支出较年初预算减少</w:t>
      </w:r>
      <w:r>
        <w:rPr>
          <w:rFonts w:ascii="仿宋_GB2312" w:eastAsia="仿宋_GB2312" w:cs="DengXian-Regular"/>
          <w:sz w:val="32"/>
          <w:szCs w:val="32"/>
        </w:rPr>
        <w:t>0.02</w:t>
      </w:r>
      <w:r>
        <w:rPr>
          <w:rFonts w:hint="eastAsia" w:ascii="仿宋_GB2312" w:eastAsia="仿宋_GB2312" w:cs="DengXian-Regular"/>
          <w:sz w:val="32"/>
          <w:szCs w:val="32"/>
        </w:rPr>
        <w:t>万元，降低</w:t>
      </w:r>
      <w:r>
        <w:rPr>
          <w:rFonts w:ascii="仿宋_GB2312" w:eastAsia="仿宋_GB2312" w:cs="DengXian-Regular"/>
          <w:sz w:val="32"/>
          <w:szCs w:val="32"/>
        </w:rPr>
        <w:t>4%,</w:t>
      </w:r>
      <w:r>
        <w:rPr>
          <w:rFonts w:hint="eastAsia" w:ascii="仿宋_GB2312" w:eastAsia="仿宋_GB2312" w:cs="DengXian-Regular"/>
          <w:sz w:val="32"/>
          <w:szCs w:val="32"/>
        </w:rPr>
        <w:t>主要是正常接待。</w:t>
      </w:r>
      <w:r>
        <w:rPr>
          <w:rFonts w:hint="eastAsia" w:ascii="仿宋_GB2312" w:eastAsia="仿宋_GB2312" w:cs="DengXian-Regular"/>
          <w:sz w:val="32"/>
          <w:szCs w:val="32"/>
          <w:lang w:val="en-US" w:eastAsia="zh-CN"/>
        </w:rPr>
        <w:t>较2016年度决算增加0.48万元，增加100%，主要是新闻宣传增多，接待增加。</w:t>
      </w:r>
    </w:p>
    <w:p>
      <w:pPr>
        <w:pStyle w:val="3"/>
        <w:spacing w:before="0" w:after="0" w:line="560" w:lineRule="exact"/>
        <w:ind w:firstLine="643" w:firstLineChars="200"/>
        <w:rPr>
          <w:rFonts w:hint="eastAsia" w:ascii="黑体" w:eastAsia="黑体"/>
        </w:rPr>
      </w:pPr>
      <w:r>
        <w:rPr>
          <w:rFonts w:hint="eastAsia" w:ascii="黑体" w:eastAsia="黑体"/>
        </w:rPr>
        <w:t>六、绩效预算</w:t>
      </w:r>
      <w:r>
        <w:rPr>
          <w:rFonts w:hint="eastAsia" w:ascii="黑体" w:hAnsi="Cambria" w:eastAsia="黑体" w:cs="黑体"/>
          <w:kern w:val="0"/>
        </w:rPr>
        <w:t>管理</w:t>
      </w:r>
      <w:r>
        <w:rPr>
          <w:rFonts w:hint="eastAsia" w:ascii="黑体" w:eastAsia="黑体"/>
        </w:rPr>
        <w:t>工作开展情况说明</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（二）预算项目绩效评价开展情况</w:t>
      </w:r>
    </w:p>
    <w:p>
      <w:pPr>
        <w:adjustRightInd w:val="0"/>
        <w:snapToGrid w:val="0"/>
        <w:spacing w:after="0"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根据预算绩效管理要求，本单位组织对2017年度一般公共预算项目支出全面开展绩效自评</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涉及县委理论中心组学习、文明县城创城、道德模范表彰、文明村镇建设、同外部媒体合作、十九大宣传广告费、十九大塔体租赁费项目，涉及资金</w:t>
      </w:r>
      <w:r>
        <w:rPr>
          <w:rFonts w:ascii="仿宋_GB2312" w:eastAsia="仿宋_GB2312" w:cs="DengXian-Regular"/>
          <w:sz w:val="32"/>
          <w:szCs w:val="32"/>
        </w:rPr>
        <w:t>127.86</w:t>
      </w:r>
      <w:r>
        <w:rPr>
          <w:rFonts w:hint="eastAsia" w:ascii="仿宋_GB2312" w:eastAsia="仿宋_GB2312" w:cs="DengXian-Regular"/>
          <w:sz w:val="32"/>
          <w:szCs w:val="32"/>
          <w:lang w:val="en-US" w:eastAsia="zh-CN"/>
        </w:rPr>
        <w:t>万元，考核为良好。</w:t>
      </w:r>
    </w:p>
    <w:p>
      <w:pPr>
        <w:numPr>
          <w:ilvl w:val="0"/>
          <w:numId w:val="2"/>
        </w:numPr>
        <w:adjustRightInd w:val="0"/>
        <w:snapToGrid w:val="0"/>
        <w:spacing w:after="0"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预算项目绩效自评选例</w:t>
      </w:r>
    </w:p>
    <w:p>
      <w:pPr>
        <w:widowControl w:val="0"/>
        <w:numPr>
          <w:ilvl w:val="0"/>
          <w:numId w:val="0"/>
        </w:numPr>
        <w:wordWrap/>
        <w:adjustRightInd w:val="0"/>
        <w:snapToGrid w:val="0"/>
        <w:spacing w:before="0" w:after="0" w:line="560" w:lineRule="exact"/>
        <w:ind w:left="0" w:leftChars="0" w:right="0" w:firstLine="640" w:firstLineChars="200"/>
        <w:jc w:val="both"/>
        <w:textAlignment w:val="auto"/>
        <w:outlineLvl w:val="9"/>
      </w:pPr>
      <w:r>
        <w:rPr>
          <w:rFonts w:hint="eastAsia" w:ascii="仿宋_GB2312" w:eastAsia="仿宋_GB2312" w:cs="DengXian-Regular"/>
          <w:sz w:val="32"/>
          <w:szCs w:val="32"/>
          <w:lang w:val="en-US" w:eastAsia="zh-CN"/>
        </w:rPr>
        <w:t>本单位县委理论中心组学习、文明县城创城、道德模范表彰、文明村镇建设、同外部媒体合作、十九大宣传广告费、十九大塔体租赁费项目绩效自评：根据年初设定的绩效目标，县委理论中心组学习、文明县城创城、道德模范表彰、文明村镇建设、同外部媒体合作、十九大宣传广告费、十九大塔体租赁费项目自评结果为良好。项目全年预算数为</w:t>
      </w:r>
      <w:r>
        <w:rPr>
          <w:rFonts w:ascii="仿宋_GB2312" w:eastAsia="仿宋_GB2312" w:cs="DengXian-Regular"/>
          <w:sz w:val="32"/>
          <w:szCs w:val="32"/>
        </w:rPr>
        <w:t>127.86</w:t>
      </w:r>
      <w:r>
        <w:rPr>
          <w:rFonts w:hint="eastAsia" w:ascii="仿宋_GB2312" w:eastAsia="仿宋_GB2312" w:cs="DengXian-Regular"/>
          <w:sz w:val="32"/>
          <w:szCs w:val="32"/>
          <w:lang w:val="en-US" w:eastAsia="zh-CN"/>
        </w:rPr>
        <w:t>万元。完成预算100%。</w:t>
      </w:r>
    </w:p>
    <w:p>
      <w:pPr>
        <w:pStyle w:val="3"/>
        <w:spacing w:before="0" w:after="0" w:line="560" w:lineRule="exact"/>
        <w:ind w:firstLine="643" w:firstLineChars="200"/>
        <w:rPr>
          <w:rFonts w:ascii="黑体" w:eastAsia="黑体"/>
        </w:rPr>
      </w:pPr>
      <w:r>
        <w:rPr>
          <w:rFonts w:hint="eastAsia" w:ascii="黑体" w:eastAsia="黑体"/>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ind w:firstLine="627" w:firstLineChars="196"/>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2017</w:t>
      </w:r>
      <w:r>
        <w:rPr>
          <w:rFonts w:hint="eastAsia" w:ascii="仿宋_GB2312" w:eastAsia="仿宋_GB2312" w:cs="DengXian-Regular"/>
          <w:sz w:val="32"/>
          <w:szCs w:val="32"/>
        </w:rPr>
        <w:t>年度机关运行经费支出</w:t>
      </w:r>
      <w:r>
        <w:rPr>
          <w:rFonts w:ascii="仿宋_GB2312" w:eastAsia="仿宋_GB2312" w:cs="DengXian-Regular"/>
          <w:sz w:val="32"/>
          <w:szCs w:val="32"/>
        </w:rPr>
        <w:t>30.77</w:t>
      </w:r>
      <w:r>
        <w:rPr>
          <w:rFonts w:hint="eastAsia" w:ascii="仿宋_GB2312" w:eastAsia="仿宋_GB2312" w:cs="DengXian-Regular"/>
          <w:sz w:val="32"/>
          <w:szCs w:val="32"/>
        </w:rPr>
        <w:t>万元，比</w:t>
      </w:r>
      <w:r>
        <w:rPr>
          <w:rFonts w:ascii="仿宋_GB2312" w:eastAsia="仿宋_GB2312" w:cs="DengXian-Regular"/>
          <w:sz w:val="32"/>
          <w:szCs w:val="32"/>
        </w:rPr>
        <w:t>2016</w:t>
      </w:r>
      <w:r>
        <w:rPr>
          <w:rFonts w:hint="eastAsia" w:ascii="仿宋_GB2312" w:eastAsia="仿宋_GB2312" w:cs="DengXian-Regular"/>
          <w:sz w:val="32"/>
          <w:szCs w:val="32"/>
        </w:rPr>
        <w:t>年度增加10.46万元，增长51.5</w:t>
      </w:r>
      <w:r>
        <w:rPr>
          <w:rFonts w:ascii="仿宋_GB2312" w:eastAsia="仿宋_GB2312" w:cs="DengXian-Regular"/>
          <w:sz w:val="32"/>
          <w:szCs w:val="32"/>
        </w:rPr>
        <w:t>%</w:t>
      </w:r>
      <w:r>
        <w:rPr>
          <w:rFonts w:hint="eastAsia" w:ascii="仿宋_GB2312" w:eastAsia="仿宋_GB2312" w:cs="DengXian-Regular"/>
          <w:sz w:val="32"/>
          <w:szCs w:val="32"/>
        </w:rPr>
        <w:t>。主要原因是人员变动、日常开支变动。</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2017</w:t>
      </w:r>
      <w:r>
        <w:rPr>
          <w:rFonts w:hint="eastAsia" w:ascii="仿宋_GB2312" w:eastAsia="仿宋_GB2312" w:cs="DengXian-Regular"/>
          <w:sz w:val="32"/>
          <w:szCs w:val="32"/>
        </w:rPr>
        <w:t>年度政府采购支出总额</w:t>
      </w:r>
      <w:r>
        <w:rPr>
          <w:rFonts w:ascii="仿宋_GB2312" w:eastAsia="仿宋_GB2312" w:cs="DengXian-Regular"/>
          <w:sz w:val="32"/>
          <w:szCs w:val="32"/>
        </w:rPr>
        <w:t>0</w:t>
      </w:r>
      <w:r>
        <w:rPr>
          <w:rFonts w:hint="eastAsia" w:ascii="仿宋_GB2312" w:eastAsia="仿宋_GB2312" w:cs="DengXian-Regular"/>
          <w:sz w:val="32"/>
          <w:szCs w:val="32"/>
        </w:rPr>
        <w:t>万元，其中：政府采购货物支出</w:t>
      </w:r>
      <w:r>
        <w:rPr>
          <w:rFonts w:ascii="仿宋_GB2312" w:eastAsia="仿宋_GB2312" w:cs="DengXian-Regular"/>
          <w:sz w:val="32"/>
          <w:szCs w:val="32"/>
        </w:rPr>
        <w:t>0</w:t>
      </w:r>
      <w:r>
        <w:rPr>
          <w:rFonts w:hint="eastAsia" w:ascii="仿宋_GB2312" w:eastAsia="仿宋_GB2312" w:cs="DengXian-Regular"/>
          <w:sz w:val="32"/>
          <w:szCs w:val="32"/>
        </w:rPr>
        <w:t>万元、政府采购工程支出</w:t>
      </w:r>
      <w:r>
        <w:rPr>
          <w:rFonts w:ascii="仿宋_GB2312" w:eastAsia="仿宋_GB2312" w:cs="DengXian-Regular"/>
          <w:sz w:val="32"/>
          <w:szCs w:val="32"/>
        </w:rPr>
        <w:t>0</w:t>
      </w:r>
      <w:r>
        <w:rPr>
          <w:rFonts w:hint="eastAsia" w:ascii="仿宋_GB2312" w:eastAsia="仿宋_GB2312" w:cs="DengXian-Regular"/>
          <w:sz w:val="32"/>
          <w:szCs w:val="32"/>
        </w:rPr>
        <w:t>万元、政府采购服务支出</w:t>
      </w:r>
      <w:r>
        <w:rPr>
          <w:rFonts w:ascii="仿宋_GB2312" w:eastAsia="仿宋_GB2312" w:cs="DengXian-Regular"/>
          <w:sz w:val="32"/>
          <w:szCs w:val="32"/>
        </w:rPr>
        <w:t>0</w:t>
      </w:r>
      <w:r>
        <w:rPr>
          <w:rFonts w:hint="eastAsia" w:ascii="仿宋_GB2312" w:eastAsia="仿宋_GB2312" w:cs="DengXian-Regular"/>
          <w:sz w:val="32"/>
          <w:szCs w:val="32"/>
        </w:rPr>
        <w:t>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w:t>
      </w:r>
      <w:r>
        <w:rPr>
          <w:rFonts w:ascii="仿宋_GB2312" w:eastAsia="仿宋_GB2312" w:cs="DengXian-Regular"/>
          <w:sz w:val="32"/>
          <w:szCs w:val="32"/>
        </w:rPr>
        <w:t>2017</w:t>
      </w:r>
      <w:r>
        <w:rPr>
          <w:rFonts w:hint="eastAsia" w:ascii="仿宋_GB2312" w:eastAsia="仿宋_GB2312" w:cs="DengXian-Regular"/>
          <w:sz w:val="32"/>
          <w:szCs w:val="32"/>
        </w:rPr>
        <w:t>年</w:t>
      </w:r>
      <w:r>
        <w:rPr>
          <w:rFonts w:ascii="仿宋_GB2312" w:eastAsia="仿宋_GB2312" w:cs="DengXian-Regular"/>
          <w:sz w:val="32"/>
          <w:szCs w:val="32"/>
        </w:rPr>
        <w:t>12</w:t>
      </w:r>
      <w:r>
        <w:rPr>
          <w:rFonts w:hint="eastAsia" w:ascii="仿宋_GB2312" w:eastAsia="仿宋_GB2312" w:cs="DengXian-Regular"/>
          <w:sz w:val="32"/>
          <w:szCs w:val="32"/>
        </w:rPr>
        <w:t>月</w:t>
      </w:r>
      <w:r>
        <w:rPr>
          <w:rFonts w:ascii="仿宋_GB2312" w:eastAsia="仿宋_GB2312" w:cs="DengXian-Regular"/>
          <w:sz w:val="32"/>
          <w:szCs w:val="32"/>
        </w:rPr>
        <w:t>31</w:t>
      </w:r>
      <w:r>
        <w:rPr>
          <w:rFonts w:hint="eastAsia" w:ascii="仿宋_GB2312" w:eastAsia="仿宋_GB2312" w:cs="DengXian-Regular"/>
          <w:sz w:val="32"/>
          <w:szCs w:val="32"/>
        </w:rPr>
        <w:t>日，本部门共有车辆</w:t>
      </w:r>
      <w:r>
        <w:rPr>
          <w:rFonts w:ascii="仿宋_GB2312" w:eastAsia="仿宋_GB2312" w:cs="DengXian-Regular"/>
          <w:sz w:val="32"/>
          <w:szCs w:val="32"/>
        </w:rPr>
        <w:t>1</w:t>
      </w:r>
      <w:r>
        <w:rPr>
          <w:rFonts w:hint="eastAsia" w:ascii="仿宋_GB2312" w:eastAsia="仿宋_GB2312" w:cs="DengXian-Regular"/>
          <w:sz w:val="32"/>
          <w:szCs w:val="32"/>
        </w:rPr>
        <w:t>辆，其中，市级领导干部用车</w:t>
      </w:r>
      <w:r>
        <w:rPr>
          <w:rFonts w:ascii="仿宋_GB2312" w:eastAsia="仿宋_GB2312" w:cs="DengXian-Regular"/>
          <w:sz w:val="32"/>
          <w:szCs w:val="32"/>
        </w:rPr>
        <w:t>0</w:t>
      </w:r>
      <w:r>
        <w:rPr>
          <w:rFonts w:hint="eastAsia" w:ascii="仿宋_GB2312" w:eastAsia="仿宋_GB2312" w:cs="DengXian-Regular"/>
          <w:sz w:val="32"/>
          <w:szCs w:val="32"/>
        </w:rPr>
        <w:t>辆、一般公务用车</w:t>
      </w:r>
      <w:r>
        <w:rPr>
          <w:rFonts w:ascii="仿宋_GB2312" w:eastAsia="仿宋_GB2312" w:cs="DengXian-Regular"/>
          <w:sz w:val="32"/>
          <w:szCs w:val="32"/>
        </w:rPr>
        <w:t>1</w:t>
      </w:r>
      <w:r>
        <w:rPr>
          <w:rFonts w:hint="eastAsia" w:ascii="仿宋_GB2312" w:eastAsia="仿宋_GB2312" w:cs="DengXian-Regular"/>
          <w:sz w:val="32"/>
          <w:szCs w:val="32"/>
        </w:rPr>
        <w:t>辆、一般执法执勤用车</w:t>
      </w:r>
      <w:r>
        <w:rPr>
          <w:rFonts w:ascii="仿宋_GB2312" w:eastAsia="仿宋_GB2312" w:cs="DengXian-Regular"/>
          <w:sz w:val="32"/>
          <w:szCs w:val="32"/>
        </w:rPr>
        <w:t>0</w:t>
      </w:r>
      <w:r>
        <w:rPr>
          <w:rFonts w:hint="eastAsia" w:ascii="仿宋_GB2312" w:eastAsia="仿宋_GB2312" w:cs="DengXian-Regular"/>
          <w:sz w:val="32"/>
          <w:szCs w:val="32"/>
        </w:rPr>
        <w:t>辆、特种专业技术用车</w:t>
      </w:r>
      <w:r>
        <w:rPr>
          <w:rFonts w:ascii="仿宋_GB2312" w:eastAsia="仿宋_GB2312" w:cs="DengXian-Regular"/>
          <w:sz w:val="32"/>
          <w:szCs w:val="32"/>
        </w:rPr>
        <w:t>0</w:t>
      </w:r>
      <w:r>
        <w:rPr>
          <w:rFonts w:hint="eastAsia" w:ascii="仿宋_GB2312" w:eastAsia="仿宋_GB2312" w:cs="DengXian-Regular"/>
          <w:sz w:val="32"/>
          <w:szCs w:val="32"/>
        </w:rPr>
        <w:t>辆、其他用车</w:t>
      </w:r>
      <w:r>
        <w:rPr>
          <w:rFonts w:ascii="仿宋_GB2312" w:eastAsia="仿宋_GB2312" w:cs="DengXian-Regular"/>
          <w:sz w:val="32"/>
          <w:szCs w:val="32"/>
        </w:rPr>
        <w:t>0</w:t>
      </w:r>
      <w:r>
        <w:rPr>
          <w:rFonts w:hint="eastAsia" w:ascii="仿宋_GB2312" w:eastAsia="仿宋_GB2312" w:cs="DengXian-Regular"/>
          <w:sz w:val="32"/>
          <w:szCs w:val="32"/>
        </w:rPr>
        <w:t>辆，其他用车无；单位价值</w:t>
      </w:r>
      <w:r>
        <w:rPr>
          <w:rFonts w:ascii="仿宋_GB2312" w:hAnsi="TimesNewRomanPSMT" w:eastAsia="仿宋_GB2312" w:cs="TimesNewRomanPSMT"/>
          <w:sz w:val="32"/>
          <w:szCs w:val="32"/>
        </w:rPr>
        <w:t>50</w:t>
      </w:r>
      <w:r>
        <w:rPr>
          <w:rFonts w:hint="eastAsia" w:ascii="仿宋_GB2312" w:eastAsia="仿宋_GB2312" w:cs="DengXian-Regular"/>
          <w:sz w:val="32"/>
          <w:szCs w:val="32"/>
        </w:rPr>
        <w:t>万元以上大型设备</w:t>
      </w:r>
      <w:r>
        <w:rPr>
          <w:rFonts w:ascii="仿宋_GB2312" w:eastAsia="仿宋_GB2312" w:cs="DengXian-Regular"/>
          <w:sz w:val="32"/>
          <w:szCs w:val="32"/>
        </w:rPr>
        <w:t>0</w:t>
      </w:r>
      <w:r>
        <w:rPr>
          <w:rFonts w:hint="eastAsia" w:ascii="仿宋_GB2312" w:eastAsia="仿宋_GB2312" w:cs="DengXian-Regular"/>
          <w:sz w:val="32"/>
          <w:szCs w:val="32"/>
        </w:rPr>
        <w:t>台（套），单位价值</w:t>
      </w:r>
      <w:r>
        <w:rPr>
          <w:rFonts w:ascii="仿宋_GB2312" w:hAnsi="TimesNewRomanPSMT" w:eastAsia="仿宋_GB2312" w:cs="TimesNewRomanPSMT"/>
          <w:sz w:val="32"/>
          <w:szCs w:val="32"/>
        </w:rPr>
        <w:t>100</w:t>
      </w:r>
      <w:r>
        <w:rPr>
          <w:rFonts w:hint="eastAsia" w:ascii="仿宋_GB2312" w:eastAsia="仿宋_GB2312" w:cs="DengXian-Regular"/>
          <w:sz w:val="32"/>
          <w:szCs w:val="32"/>
        </w:rPr>
        <w:t>万元以上大型设备</w:t>
      </w:r>
      <w:r>
        <w:rPr>
          <w:rFonts w:ascii="仿宋_GB2312" w:eastAsia="仿宋_GB2312" w:cs="DengXian-Regular"/>
          <w:sz w:val="32"/>
          <w:szCs w:val="32"/>
        </w:rPr>
        <w:t>0</w:t>
      </w:r>
      <w:r>
        <w:rPr>
          <w:rFonts w:hint="eastAsia" w:ascii="仿宋_GB2312" w:eastAsia="仿宋_GB2312" w:cs="DengXian-Regular"/>
          <w:sz w:val="32"/>
          <w:szCs w:val="32"/>
        </w:rPr>
        <w:t>台（套）。</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1、本部门2017年度政府性基金预算财政拨款收入支出决算表为空、国有资本经营预算财政拨款收入支出决算表为空、政府采购情况表为空，无收支及结转结余情况，故均以空表列示。</w:t>
      </w:r>
    </w:p>
    <w:p>
      <w:pPr>
        <w:adjustRightInd w:val="0"/>
        <w:snapToGrid w:val="0"/>
        <w:spacing w:after="0" w:line="560" w:lineRule="exact"/>
        <w:ind w:firstLine="640" w:firstLineChars="200"/>
        <w:rPr>
          <w:rFonts w:ascii="仿宋_GB2312" w:eastAsia="仿宋_GB2312" w:cs="DengXian-Regular"/>
          <w:sz w:val="32"/>
          <w:szCs w:val="32"/>
        </w:rPr>
      </w:pPr>
      <w:r>
        <w:rPr>
          <w:rFonts w:ascii="仿宋_GB2312" w:eastAsia="仿宋_GB2312" w:cs="DengXian-Regular"/>
          <w:sz w:val="32"/>
          <w:szCs w:val="32"/>
        </w:rPr>
        <w:t>2</w:t>
      </w:r>
      <w:r>
        <w:rPr>
          <w:rFonts w:hint="eastAsia" w:ascii="仿宋_GB2312" w:eastAsia="仿宋_GB2312" w:cs="DengXian-Regular"/>
          <w:sz w:val="32"/>
          <w:szCs w:val="32"/>
        </w:rPr>
        <w:t>、由于决算公开表格中金额数值应当保留两位小数，公开数据为四舍五入计算结果，个别数据合计项与分项之和存在小数点后差额，特此说明。</w:t>
      </w:r>
    </w:p>
    <w:p>
      <w:pPr>
        <w:pStyle w:val="2"/>
        <w:jc w:val="center"/>
        <w:rPr>
          <w:rFonts w:ascii="宋体" w:cs="SimSun,Bold"/>
        </w:rPr>
      </w:pPr>
      <w:r>
        <w:rPr>
          <w:rFonts w:hint="eastAsia" w:ascii="宋体" w:hAnsi="宋体" w:cs="SimSun,Bold"/>
        </w:rPr>
        <w:t>第四部分</w:t>
      </w:r>
      <w:r>
        <w:rPr>
          <w:rFonts w:ascii="宋体" w:hAnsi="宋体" w:cs="SimSun,Bold"/>
          <w:bCs w:val="0"/>
        </w:rPr>
        <w:t xml:space="preserve"> </w:t>
      </w:r>
      <w:r>
        <w:rPr>
          <w:rFonts w:hint="eastAsia" w:ascii="宋体" w:hAnsi="宋体" w:cs="SimSun,Bold"/>
        </w:rPr>
        <w:t>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w:t>
      </w:r>
      <w:r>
        <w:rPr>
          <w:rFonts w:ascii="仿宋_GB2312" w:hAnsi="宋体" w:eastAsia="仿宋_GB2312"/>
          <w:color w:val="000000"/>
          <w:kern w:val="0"/>
          <w:sz w:val="32"/>
          <w:szCs w:val="32"/>
        </w:rPr>
        <w:t xml:space="preserve"> </w:t>
      </w:r>
      <w:r>
        <w:rPr>
          <w:rFonts w:hint="eastAsia" w:ascii="仿宋_GB2312" w:hAnsi="宋体" w:eastAsia="仿宋_GB2312"/>
          <w:color w:val="000000"/>
          <w:kern w:val="0"/>
          <w:sz w:val="32"/>
          <w:szCs w:val="32"/>
        </w:rPr>
        <w:t>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auto"/>
    <w:pitch w:val="default"/>
    <w:sig w:usb0="E00006FF" w:usb1="420024FF" w:usb2="02000000" w:usb3="00000000" w:csb0="2000019F" w:csb1="00000000"/>
  </w:font>
  <w:font w:name="方正小标宋_GBK">
    <w:altName w:val="微软雅黑"/>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auto"/>
    <w:pitch w:val="default"/>
    <w:sig w:usb0="00000000" w:usb1="00000000" w:usb2="0000001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auto"/>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2010609030101010101"/>
    <w:charset w:val="86"/>
    <w:family w:val="auto"/>
    <w:pitch w:val="default"/>
    <w:sig w:usb0="00000000" w:usb1="00000000" w:usb2="0000001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lvl w:ilvl="0" w:tentative="0">
      <w:start w:val="3"/>
      <w:numFmt w:val="chineseCounting"/>
      <w:suff w:val="nothing"/>
      <w:lvlText w:val="（%1）"/>
      <w:lvlJc w:val="left"/>
    </w:lvl>
  </w:abstractNum>
  <w:abstractNum w:abstractNumId="1">
    <w:nsid w:val="00000003"/>
    <w:multiLevelType w:val="singleLevel"/>
    <w:tmpl w:val="00000003"/>
    <w:lvl w:ilvl="0" w:tentative="0">
      <w:start w:val="1"/>
      <w:numFmt w:val="decimal"/>
      <w:suff w:val="nothing"/>
      <w:lvlText w:val="%1、"/>
      <w:lvlJc w:val="left"/>
      <w:rPr>
        <w:rFonts w:ascii="仿宋" w:hAnsi="仿宋" w:eastAsia="仿宋"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088D4315"/>
    <w:rsid w:val="0EC03D79"/>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qFormat/>
    <w:uiPriority w:val="0"/>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3">
    <w:name w:val="heading 2"/>
    <w:basedOn w:val="1"/>
    <w:next w:val="1"/>
    <w:link w:val="13"/>
    <w:qFormat/>
    <w:uiPriority w:val="0"/>
    <w:pPr>
      <w:keepNext/>
      <w:keepLines/>
      <w:spacing w:before="260" w:after="260" w:line="416" w:lineRule="auto"/>
      <w:outlineLvl w:val="1"/>
    </w:pPr>
    <w:rPr>
      <w:rFonts w:ascii="Calibri" w:hAnsi="Calibri" w:eastAsia="宋体" w:cs="Times New Roman"/>
      <w:b/>
      <w:bCs/>
      <w:sz w:val="32"/>
      <w:szCs w:val="32"/>
    </w:rPr>
  </w:style>
  <w:style w:type="paragraph" w:styleId="4">
    <w:name w:val="heading 3"/>
    <w:basedOn w:val="1"/>
    <w:next w:val="1"/>
    <w:link w:val="14"/>
    <w:qFormat/>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styleId="5">
    <w:name w:val="heading 4"/>
    <w:basedOn w:val="1"/>
    <w:next w:val="1"/>
    <w:link w:val="15"/>
    <w:qFormat/>
    <w:uiPriority w:val="0"/>
    <w:pPr>
      <w:keepNext/>
      <w:keepLines/>
      <w:spacing w:before="280" w:after="290" w:line="376" w:lineRule="auto"/>
      <w:outlineLvl w:val="3"/>
    </w:pPr>
    <w:rPr>
      <w:rFonts w:ascii="Calibri" w:hAnsi="Calibri" w:eastAsia="宋体" w:cs="Times New Roman"/>
      <w:b/>
      <w:bCs/>
      <w:sz w:val="28"/>
      <w:szCs w:val="28"/>
    </w:rPr>
  </w:style>
  <w:style w:type="character" w:default="1" w:styleId="11">
    <w:name w:val="Default Paragraph Font"/>
    <w:qFormat/>
    <w:uiPriority w:val="0"/>
  </w:style>
  <w:style w:type="table" w:default="1" w:styleId="10">
    <w:name w:val="Normal Table"/>
    <w:semiHidden/>
    <w:qFormat/>
    <w:uiPriority w:val="0"/>
    <w:tblPr>
      <w:tblLayout w:type="fixed"/>
      <w:tblCellMar>
        <w:top w:w="0" w:type="dxa"/>
        <w:left w:w="108" w:type="dxa"/>
        <w:bottom w:w="0" w:type="dxa"/>
        <w:right w:w="108" w:type="dxa"/>
      </w:tblCellMar>
    </w:tblPr>
  </w:style>
  <w:style w:type="paragraph" w:styleId="6">
    <w:name w:val="footer"/>
    <w:basedOn w:val="1"/>
    <w:link w:val="16"/>
    <w:qFormat/>
    <w:uiPriority w:val="0"/>
    <w:pPr>
      <w:tabs>
        <w:tab w:val="center" w:pos="4153"/>
        <w:tab w:val="right" w:pos="8306"/>
      </w:tabs>
      <w:snapToGrid w:val="0"/>
      <w:jc w:val="left"/>
    </w:pPr>
    <w:rPr>
      <w:rFonts w:cs="Times New Roman"/>
      <w:sz w:val="18"/>
      <w:szCs w:val="18"/>
    </w:rPr>
  </w:style>
  <w:style w:type="paragraph" w:styleId="7">
    <w:name w:val="header"/>
    <w:basedOn w:val="1"/>
    <w:link w:val="17"/>
    <w:qFormat/>
    <w:uiPriority w:val="0"/>
    <w:pPr>
      <w:pBdr>
        <w:bottom w:val="single" w:color="auto" w:sz="6" w:space="1"/>
      </w:pBdr>
      <w:tabs>
        <w:tab w:val="center" w:pos="4153"/>
        <w:tab w:val="right" w:pos="8306"/>
      </w:tabs>
      <w:snapToGrid w:val="0"/>
      <w:jc w:val="center"/>
    </w:pPr>
    <w:rPr>
      <w:rFonts w:cs="Times New Roman"/>
      <w:sz w:val="18"/>
      <w:szCs w:val="18"/>
    </w:rPr>
  </w:style>
  <w:style w:type="paragraph" w:styleId="8">
    <w:name w:val="Subtitle"/>
    <w:basedOn w:val="1"/>
    <w:next w:val="1"/>
    <w:link w:val="18"/>
    <w:qFormat/>
    <w:uiPriority w:val="0"/>
    <w:pPr>
      <w:widowControl/>
      <w:spacing w:after="200" w:line="276" w:lineRule="auto"/>
      <w:jc w:val="left"/>
    </w:pPr>
    <w:rPr>
      <w:rFonts w:ascii="Calibri" w:hAnsi="Calibri" w:eastAsia="宋体" w:cs="Times New Roman"/>
      <w:i/>
      <w:iCs/>
      <w:color w:val="F0A22E"/>
      <w:spacing w:val="15"/>
      <w:kern w:val="0"/>
      <w:sz w:val="24"/>
      <w:szCs w:val="24"/>
    </w:rPr>
  </w:style>
  <w:style w:type="paragraph" w:styleId="9">
    <w:name w:val="Title"/>
    <w:basedOn w:val="1"/>
    <w:next w:val="1"/>
    <w:link w:val="19"/>
    <w:qFormat/>
    <w:uiPriority w:val="0"/>
    <w:pPr>
      <w:widowControl/>
      <w:pBdr>
        <w:bottom w:val="single" w:color="F0A22E" w:sz="8" w:space="4"/>
      </w:pBdr>
      <w:spacing w:after="300"/>
      <w:contextualSpacing/>
      <w:jc w:val="left"/>
    </w:pPr>
    <w:rPr>
      <w:rFonts w:ascii="Calibri" w:hAnsi="Calibri" w:eastAsia="宋体" w:cs="Times New Roman"/>
      <w:color w:val="3A2C24"/>
      <w:spacing w:val="5"/>
      <w:kern w:val="28"/>
      <w:sz w:val="52"/>
      <w:szCs w:val="52"/>
    </w:rPr>
  </w:style>
  <w:style w:type="character" w:customStyle="1" w:styleId="12">
    <w:name w:val="标题 1 Char"/>
    <w:basedOn w:val="11"/>
    <w:link w:val="2"/>
    <w:semiHidden/>
    <w:qFormat/>
    <w:uiPriority w:val="0"/>
    <w:rPr>
      <w:rFonts w:ascii="Times New Roman" w:hAnsi="Times New Roman" w:eastAsia="宋体" w:cs="Times New Roman"/>
      <w:b/>
      <w:bCs/>
      <w:kern w:val="44"/>
      <w:sz w:val="44"/>
      <w:szCs w:val="44"/>
    </w:rPr>
  </w:style>
  <w:style w:type="character" w:customStyle="1" w:styleId="13">
    <w:name w:val="标题 2 Char"/>
    <w:basedOn w:val="11"/>
    <w:link w:val="3"/>
    <w:semiHidden/>
    <w:qFormat/>
    <w:uiPriority w:val="0"/>
    <w:rPr>
      <w:rFonts w:ascii="Calibri" w:hAnsi="Calibri" w:eastAsia="宋体" w:cs="Times New Roman"/>
      <w:b/>
      <w:bCs/>
      <w:sz w:val="32"/>
      <w:szCs w:val="32"/>
    </w:rPr>
  </w:style>
  <w:style w:type="character" w:customStyle="1" w:styleId="14">
    <w:name w:val="标题 3 Char"/>
    <w:basedOn w:val="11"/>
    <w:link w:val="4"/>
    <w:semiHidden/>
    <w:qFormat/>
    <w:uiPriority w:val="0"/>
    <w:rPr>
      <w:rFonts w:ascii="Times New Roman" w:hAnsi="Times New Roman" w:eastAsia="宋体" w:cs="Times New Roman"/>
      <w:b/>
      <w:bCs/>
      <w:sz w:val="32"/>
      <w:szCs w:val="32"/>
    </w:rPr>
  </w:style>
  <w:style w:type="character" w:customStyle="1" w:styleId="15">
    <w:name w:val="标题 4 Char"/>
    <w:basedOn w:val="11"/>
    <w:link w:val="5"/>
    <w:semiHidden/>
    <w:qFormat/>
    <w:uiPriority w:val="0"/>
    <w:rPr>
      <w:rFonts w:ascii="Calibri" w:hAnsi="Calibri" w:eastAsia="宋体" w:cs="Times New Roman"/>
      <w:b/>
      <w:bCs/>
      <w:sz w:val="28"/>
      <w:szCs w:val="28"/>
    </w:rPr>
  </w:style>
  <w:style w:type="character" w:customStyle="1" w:styleId="16">
    <w:name w:val="页脚 Char"/>
    <w:basedOn w:val="11"/>
    <w:link w:val="6"/>
    <w:semiHidden/>
    <w:qFormat/>
    <w:uiPriority w:val="0"/>
    <w:rPr>
      <w:rFonts w:cs="Times New Roman"/>
      <w:sz w:val="18"/>
      <w:szCs w:val="18"/>
    </w:rPr>
  </w:style>
  <w:style w:type="character" w:customStyle="1" w:styleId="17">
    <w:name w:val="页眉 Char"/>
    <w:basedOn w:val="11"/>
    <w:link w:val="7"/>
    <w:semiHidden/>
    <w:qFormat/>
    <w:uiPriority w:val="0"/>
    <w:rPr>
      <w:rFonts w:cs="Times New Roman"/>
      <w:sz w:val="18"/>
      <w:szCs w:val="18"/>
    </w:rPr>
  </w:style>
  <w:style w:type="character" w:customStyle="1" w:styleId="18">
    <w:name w:val="副标题 Char"/>
    <w:basedOn w:val="11"/>
    <w:link w:val="8"/>
    <w:semiHidden/>
    <w:qFormat/>
    <w:uiPriority w:val="0"/>
    <w:rPr>
      <w:rFonts w:ascii="Calibri" w:hAnsi="Calibri" w:eastAsia="宋体" w:cs="Times New Roman"/>
      <w:i/>
      <w:iCs/>
      <w:color w:val="F0A22E"/>
      <w:spacing w:val="15"/>
      <w:kern w:val="0"/>
      <w:sz w:val="24"/>
      <w:szCs w:val="24"/>
    </w:rPr>
  </w:style>
  <w:style w:type="character" w:customStyle="1" w:styleId="19">
    <w:name w:val="标题 Char"/>
    <w:basedOn w:val="11"/>
    <w:link w:val="9"/>
    <w:semiHidden/>
    <w:qFormat/>
    <w:uiPriority w:val="0"/>
    <w:rPr>
      <w:rFonts w:ascii="Calibri" w:hAnsi="Calibri" w:eastAsia="宋体" w:cs="Times New Roman"/>
      <w:color w:val="3A2C24"/>
      <w:spacing w:val="5"/>
      <w:kern w:val="28"/>
      <w:sz w:val="52"/>
      <w:szCs w:val="52"/>
    </w:rPr>
  </w:style>
  <w:style w:type="paragraph" w:customStyle="1" w:styleId="20">
    <w:name w:val="批注框文本 Char Char"/>
    <w:basedOn w:val="1"/>
    <w:link w:val="22"/>
    <w:qFormat/>
    <w:uiPriority w:val="0"/>
    <w:rPr>
      <w:rFonts w:ascii="Times New Roman" w:hAnsi="Times New Roman" w:eastAsia="宋体" w:cs="Times New Roman"/>
      <w:sz w:val="18"/>
      <w:szCs w:val="18"/>
    </w:rPr>
  </w:style>
  <w:style w:type="paragraph" w:customStyle="1" w:styleId="21">
    <w:name w:val="No Spacing"/>
    <w:link w:val="23"/>
    <w:qFormat/>
    <w:uiPriority w:val="0"/>
    <w:pPr>
      <w:spacing w:after="160" w:line="480" w:lineRule="auto"/>
    </w:pPr>
    <w:rPr>
      <w:rFonts w:ascii="Cambria" w:hAnsi="Cambria" w:eastAsia="黑体" w:cs="Times New Roman"/>
      <w:sz w:val="22"/>
      <w:szCs w:val="22"/>
      <w:lang w:val="en-US" w:eastAsia="zh-CN" w:bidi="ar-SA"/>
    </w:rPr>
  </w:style>
  <w:style w:type="character" w:customStyle="1" w:styleId="22">
    <w:name w:val="批注框文本 Char Char Char Char"/>
    <w:basedOn w:val="11"/>
    <w:link w:val="20"/>
    <w:semiHidden/>
    <w:qFormat/>
    <w:uiPriority w:val="0"/>
    <w:rPr>
      <w:rFonts w:ascii="Times New Roman" w:hAnsi="Times New Roman" w:eastAsia="宋体" w:cs="Times New Roman"/>
      <w:sz w:val="18"/>
      <w:szCs w:val="18"/>
    </w:rPr>
  </w:style>
  <w:style w:type="character" w:customStyle="1" w:styleId="23">
    <w:name w:val="无间隔 Char"/>
    <w:basedOn w:val="11"/>
    <w:link w:val="21"/>
    <w:semiHidden/>
    <w:qFormat/>
    <w:uiPriority w:val="0"/>
    <w:rPr>
      <w:rFonts w:ascii="Cambria" w:hAnsi="Cambria" w:eastAsia="黑体"/>
      <w:sz w:val="22"/>
      <w:szCs w:val="22"/>
      <w:lang w:val="en-US" w:eastAsia="zh-CN" w:bidi="ar-SA"/>
    </w:rPr>
  </w:style>
  <w:style w:type="character" w:customStyle="1" w:styleId="24">
    <w:name w:val="Style1"/>
    <w:basedOn w:val="11"/>
    <w:qFormat/>
    <w:uiPriority w:val="0"/>
    <w:rPr>
      <w:rFonts w:ascii="Cambria" w:hAnsi="黑体" w:eastAsia="黑体" w:cs="Times New Roman"/>
      <w:sz w:val="22"/>
      <w:szCs w:val="22"/>
      <w:lang w:eastAsia="zh-CN"/>
    </w:rPr>
  </w:style>
  <w:style w:type="character" w:customStyle="1" w:styleId="25">
    <w:name w:val="Style2"/>
    <w:basedOn w:val="11"/>
    <w:qFormat/>
    <w:uiPriority w:val="0"/>
    <w:rPr>
      <w:rFonts w:ascii="Cambria" w:hAnsi="黑体" w:eastAsia="黑体" w:cs="Times New Roman"/>
      <w:sz w:val="22"/>
      <w:szCs w:val="22"/>
      <w:lang w:eastAsia="zh-CN"/>
    </w:rPr>
  </w:style>
  <w:style w:type="character" w:customStyle="1" w:styleId="26">
    <w:name w:val="Style3"/>
    <w:basedOn w:val="11"/>
    <w:qFormat/>
    <w:uiPriority w:val="0"/>
    <w:rPr>
      <w:rFonts w:ascii="Cambria" w:hAnsi="黑体" w:eastAsia="黑体" w:cs="Times New Roman"/>
      <w:sz w:val="22"/>
      <w:szCs w:val="22"/>
      <w:lang w:eastAsia="zh-CN"/>
    </w:rPr>
  </w:style>
  <w:style w:type="character" w:customStyle="1" w:styleId="27">
    <w:name w:val="Style4"/>
    <w:basedOn w:val="11"/>
    <w:qFormat/>
    <w:uiPriority w:val="0"/>
    <w:rPr>
      <w:rFonts w:ascii="Cambria" w:hAnsi="黑体" w:eastAsia="黑体" w:cs="Times New Roman"/>
      <w:sz w:val="22"/>
      <w:szCs w:val="22"/>
      <w:lang w:eastAsia="zh-CN"/>
    </w:rPr>
  </w:style>
  <w:style w:type="character" w:customStyle="1" w:styleId="28">
    <w:name w:val="Style5"/>
    <w:basedOn w:val="11"/>
    <w:qFormat/>
    <w:uiPriority w:val="0"/>
    <w:rPr>
      <w:rFonts w:ascii="Cambria" w:hAnsi="黑体" w:eastAsia="黑体" w:cs="Times New Roman"/>
      <w:sz w:val="22"/>
      <w:szCs w:val="22"/>
      <w:lang w:eastAsia="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14</Pages>
  <Words>717</Words>
  <Characters>4087</Characters>
  <Lines>34</Lines>
  <Paragraphs>9</Paragraphs>
  <TotalTime>0</TotalTime>
  <ScaleCrop>false</ScaleCrop>
  <LinksUpToDate>false</LinksUpToDate>
  <CharactersWithSpaces>0</CharactersWithSpaces>
  <Application>WPS Office_11.1.0.8415_F1E327BC-269C-435d-A152-05C5408002CA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2018-08-30T08:38:00Z</dcterms:created>
  <dc:creator>User</dc:creator>
  <cp:lastModifiedBy>123</cp:lastModifiedBy>
  <dcterms:modified xsi:type="dcterms:W3CDTF">2019-02-18T01:30:06Z</dcterms:modified>
  <dc:subject>石家庄市xxx部门</dc:subject>
  <dc:title>2017年度部门决算</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2052-11.1.0.8415</vt:lpwstr>
  </property>
</Properties>
</file>