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无极县高头回族乡人民政府</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高头回族乡人民政府</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高头回族乡人民政府</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高头回族乡人民政府</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一、部门职责</w:t>
      </w:r>
    </w:p>
    <w:p>
      <w:pPr>
        <w:ind w:firstLine="560"/>
        <w:rPr>
          <w:rFonts w:ascii="仿宋" w:hAnsi="仿宋" w:eastAsia="仿宋" w:cs="仿宋"/>
          <w:sz w:val="32"/>
          <w:szCs w:val="32"/>
        </w:rPr>
      </w:pPr>
      <w:r>
        <w:rPr>
          <w:rFonts w:hint="eastAsia" w:ascii="仿宋" w:hAnsi="仿宋" w:eastAsia="仿宋" w:cs="仿宋"/>
          <w:sz w:val="32"/>
          <w:szCs w:val="32"/>
        </w:rPr>
        <w:t>部门职责1党政事务管理</w:t>
      </w:r>
    </w:p>
    <w:p>
      <w:pPr>
        <w:ind w:firstLine="560"/>
        <w:rPr>
          <w:rFonts w:ascii="仿宋" w:hAnsi="仿宋" w:eastAsia="仿宋" w:cs="仿宋"/>
          <w:sz w:val="32"/>
          <w:szCs w:val="32"/>
        </w:rPr>
      </w:pPr>
      <w:r>
        <w:rPr>
          <w:rFonts w:hint="eastAsia" w:ascii="仿宋" w:hAnsi="仿宋" w:eastAsia="仿宋" w:cs="仿宋"/>
          <w:sz w:val="32"/>
          <w:szCs w:val="32"/>
        </w:rPr>
        <w:t>完成党委、人大、纪检、组织、宣传、环保、计生、民政、工会、共青团、妇联等工作，协调各办公室的工作关系；完成社会主义新农村的规划和建设工作；完成政府日常事务和机关后勤工作，完成党委政府交办的其他事项。</w:t>
      </w:r>
    </w:p>
    <w:p>
      <w:pPr>
        <w:ind w:firstLine="560"/>
        <w:rPr>
          <w:rFonts w:ascii="仿宋" w:hAnsi="仿宋" w:eastAsia="仿宋" w:cs="仿宋"/>
          <w:sz w:val="32"/>
          <w:szCs w:val="32"/>
        </w:rPr>
      </w:pPr>
      <w:r>
        <w:rPr>
          <w:rFonts w:hint="eastAsia" w:ascii="仿宋" w:hAnsi="仿宋" w:eastAsia="仿宋" w:cs="仿宋"/>
          <w:sz w:val="32"/>
          <w:szCs w:val="32"/>
        </w:rPr>
        <w:t>部门职责2环保工作管理</w:t>
      </w:r>
    </w:p>
    <w:p>
      <w:pPr>
        <w:ind w:firstLine="560"/>
        <w:rPr>
          <w:rFonts w:ascii="仿宋" w:hAnsi="仿宋" w:eastAsia="仿宋" w:cs="仿宋"/>
          <w:color w:val="000000"/>
          <w:sz w:val="32"/>
          <w:szCs w:val="32"/>
        </w:rPr>
      </w:pPr>
      <w:r>
        <w:rPr>
          <w:rFonts w:hint="eastAsia" w:ascii="仿宋" w:hAnsi="仿宋" w:eastAsia="仿宋" w:cs="仿宋"/>
          <w:color w:val="000000"/>
          <w:sz w:val="32"/>
          <w:szCs w:val="32"/>
        </w:rPr>
        <w:t>积极配合县委县政府的环境保护和污染治理工作，我们乡会以更加理智的思维、高度负责的态度、决战决胜的勇气、扎实有力的举措，全面打好环境保护的防卫战，争取早日还老百姓一个绿水蓝天的好环境。</w:t>
      </w:r>
    </w:p>
    <w:p>
      <w:pPr>
        <w:ind w:firstLine="560"/>
        <w:rPr>
          <w:rFonts w:ascii="仿宋" w:hAnsi="仿宋" w:eastAsia="仿宋" w:cs="仿宋"/>
          <w:sz w:val="32"/>
          <w:szCs w:val="32"/>
        </w:rPr>
      </w:pPr>
      <w:r>
        <w:rPr>
          <w:rFonts w:hint="eastAsia" w:ascii="仿宋" w:hAnsi="仿宋" w:eastAsia="仿宋" w:cs="仿宋"/>
          <w:sz w:val="32"/>
          <w:szCs w:val="32"/>
        </w:rPr>
        <w:t>部门职责3社会事务管理</w:t>
      </w:r>
    </w:p>
    <w:p>
      <w:pPr>
        <w:ind w:firstLine="560"/>
        <w:rPr>
          <w:rFonts w:ascii="仿宋" w:hAnsi="仿宋" w:eastAsia="仿宋" w:cs="仿宋"/>
          <w:sz w:val="32"/>
          <w:szCs w:val="32"/>
        </w:rPr>
      </w:pPr>
      <w:r>
        <w:rPr>
          <w:rFonts w:hint="eastAsia" w:ascii="仿宋" w:hAnsi="仿宋" w:eastAsia="仿宋" w:cs="仿宋"/>
          <w:sz w:val="32"/>
          <w:szCs w:val="32"/>
        </w:rPr>
        <w:t>负责民政工作，发展社会福利事业，做好民族宗教及残联工作，办理征兵事项，负责村民自治的选举工作，负责协调文化、教育、卫生等工作。</w:t>
      </w:r>
    </w:p>
    <w:p>
      <w:pPr>
        <w:ind w:firstLine="560"/>
        <w:rPr>
          <w:rFonts w:ascii="仿宋" w:hAnsi="仿宋" w:eastAsia="仿宋" w:cs="仿宋"/>
          <w:sz w:val="32"/>
          <w:szCs w:val="32"/>
        </w:rPr>
      </w:pPr>
      <w:r>
        <w:rPr>
          <w:rFonts w:hint="eastAsia" w:ascii="仿宋" w:hAnsi="仿宋" w:eastAsia="仿宋" w:cs="仿宋"/>
          <w:sz w:val="32"/>
          <w:szCs w:val="32"/>
        </w:rPr>
        <w:t>部门职责4社会治安综合治理事务</w:t>
      </w:r>
    </w:p>
    <w:p>
      <w:pPr>
        <w:ind w:firstLine="560"/>
        <w:rPr>
          <w:rFonts w:ascii="仿宋" w:hAnsi="仿宋" w:eastAsia="仿宋" w:cs="仿宋"/>
          <w:sz w:val="32"/>
          <w:szCs w:val="32"/>
        </w:rPr>
      </w:pPr>
      <w:r>
        <w:rPr>
          <w:rFonts w:hint="eastAsia" w:ascii="仿宋" w:hAnsi="仿宋" w:eastAsia="仿宋" w:cs="仿宋"/>
          <w:sz w:val="32"/>
          <w:szCs w:val="32"/>
        </w:rPr>
        <w:t>完成开展社会主义民主与法制教育；加强社会治安综合治理；做好司法、宗教工作，打击邪教；做好群众来信来访工作；调解民事纠纷、维护社会稳定。</w:t>
      </w:r>
    </w:p>
    <w:p>
      <w:pPr>
        <w:ind w:firstLine="560"/>
        <w:rPr>
          <w:rFonts w:ascii="仿宋" w:hAnsi="仿宋" w:eastAsia="仿宋" w:cs="仿宋"/>
          <w:sz w:val="32"/>
          <w:szCs w:val="32"/>
        </w:rPr>
      </w:pPr>
      <w:r>
        <w:rPr>
          <w:rFonts w:hint="eastAsia" w:ascii="仿宋" w:hAnsi="仿宋" w:eastAsia="仿宋" w:cs="仿宋"/>
          <w:sz w:val="32"/>
          <w:szCs w:val="32"/>
        </w:rPr>
        <w:t>部门职责5城镇规划建设事务</w:t>
      </w:r>
    </w:p>
    <w:p>
      <w:pPr>
        <w:ind w:firstLine="560"/>
        <w:rPr>
          <w:rFonts w:ascii="仿宋" w:hAnsi="仿宋" w:eastAsia="仿宋" w:cs="仿宋"/>
          <w:sz w:val="32"/>
          <w:szCs w:val="32"/>
        </w:rPr>
      </w:pPr>
      <w:r>
        <w:rPr>
          <w:rFonts w:hint="eastAsia" w:ascii="仿宋" w:hAnsi="仿宋" w:eastAsia="仿宋" w:cs="仿宋"/>
          <w:sz w:val="32"/>
          <w:szCs w:val="32"/>
        </w:rPr>
        <w:t>配合县委有关部门，完成编制镇建设规划，基础设施，公用设施的建设与管理及农村面貌改造</w:t>
      </w:r>
    </w:p>
    <w:p>
      <w:pPr>
        <w:ind w:firstLine="560"/>
        <w:rPr>
          <w:rFonts w:ascii="仿宋" w:hAnsi="仿宋" w:eastAsia="仿宋" w:cs="仿宋"/>
          <w:sz w:val="32"/>
          <w:szCs w:val="32"/>
        </w:rPr>
      </w:pPr>
      <w:r>
        <w:rPr>
          <w:rFonts w:hint="eastAsia" w:ascii="仿宋" w:hAnsi="仿宋" w:eastAsia="仿宋" w:cs="仿宋"/>
          <w:sz w:val="32"/>
          <w:szCs w:val="32"/>
        </w:rPr>
        <w:t>部门职责6劳动保障服务事务</w:t>
      </w:r>
    </w:p>
    <w:p>
      <w:pPr>
        <w:ind w:firstLine="560"/>
        <w:rPr>
          <w:rFonts w:ascii="仿宋" w:hAnsi="仿宋" w:eastAsia="仿宋" w:cs="仿宋"/>
          <w:sz w:val="32"/>
          <w:szCs w:val="32"/>
        </w:rPr>
      </w:pPr>
      <w:r>
        <w:rPr>
          <w:rFonts w:hint="eastAsia" w:ascii="仿宋" w:hAnsi="仿宋" w:eastAsia="仿宋" w:cs="仿宋"/>
          <w:sz w:val="32"/>
          <w:szCs w:val="32"/>
        </w:rPr>
        <w:t>完成劳动法宣传、劳动就业、社会保障、安全生产监督管理工作。</w:t>
      </w:r>
    </w:p>
    <w:p>
      <w:pPr>
        <w:ind w:firstLine="560"/>
        <w:rPr>
          <w:rFonts w:ascii="仿宋" w:hAnsi="仿宋" w:eastAsia="仿宋" w:cs="仿宋"/>
          <w:sz w:val="32"/>
          <w:szCs w:val="32"/>
        </w:rPr>
      </w:pPr>
      <w:r>
        <w:rPr>
          <w:rFonts w:hint="eastAsia" w:ascii="仿宋" w:hAnsi="仿宋" w:eastAsia="仿宋" w:cs="仿宋"/>
          <w:sz w:val="32"/>
          <w:szCs w:val="32"/>
        </w:rPr>
        <w:t>部门职责7文化卫生服务站事务</w:t>
      </w:r>
    </w:p>
    <w:p>
      <w:pPr>
        <w:ind w:firstLine="560"/>
        <w:rPr>
          <w:rFonts w:ascii="仿宋" w:hAnsi="仿宋" w:eastAsia="仿宋" w:cs="仿宋"/>
          <w:sz w:val="32"/>
          <w:szCs w:val="32"/>
        </w:rPr>
      </w:pPr>
      <w:r>
        <w:rPr>
          <w:rFonts w:hint="eastAsia" w:ascii="仿宋" w:hAnsi="仿宋" w:eastAsia="仿宋" w:cs="仿宋"/>
          <w:sz w:val="32"/>
          <w:szCs w:val="32"/>
        </w:rPr>
        <w:t>群众文化卫生、娱乐、体育活动、完成新型农村合作医疗，广播电视村村通等工作。</w:t>
      </w:r>
    </w:p>
    <w:p>
      <w:pPr>
        <w:ind w:firstLine="560"/>
        <w:rPr>
          <w:rFonts w:ascii="仿宋" w:hAnsi="仿宋" w:eastAsia="仿宋" w:cs="仿宋"/>
          <w:sz w:val="32"/>
          <w:szCs w:val="32"/>
        </w:rPr>
      </w:pPr>
      <w:r>
        <w:rPr>
          <w:rFonts w:hint="eastAsia" w:ascii="仿宋" w:hAnsi="仿宋" w:eastAsia="仿宋" w:cs="仿宋"/>
          <w:sz w:val="32"/>
          <w:szCs w:val="32"/>
        </w:rPr>
        <w:t>部门职责8社区服务中心事务</w:t>
      </w:r>
    </w:p>
    <w:p>
      <w:pPr>
        <w:ind w:firstLine="560"/>
        <w:rPr>
          <w:rFonts w:ascii="仿宋" w:hAnsi="仿宋" w:eastAsia="仿宋" w:cs="仿宋"/>
          <w:sz w:val="32"/>
          <w:szCs w:val="32"/>
        </w:rPr>
      </w:pPr>
      <w:r>
        <w:rPr>
          <w:rFonts w:hint="eastAsia" w:ascii="仿宋" w:hAnsi="仿宋" w:eastAsia="仿宋" w:cs="仿宋"/>
          <w:sz w:val="32"/>
          <w:szCs w:val="32"/>
        </w:rPr>
        <w:t>推进和谐社区的建设，健全服务网络，满足社区居民的物质、文化需求。</w:t>
      </w:r>
    </w:p>
    <w:p>
      <w:pPr>
        <w:spacing w:line="240" w:lineRule="atLeast"/>
        <w:ind w:firstLine="560"/>
        <w:rPr>
          <w:rFonts w:ascii="仿宋" w:hAnsi="仿宋" w:eastAsia="仿宋" w:cs="仿宋"/>
          <w:sz w:val="32"/>
          <w:szCs w:val="32"/>
        </w:rPr>
      </w:pPr>
      <w:r>
        <w:rPr>
          <w:rFonts w:hint="eastAsia" w:ascii="仿宋" w:hAnsi="仿宋" w:eastAsia="仿宋" w:cs="仿宋"/>
          <w:sz w:val="32"/>
          <w:szCs w:val="32"/>
        </w:rPr>
        <w:t>部门职责9财政所</w:t>
      </w:r>
    </w:p>
    <w:p>
      <w:pPr>
        <w:spacing w:line="240" w:lineRule="atLeast"/>
        <w:ind w:firstLine="560"/>
        <w:rPr>
          <w:rFonts w:ascii="仿宋" w:hAnsi="仿宋" w:eastAsia="仿宋" w:cs="仿宋"/>
          <w:sz w:val="32"/>
          <w:szCs w:val="32"/>
        </w:rPr>
      </w:pPr>
      <w:r>
        <w:rPr>
          <w:rFonts w:hint="eastAsia" w:ascii="仿宋" w:hAnsi="仿宋" w:eastAsia="仿宋" w:cs="仿宋"/>
          <w:sz w:val="32"/>
          <w:szCs w:val="32"/>
          <w:shd w:val="clear" w:color="auto" w:fill="FFFFFF"/>
        </w:rPr>
        <w:t>落实兑现各级惠农补助资金，对农民负担和农村政策实施监管；围绕乡镇财源建设搞好服务；农村财务管理指导、监督和审计，依法代理村级财务，财政项目资金管理和乡镇政府机关</w:t>
      </w:r>
      <w:r>
        <w:fldChar w:fldCharType="begin"/>
      </w:r>
      <w:r>
        <w:instrText xml:space="preserve"> HYPERLINK "https://www.baidu.com/s?wd=%E8%B4%A2%E5%8A%A1%E4%BB%A3%E7%90%86&amp;tn=SE_PcZhidaonwhc_ngpagmjz&amp;rsv_dl=gh_pc_zhidao" \t "https://zhidao.baidu.com/question/_blank" </w:instrText>
      </w:r>
      <w:r>
        <w:fldChar w:fldCharType="separate"/>
      </w:r>
      <w:r>
        <w:rPr>
          <w:rStyle w:val="12"/>
          <w:rFonts w:hint="eastAsia" w:ascii="仿宋" w:hAnsi="仿宋" w:eastAsia="仿宋" w:cs="仿宋"/>
          <w:color w:val="auto"/>
          <w:sz w:val="32"/>
          <w:szCs w:val="32"/>
          <w:shd w:val="clear" w:color="auto" w:fill="FFFFFF"/>
        </w:rPr>
        <w:t>财务代理</w:t>
      </w:r>
      <w:r>
        <w:rPr>
          <w:rFonts w:hint="eastAsia" w:ascii="仿宋" w:hAnsi="仿宋" w:eastAsia="仿宋" w:cs="仿宋"/>
          <w:color w:val="auto"/>
          <w:sz w:val="32"/>
          <w:szCs w:val="32"/>
          <w:shd w:val="clear" w:color="auto" w:fill="FFFFFF"/>
        </w:rPr>
        <w:fldChar w:fldCharType="end"/>
      </w:r>
      <w:r>
        <w:rPr>
          <w:rFonts w:hint="eastAsia" w:ascii="仿宋" w:hAnsi="仿宋" w:eastAsia="仿宋" w:cs="仿宋"/>
          <w:sz w:val="32"/>
          <w:szCs w:val="32"/>
          <w:shd w:val="clear" w:color="auto" w:fill="FFFFFF"/>
        </w:rPr>
        <w:t>；乡镇公有资产管理利用及村级集体资产监督管理；</w:t>
      </w:r>
      <w:r>
        <w:fldChar w:fldCharType="begin"/>
      </w:r>
      <w:r>
        <w:instrText xml:space="preserve"> HYPERLINK "https://www.baidu.com/s?wd=%E8%B4%A2%E6%94%BF%E9%A2%84%E7%AE%97&amp;tn=SE_PcZhidaonwhc_ngpagmjz&amp;rsv_dl=gh_pc_zhidao" \t "https://zhidao.baidu.com/question/_blank" </w:instrText>
      </w:r>
      <w:r>
        <w:fldChar w:fldCharType="separate"/>
      </w:r>
      <w:r>
        <w:rPr>
          <w:rStyle w:val="12"/>
          <w:rFonts w:hint="eastAsia" w:ascii="仿宋" w:hAnsi="仿宋" w:eastAsia="仿宋" w:cs="仿宋"/>
          <w:color w:val="auto"/>
          <w:sz w:val="32"/>
          <w:szCs w:val="32"/>
          <w:shd w:val="clear" w:color="auto" w:fill="FFFFFF"/>
        </w:rPr>
        <w:t>财政预算</w:t>
      </w:r>
      <w:r>
        <w:rPr>
          <w:rFonts w:hint="eastAsia" w:ascii="仿宋" w:hAnsi="仿宋" w:eastAsia="仿宋" w:cs="仿宋"/>
          <w:color w:val="auto"/>
          <w:sz w:val="32"/>
          <w:szCs w:val="32"/>
          <w:shd w:val="clear" w:color="auto" w:fill="FFFFFF"/>
        </w:rPr>
        <w:fldChar w:fldCharType="end"/>
      </w:r>
      <w:r>
        <w:rPr>
          <w:rFonts w:hint="eastAsia" w:ascii="仿宋" w:hAnsi="仿宋" w:eastAsia="仿宋" w:cs="仿宋"/>
          <w:sz w:val="32"/>
          <w:szCs w:val="32"/>
          <w:shd w:val="clear" w:color="auto" w:fill="FFFFFF"/>
        </w:rPr>
        <w:t>、决算编制、执行及管理。</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sectPr>
          <w:pgSz w:w="11906" w:h="16838"/>
          <w:pgMar w:top="2098" w:right="1474" w:bottom="1985" w:left="1588" w:header="851" w:footer="992" w:gutter="0"/>
          <w:pgNumType w:start="0"/>
          <w:cols w:space="720" w:num="1"/>
          <w:titlePg/>
          <w:docGrid w:type="lines" w:linePitch="312" w:charSpace="0"/>
        </w:sectPr>
      </w:pPr>
      <w:r>
        <w:rPr>
          <w:rFonts w:hint="eastAsia" w:ascii="仿宋_GB2312" w:hAnsi="Cambria" w:eastAsia="仿宋_GB2312" w:cs="ArialUnicodeMS"/>
          <w:kern w:val="0"/>
          <w:sz w:val="32"/>
          <w:szCs w:val="32"/>
        </w:rPr>
        <w:t>（以下简称“单位”）共 1个，单位基本性质为行政单位，预算管理级次为乡镇级预算单位，执行行政单位会计制度，较上年无增减变化。</w:t>
      </w:r>
    </w:p>
    <w:p>
      <w:pPr>
        <w:spacing w:line="560" w:lineRule="exact"/>
        <w:rPr>
          <w:rFonts w:ascii="仿宋_GB2312" w:hAnsi="Cambria" w:eastAsia="仿宋_GB2312" w:cs="ArialUnicodeMS"/>
          <w:kern w:val="0"/>
          <w:sz w:val="32"/>
          <w:szCs w:val="32"/>
        </w:rPr>
      </w:pPr>
    </w:p>
    <w:p>
      <w:pPr>
        <w:widowControl/>
        <w:spacing w:line="560" w:lineRule="exact"/>
        <w:rPr>
          <w:rFonts w:ascii="黑体" w:hAnsi="Cambria" w:eastAsia="黑体" w:cs="MS-UIGothic,Bold"/>
          <w:bCs/>
          <w:kern w:val="0"/>
          <w:sz w:val="52"/>
          <w:szCs w:val="52"/>
        </w:rPr>
      </w:pPr>
    </w:p>
    <w:p>
      <w:pPr>
        <w:pStyle w:val="2"/>
        <w:spacing w:line="560" w:lineRule="exact"/>
        <w:jc w:val="center"/>
        <w:rPr>
          <w:rFonts w:hint="eastAsia" w:ascii="宋体" w:hAnsi="宋体" w:cs="ArialUnicodeMS"/>
          <w:color w:val="000000"/>
          <w:kern w:val="0"/>
        </w:rPr>
      </w:pPr>
      <w:r>
        <w:rPr>
          <w:rFonts w:hint="eastAsia" w:ascii="宋体" w:hAnsi="宋体" w:cs="ArialUnicodeMS"/>
          <w:color w:val="000000"/>
          <w:kern w:val="0"/>
        </w:rPr>
        <w:t>第二部分 2017年度部门决算报表</w:t>
      </w:r>
    </w:p>
    <w:p>
      <w:pPr>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000000"/>
          <w:kern w:val="0"/>
          <w:sz w:val="32"/>
          <w:szCs w:val="32"/>
          <w:lang w:eastAsia="zh-CN"/>
        </w:rPr>
        <w:t>（详见附件）</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pStyle w:val="2"/>
        <w:spacing w:line="560" w:lineRule="exact"/>
        <w:ind w:firstLine="1767" w:firstLineChars="400"/>
        <w:rPr>
          <w:rFonts w:ascii="宋体" w:hAnsi="宋体" w:cs="ArialUnicodeMS"/>
          <w:color w:val="000000"/>
          <w:kern w:val="0"/>
        </w:rPr>
      </w:pPr>
    </w:p>
    <w:p>
      <w:pPr>
        <w:pStyle w:val="2"/>
        <w:spacing w:line="560" w:lineRule="exact"/>
        <w:ind w:firstLine="1767" w:firstLineChars="400"/>
        <w:rPr>
          <w:rFonts w:ascii="宋体" w:hAnsi="宋体" w:cs="ArialUnicodeMS"/>
          <w:color w:val="000000"/>
          <w:kern w:val="0"/>
        </w:rPr>
      </w:pPr>
      <w:r>
        <w:rPr>
          <w:rFonts w:hint="eastAsia" w:ascii="宋体" w:hAnsi="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本部门2017年度年初结转和结余3万元，本年收入421.57万元；本年支出418.12万元、年末结转和结余6.45万元。与2016年度决算相比，本年收入增加43.4</w:t>
      </w:r>
      <w:r>
        <w:rPr>
          <w:rFonts w:ascii="仿宋_GB2312" w:eastAsia="仿宋_GB2312" w:cs="DengXian-Regular"/>
          <w:sz w:val="32"/>
          <w:szCs w:val="32"/>
        </w:rPr>
        <w:t>7</w:t>
      </w:r>
      <w:r>
        <w:rPr>
          <w:rFonts w:hint="eastAsia" w:ascii="仿宋_GB2312" w:eastAsia="仿宋_GB2312" w:cs="DengXian-Regular"/>
          <w:sz w:val="32"/>
          <w:szCs w:val="32"/>
        </w:rPr>
        <w:t>万元，增长11.48%，主要是</w:t>
      </w:r>
      <w:r>
        <w:rPr>
          <w:rFonts w:hint="eastAsia" w:ascii="仿宋" w:hAnsi="仿宋" w:eastAsia="仿宋" w:cs="仿宋"/>
          <w:sz w:val="32"/>
          <w:szCs w:val="32"/>
        </w:rPr>
        <w:t>财政拨款增加，环保经费等办公经费增加</w:t>
      </w:r>
      <w:r>
        <w:rPr>
          <w:rFonts w:hint="eastAsia" w:ascii="仿宋_GB2312" w:eastAsia="仿宋_GB2312" w:cs="DengXian-Regular"/>
          <w:sz w:val="32"/>
          <w:szCs w:val="32"/>
        </w:rPr>
        <w:t>；本年支出增加37.98万元，增长9.99%，主要是</w:t>
      </w:r>
      <w:r>
        <w:rPr>
          <w:rFonts w:hint="eastAsia" w:ascii="仿宋" w:hAnsi="仿宋" w:eastAsia="仿宋" w:cs="仿宋"/>
          <w:sz w:val="32"/>
          <w:szCs w:val="32"/>
        </w:rPr>
        <w:t>财政拨款增加，环保经费等办公经费增加</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本部门2017年度本年收入合计421.57万元，其中：财政拨款收入421.57万元，占100%；事业收入0万元，占0%；经营收入0万元，占x0%；其他收入0万元，占0%。如图所示：</w:t>
      </w:r>
    </w:p>
    <w:p>
      <w:pPr>
        <w:adjustRightInd w:val="0"/>
        <w:snapToGrid w:val="0"/>
        <w:spacing w:line="560" w:lineRule="exact"/>
        <w:ind w:firstLine="2240" w:firstLineChars="700"/>
        <w:rPr>
          <w:rFonts w:ascii="仿宋_GB2312" w:eastAsia="仿宋_GB2312" w:cs="DengXian-Regular"/>
          <w:sz w:val="32"/>
          <w:szCs w:val="32"/>
        </w:rPr>
      </w:pPr>
      <w:r>
        <w:rPr>
          <w:rFonts w:hint="eastAsia" w:ascii="仿宋_GB2312" w:eastAsia="仿宋_GB2312" w:cs="DengXian-Regular"/>
          <w:sz w:val="32"/>
          <w:szCs w:val="32"/>
        </w:rPr>
        <w:t>图1：收入决算结构饼状图</w:t>
      </w:r>
    </w:p>
    <w:p>
      <w:pPr>
        <w:adjustRightInd w:val="0"/>
        <w:snapToGrid w:val="0"/>
        <w:spacing w:line="560" w:lineRule="exact"/>
        <w:ind w:firstLine="1260" w:firstLineChars="600"/>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图片 2" o:spid="_x0000_s1025" o:spt="75" type="#_x0000_t75" style="position:absolute;left:0pt;margin-left:141.6pt;margin-top:4.3pt;height:201pt;width:190.5pt;mso-wrap-distance-bottom:0pt;mso-wrap-distance-left:9pt;mso-wrap-distance-right:9pt;mso-wrap-distance-top:0pt;z-index:251658240;mso-width-relative:page;mso-height-relative:page;" fillcolor="#FFFFFF" filled="f" o:preferrelative="t" stroked="f" coordsize="21600,21600">
            <v:path/>
            <v:fill on="f" color2="#FFFFFF" focussize="0,0"/>
            <v:stroke on="f"/>
            <v:imagedata r:id="rId4" gain="65536f" blacklevel="0f" gamma="0" o:title=""/>
            <o:lock v:ext="edit" position="f" selection="f" grouping="f" rotation="f" cropping="f" text="f" aspectratio="t"/>
            <w10:wrap type="square"/>
          </v:shape>
        </w:pict>
      </w:r>
    </w:p>
    <w:p>
      <w:pPr>
        <w:adjustRightInd w:val="0"/>
        <w:snapToGrid w:val="0"/>
        <w:spacing w:after="0"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pStyle w:val="3"/>
        <w:spacing w:before="0" w:after="0" w:line="560" w:lineRule="exact"/>
        <w:rPr>
          <w:rFonts w:ascii="黑体" w:eastAsia="黑体"/>
        </w:rPr>
      </w:pPr>
    </w:p>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本部门2017年度本年支出合计418.12万元，其中：基本支出412.12万元，占98.59%；项目支出6万元，占1.41%；经营支出0万元，占0%。如图所示：</w:t>
      </w:r>
    </w:p>
    <w:p>
      <w:pPr>
        <w:adjustRightInd w:val="0"/>
        <w:snapToGrid w:val="0"/>
        <w:spacing w:line="560" w:lineRule="exact"/>
        <w:jc w:val="center"/>
        <w:rPr>
          <w:rFonts w:ascii="仿宋_GB2312" w:eastAsia="仿宋_GB2312" w:cs="DengXian-Regular"/>
          <w:sz w:val="32"/>
          <w:szCs w:val="32"/>
        </w:rPr>
      </w:pPr>
      <w:r>
        <w:rPr>
          <w:rFonts w:hint="eastAsia" w:ascii="仿宋_GB2312" w:eastAsia="仿宋_GB2312" w:cs="DengXian-Regular"/>
          <w:sz w:val="32"/>
          <w:szCs w:val="32"/>
        </w:rPr>
        <w:t>图2：支出决算结构饼状图</w:t>
      </w:r>
    </w:p>
    <w:p>
      <w:pPr>
        <w:adjustRightInd w:val="0"/>
        <w:snapToGrid w:val="0"/>
        <w:spacing w:line="560" w:lineRule="exact"/>
        <w:rPr>
          <w:rFonts w:ascii="仿宋_GB2312" w:eastAsia="仿宋_GB2312" w:cs="DengXian-Regular"/>
          <w:sz w:val="32"/>
          <w:szCs w:val="32"/>
        </w:rPr>
      </w:pPr>
      <w:r>
        <w:rPr>
          <w:rFonts w:ascii="仿宋_GB2312" w:hAnsi="Times New Roman" w:eastAsia="仿宋_GB2312" w:cs="DengXian-Regular"/>
          <w:kern w:val="2"/>
          <w:sz w:val="32"/>
          <w:szCs w:val="32"/>
          <w:lang w:val="en-US" w:eastAsia="zh-CN" w:bidi="ar-SA"/>
        </w:rPr>
        <w:pict>
          <v:shape id="_x0000_s1027" o:spid="_x0000_s1027" o:spt="75" type="#_x0000_t75" style="position:absolute;left:0pt;margin-left:32.35pt;margin-top:25.65pt;height:203.05pt;width:304.45pt;mso-wrap-distance-bottom:0pt;mso-wrap-distance-top:0pt;z-index:251660288;mso-width-relative:page;mso-height-relative:page;" o:ole="t" fillcolor="#FFFFFF" filled="f" o:preferrelative="t" stroked="f" coordsize="21600,21600">
            <v:path/>
            <v:fill on="f" color2="#FFFFFF" focussize="0,0"/>
            <v:stroke on="f"/>
            <v:imagedata r:id="rId6" gain="65536f" blacklevel="0f" gamma="0" o:title=""/>
            <o:lock v:ext="edit" position="f" selection="f" grouping="f" rotation="f" cropping="f" text="f" aspectratio="t"/>
            <w10:wrap type="topAndBottom"/>
          </v:shape>
          <o:OLEObject Type="Embed" ProgID="" ShapeID="_x0000_s1027" DrawAspect="Content" ObjectID="_1468075725" r:id="rId5">
            <o:LockedField>false</o:LockedField>
          </o:OLEObject>
        </w:pict>
      </w:r>
    </w:p>
    <w:p>
      <w:pPr>
        <w:adjustRightInd w:val="0"/>
        <w:snapToGrid w:val="0"/>
        <w:spacing w:after="0" w:line="560" w:lineRule="exact"/>
        <w:ind w:firstLine="640" w:firstLineChars="200"/>
        <w:rPr>
          <w:rFonts w:ascii="仿宋_GB2312" w:eastAsia="仿宋_GB2312" w:cs="DengXian-Regular"/>
          <w:sz w:val="32"/>
          <w:szCs w:val="32"/>
        </w:rPr>
      </w:pPr>
      <w:r>
        <w:rPr>
          <w:rFonts w:ascii="仿宋_GB2312" w:hAnsi="Times New Roman" w:eastAsia="仿宋_GB2312" w:cs="DengXian-Regular"/>
          <w:kern w:val="2"/>
          <w:sz w:val="32"/>
          <w:szCs w:val="32"/>
          <w:lang w:val="en-US" w:eastAsia="zh-CN" w:bidi="ar-SA"/>
        </w:rPr>
        <w:pict>
          <v:shape id="图表 8" o:spid="_x0000_s1026" o:spt="100" style="position:absolute;left:0pt;margin-left:32.35pt;margin-top:-161.65pt;height:183.2pt;width:244.45pt;mso-wrap-distance-bottom:0.55pt;mso-wrap-distance-left:9.05pt;mso-wrap-distance-right:9.05pt;mso-wrap-distance-top:0.55pt;z-index:251659264;mso-width-relative:page;mso-height-relative:page;" filled="f" stroked="f" coordsize="21600,21600">
            <v:fill on="f" focussize="0,0"/>
            <v:stroke on="f"/>
            <v:imagedata gain="65536f" blacklevel="0f" gamma="0" o:title=""/>
            <o:lock v:ext="edit" position="f" selection="f" grouping="f" rotation="f" cropping="f" text="f" aspectratio="f"/>
            <w10:wrap type="square"/>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3万元、本年收入421.57万元；本年支出418.12万元、年末结转和结余6.45万元。与2016年度决算相比，一般公共预算财政拨款本年收入增加43.4</w:t>
      </w:r>
      <w:r>
        <w:rPr>
          <w:rFonts w:ascii="仿宋_GB2312" w:eastAsia="仿宋_GB2312" w:cs="DengXian-Regular"/>
          <w:sz w:val="32"/>
          <w:szCs w:val="32"/>
        </w:rPr>
        <w:t>7</w:t>
      </w:r>
      <w:r>
        <w:rPr>
          <w:rFonts w:hint="eastAsia" w:ascii="仿宋_GB2312" w:eastAsia="仿宋_GB2312" w:cs="DengXian-Regular"/>
          <w:sz w:val="32"/>
          <w:szCs w:val="32"/>
        </w:rPr>
        <w:t>万元，增长11.48%，主要是</w:t>
      </w:r>
      <w:r>
        <w:rPr>
          <w:rFonts w:hint="eastAsia" w:ascii="仿宋" w:hAnsi="仿宋" w:eastAsia="仿宋" w:cs="仿宋"/>
          <w:sz w:val="32"/>
          <w:szCs w:val="32"/>
        </w:rPr>
        <w:t>财政拨款增加，环保经费等办公经费增加</w:t>
      </w:r>
      <w:r>
        <w:rPr>
          <w:rFonts w:hint="eastAsia" w:ascii="仿宋_GB2312" w:eastAsia="仿宋_GB2312" w:cs="DengXian-Regular"/>
          <w:sz w:val="32"/>
          <w:szCs w:val="32"/>
        </w:rPr>
        <w:t>；本年支出增加</w:t>
      </w:r>
      <w:r>
        <w:rPr>
          <w:rFonts w:ascii="仿宋_GB2312" w:eastAsia="仿宋_GB2312" w:cs="DengXian-Regular"/>
          <w:sz w:val="32"/>
          <w:szCs w:val="32"/>
        </w:rPr>
        <w:t>38.02</w:t>
      </w:r>
      <w:r>
        <w:rPr>
          <w:rFonts w:hint="eastAsia" w:ascii="仿宋_GB2312" w:eastAsia="仿宋_GB2312" w:cs="DengXian-Regular"/>
          <w:sz w:val="32"/>
          <w:szCs w:val="32"/>
        </w:rPr>
        <w:t>万元，增长9.99%，主要是</w:t>
      </w:r>
      <w:r>
        <w:rPr>
          <w:rFonts w:hint="eastAsia" w:ascii="仿宋" w:hAnsi="仿宋" w:eastAsia="仿宋" w:cs="仿宋"/>
          <w:sz w:val="32"/>
          <w:szCs w:val="32"/>
        </w:rPr>
        <w:t>财政拨款增加，环保经费等办公经费增加</w:t>
      </w:r>
      <w:r>
        <w:rPr>
          <w:rFonts w:hint="eastAsia" w:ascii="仿宋_GB2312" w:eastAsia="仿宋_GB2312" w:cs="DengXian-Regular"/>
          <w:sz w:val="32"/>
          <w:szCs w:val="32"/>
        </w:rPr>
        <w:t>。</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本部门2017年度一般公共预算财政拨款本年收入较2017年初预算减少12.23万元，降低2.82%，主要是人员调出；本年支出减少12.23万元，降低3.61%，主要是人员调出。</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本部门2017年度“三公”经费支出共计3万元，较年初预算无增减变化，较2016年度减少</w:t>
      </w:r>
      <w:r>
        <w:rPr>
          <w:rFonts w:ascii="仿宋_GB2312" w:eastAsia="仿宋_GB2312" w:cs="DengXian-Regular"/>
          <w:sz w:val="32"/>
          <w:szCs w:val="32"/>
        </w:rPr>
        <w:t>1.3</w:t>
      </w:r>
      <w:r>
        <w:rPr>
          <w:rFonts w:hint="eastAsia" w:ascii="仿宋_GB2312" w:eastAsia="仿宋_GB2312" w:cs="DengXian-Regular"/>
          <w:sz w:val="32"/>
          <w:szCs w:val="32"/>
        </w:rPr>
        <w:t>万元，减少3</w:t>
      </w:r>
      <w:r>
        <w:rPr>
          <w:rFonts w:ascii="仿宋_GB2312" w:eastAsia="仿宋_GB2312" w:cs="DengXian-Regular"/>
          <w:sz w:val="32"/>
          <w:szCs w:val="32"/>
        </w:rPr>
        <w:t>0.23</w:t>
      </w:r>
      <w:r>
        <w:rPr>
          <w:rFonts w:hint="eastAsia" w:ascii="仿宋_GB2312" w:eastAsia="仿宋_GB2312" w:cs="DengXian-Regular"/>
          <w:sz w:val="32"/>
          <w:szCs w:val="32"/>
        </w:rPr>
        <w:t>%，主要是严格执行中央八项规定，缩减支出。具体情况如下：</w:t>
      </w:r>
    </w:p>
    <w:p>
      <w:pPr>
        <w:numPr>
          <w:ilvl w:val="0"/>
          <w:numId w:val="1"/>
        </w:num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因公出国（境）费支出0万元。</w:t>
      </w:r>
      <w:r>
        <w:rPr>
          <w:rFonts w:hint="eastAsia" w:ascii="仿宋_GB2312" w:eastAsia="仿宋_GB2312" w:cs="DengXian-Regular"/>
          <w:sz w:val="32"/>
          <w:szCs w:val="32"/>
        </w:rPr>
        <w:t>本部门2017年度参加其他单位组织的因公出国（境）团组0个、共0人/无本单位组织的出国（境）团组。本年度未发生“因公出国（境）费用”支出，较年初预算无增减变化，较2016年度无增减变化。</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3" w:firstLineChars="200"/>
        <w:textAlignment w:val="auto"/>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（二）公务用车购置及运行维护费支出3万元。</w:t>
      </w:r>
      <w:r>
        <w:rPr>
          <w:rFonts w:hint="eastAsia" w:ascii="仿宋_GB2312" w:eastAsia="仿宋_GB2312" w:cs="DengXian-Regular"/>
          <w:sz w:val="32"/>
          <w:szCs w:val="32"/>
        </w:rPr>
        <w:t>本部门2017年度公务用车购置及运行维护费较年初预算无增减变化；较2016年度决算增加0.5万元，增加20%,主要是环保巡逻的工作任务增加。</w:t>
      </w:r>
      <w:r>
        <w:rPr>
          <w:rFonts w:hint="eastAsia" w:ascii="仿宋_GB2312" w:eastAsia="仿宋_GB2312" w:cs="DengXian-Bold"/>
          <w:b/>
          <w:bCs/>
          <w:sz w:val="32"/>
          <w:szCs w:val="32"/>
        </w:rPr>
        <w:t>其中：</w:t>
      </w:r>
    </w:p>
    <w:p>
      <w:pPr>
        <w:keepNext w:val="0"/>
        <w:keepLines w:val="0"/>
        <w:pageBreakBefore w:val="0"/>
        <w:widowControl w:val="0"/>
        <w:numPr>
          <w:numId w:val="0"/>
        </w:numPr>
        <w:kinsoku/>
        <w:wordWrap/>
        <w:overflowPunct/>
        <w:topLinePunct w:val="0"/>
        <w:autoSpaceDE/>
        <w:autoSpaceDN/>
        <w:bidi w:val="0"/>
        <w:adjustRightInd w:val="0"/>
        <w:snapToGrid w:val="0"/>
        <w:spacing w:after="0" w:line="560" w:lineRule="exact"/>
        <w:ind w:firstLine="643" w:firstLineChars="200"/>
        <w:textAlignment w:val="auto"/>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本部门2017年度公务用车购置量0辆，本年度未发生“公务用车购置费用”支出，较年初预算无增减变化，较201</w:t>
      </w:r>
      <w:bookmarkStart w:id="0" w:name="_GoBack"/>
      <w:bookmarkEnd w:id="0"/>
      <w:r>
        <w:rPr>
          <w:rFonts w:hint="eastAsia" w:ascii="仿宋_GB2312" w:eastAsia="仿宋_GB2312" w:cs="DengXian-Regular"/>
          <w:sz w:val="32"/>
          <w:szCs w:val="32"/>
        </w:rPr>
        <w:t>6年度无增减变化。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本部门2017年度单位公务用车保有量1辆。公车运行维护费支出较年初预算无增减变化,较2016年度决算增加0.5万元，增长20%，主要是环保巡逻的工作任务增加。</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,主要是严格执行中央八项规定；较2016年度决算减少1.</w:t>
      </w:r>
      <w:r>
        <w:rPr>
          <w:rFonts w:ascii="仿宋_GB2312" w:eastAsia="仿宋_GB2312" w:cs="DengXian-Regular"/>
          <w:sz w:val="32"/>
          <w:szCs w:val="32"/>
        </w:rPr>
        <w:t>8</w:t>
      </w:r>
      <w:r>
        <w:rPr>
          <w:rFonts w:hint="eastAsia" w:ascii="仿宋_GB2312" w:eastAsia="仿宋_GB2312" w:cs="DengXian-Regular"/>
          <w:sz w:val="32"/>
          <w:szCs w:val="32"/>
        </w:rPr>
        <w:t>万元，降低100%,主要是严格执行中央八项规定，缩减支出。</w:t>
      </w:r>
    </w:p>
    <w:p>
      <w:pPr>
        <w:pStyle w:val="3"/>
        <w:spacing w:before="0" w:after="0" w:line="560" w:lineRule="exact"/>
        <w:ind w:firstLine="643" w:firstLineChars="200"/>
        <w:rPr>
          <w:rFonts w:hint="eastAsia"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widowControl w:val="0"/>
        <w:wordWrap/>
        <w:adjustRightInd/>
        <w:snapToGrid/>
        <w:spacing w:before="0" w:after="0" w:line="48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（一）绩效管理工作开展情况</w:t>
      </w:r>
    </w:p>
    <w:p>
      <w:pPr>
        <w:widowControl w:val="0"/>
        <w:wordWrap/>
        <w:adjustRightInd/>
        <w:snapToGrid/>
        <w:spacing w:before="0" w:after="0" w:line="48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widowControl w:val="0"/>
        <w:wordWrap/>
        <w:adjustRightInd/>
        <w:snapToGrid/>
        <w:spacing w:before="0" w:after="0" w:line="48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（二）预算项目绩效评价开展情况</w:t>
      </w:r>
    </w:p>
    <w:p>
      <w:pPr>
        <w:widowControl w:val="0"/>
        <w:wordWrap/>
        <w:adjustRightInd/>
        <w:snapToGrid/>
        <w:spacing w:before="0" w:after="0" w:line="48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根据预算绩效管理要求，本单位组织对2017年度一般公共预算项目支出全面开展绩效自评，涉及民族乡工作项目一个，涉及资金6万元，自评结果为良好。</w:t>
      </w:r>
    </w:p>
    <w:p>
      <w:pPr>
        <w:widowControl w:val="0"/>
        <w:wordWrap/>
        <w:adjustRightInd/>
        <w:snapToGrid/>
        <w:spacing w:before="0" w:after="0" w:line="48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（三）预算项目绩效自评选例</w:t>
      </w:r>
    </w:p>
    <w:p>
      <w:pPr>
        <w:widowControl w:val="0"/>
        <w:wordWrap/>
        <w:adjustRightInd/>
        <w:snapToGrid/>
        <w:spacing w:before="0" w:after="0" w:line="480" w:lineRule="auto"/>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    本单位民族乡工作项目绩效自评：根据年初设定的绩效目标，民族乡工作项目自评结果为良好。项目全年预算数为6万元。完成预算的100%。</w:t>
      </w:r>
    </w:p>
    <w:p>
      <w:pPr>
        <w:pStyle w:val="3"/>
        <w:spacing w:before="0" w:after="0" w:line="560" w:lineRule="exact"/>
        <w:ind w:firstLine="643" w:firstLineChars="200"/>
        <w:rPr>
          <w:rFonts w:hint="eastAsia" w:ascii="黑体" w:hAnsi="黑体" w:eastAsia="黑体" w:cs="黑体"/>
        </w:rPr>
      </w:pPr>
      <w:r>
        <w:rPr>
          <w:rFonts w:hint="eastAsia" w:ascii="黑体" w:hAnsi="黑体" w:eastAsia="黑体" w:cs="黑体"/>
        </w:rPr>
        <w:t>七、其他重要事项的说明</w:t>
      </w:r>
    </w:p>
    <w:p>
      <w:pPr>
        <w:pStyle w:val="4"/>
        <w:spacing w:before="0" w:after="0" w:line="560" w:lineRule="exact"/>
        <w:ind w:firstLine="643" w:firstLineChars="200"/>
        <w:rPr>
          <w:rFonts w:ascii="仿宋" w:hAnsi="仿宋" w:eastAsia="仿宋" w:cs="仿宋"/>
        </w:rPr>
      </w:pPr>
      <w:r>
        <w:rPr>
          <w:rFonts w:hint="eastAsia" w:ascii="仿宋" w:hAnsi="仿宋" w:eastAsia="仿宋" w:cs="仿宋"/>
        </w:rPr>
        <w:t>（一）机关运行经费情况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本部门2017年度机关运行经费支出92.47万元，比2016年度增加18.66万元，增长25.28%。主要原因是环保任务加重，支出经费增加。</w:t>
      </w:r>
    </w:p>
    <w:p>
      <w:pPr>
        <w:pStyle w:val="4"/>
        <w:spacing w:before="0" w:after="0" w:line="560" w:lineRule="exact"/>
        <w:ind w:firstLine="643" w:firstLineChars="200"/>
        <w:rPr>
          <w:rFonts w:ascii="仿宋" w:hAnsi="仿宋" w:eastAsia="仿宋" w:cs="仿宋"/>
        </w:rPr>
      </w:pPr>
      <w:r>
        <w:rPr>
          <w:rFonts w:hint="eastAsia" w:ascii="仿宋" w:hAnsi="仿宋" w:eastAsia="仿宋" w:cs="仿宋"/>
        </w:rPr>
        <w:t>（二）政府采购情况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本部门2017年度政府采购支出总额28.7万元，其中：政府采购货物支出0万元、政府采购工程支出0万元、政府采购服务支出28.7万元。</w:t>
      </w:r>
    </w:p>
    <w:p>
      <w:pPr>
        <w:pStyle w:val="4"/>
        <w:spacing w:before="0" w:after="0" w:line="560" w:lineRule="exact"/>
        <w:ind w:firstLine="643" w:firstLineChars="200"/>
        <w:rPr>
          <w:rFonts w:ascii="仿宋" w:hAnsi="仿宋" w:eastAsia="仿宋" w:cs="仿宋"/>
        </w:rPr>
      </w:pPr>
      <w:r>
        <w:rPr>
          <w:rFonts w:hint="eastAsia" w:ascii="仿宋" w:hAnsi="仿宋" w:eastAsia="仿宋" w:cs="仿宋"/>
        </w:rPr>
        <w:t>（三）国有资产占用情况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截至2017年12月31日，本部门共有车辆1辆，其中，市级领导干部用车0辆、一般公务用车1辆、一般执法执勤用车0辆、特种专业技术用车0辆、其他用车0辆；单位价值50万元以上大型设备0台，单位价值100万元以上大型设备0台。</w:t>
      </w:r>
    </w:p>
    <w:p>
      <w:pPr>
        <w:pStyle w:val="4"/>
        <w:spacing w:before="0" w:after="0" w:line="560" w:lineRule="exact"/>
        <w:ind w:firstLine="643" w:firstLineChars="200"/>
        <w:rPr>
          <w:rFonts w:ascii="仿宋" w:hAnsi="仿宋" w:eastAsia="仿宋" w:cs="仿宋"/>
        </w:rPr>
      </w:pPr>
      <w:r>
        <w:rPr>
          <w:rFonts w:hint="eastAsia" w:ascii="仿宋" w:hAnsi="仿宋" w:eastAsia="仿宋" w:cs="仿宋"/>
        </w:rPr>
        <w:t>（四）其他需要说明的情况</w:t>
      </w:r>
    </w:p>
    <w:p>
      <w:pPr>
        <w:adjustRightInd w:val="0"/>
        <w:snapToGrid w:val="0"/>
        <w:spacing w:after="0" w:line="560" w:lineRule="exact"/>
        <w:ind w:firstLine="640" w:firstLineChars="200"/>
        <w:rPr>
          <w:rFonts w:ascii="仿宋" w:hAnsi="仿宋" w:eastAsia="仿宋" w:cs="仿宋"/>
          <w:sz w:val="32"/>
          <w:szCs w:val="32"/>
        </w:rPr>
      </w:pPr>
      <w:r>
        <w:rPr>
          <w:rFonts w:hint="eastAsia" w:ascii="仿宋" w:hAnsi="仿宋" w:eastAsia="仿宋" w:cs="仿宋"/>
          <w:sz w:val="32"/>
          <w:szCs w:val="32"/>
        </w:rPr>
        <w:t>由于决算公开表格中金额数值应当保留两位小数，公开数据为四舍五入计算结果，个别数据合计项与分项之和存在小数点后差额，特此说明。</w:t>
      </w:r>
    </w:p>
    <w:p>
      <w:pPr>
        <w:pStyle w:val="2"/>
        <w:jc w:val="center"/>
        <w:rPr>
          <w:rFonts w:ascii="仿宋" w:hAnsi="仿宋" w:eastAsia="仿宋" w:cs="仿宋"/>
          <w:sz w:val="32"/>
          <w:szCs w:val="32"/>
        </w:rPr>
      </w:pPr>
      <w:r>
        <w:rPr>
          <w:rFonts w:hint="eastAsia" w:ascii="仿宋" w:hAnsi="仿宋" w:eastAsia="仿宋" w:cs="仿宋"/>
          <w:sz w:val="32"/>
          <w:szCs w:val="32"/>
        </w:rPr>
        <w:t>第四部分名词解释</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797130A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3"/>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4"/>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5"/>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6"/>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uiPriority w:val="0"/>
  </w:style>
  <w:style w:type="table" w:default="1" w:styleId="10">
    <w:name w:val="Normal Table"/>
    <w:semiHidden/>
    <w:uiPriority w:val="0"/>
    <w:tblPr>
      <w:tblLayout w:type="fixed"/>
      <w:tblCellMar>
        <w:top w:w="0" w:type="dxa"/>
        <w:left w:w="108" w:type="dxa"/>
        <w:bottom w:w="0" w:type="dxa"/>
        <w:right w:w="108" w:type="dxa"/>
      </w:tblCellMar>
    </w:tblPr>
  </w:style>
  <w:style w:type="paragraph" w:styleId="6">
    <w:name w:val="footer"/>
    <w:basedOn w:val="1"/>
    <w:link w:val="19"/>
    <w:uiPriority w:val="0"/>
    <w:pPr>
      <w:tabs>
        <w:tab w:val="center" w:pos="4153"/>
        <w:tab w:val="right" w:pos="8306"/>
      </w:tabs>
      <w:snapToGrid w:val="0"/>
      <w:jc w:val="left"/>
    </w:pPr>
    <w:rPr>
      <w:sz w:val="18"/>
      <w:szCs w:val="18"/>
    </w:rPr>
  </w:style>
  <w:style w:type="paragraph" w:styleId="7">
    <w:name w:val="header"/>
    <w:basedOn w:val="1"/>
    <w:link w:val="20"/>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1"/>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22"/>
    <w:qFormat/>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styleId="12">
    <w:name w:val="Hyperlink"/>
    <w:basedOn w:val="11"/>
    <w:qFormat/>
    <w:uiPriority w:val="0"/>
    <w:rPr>
      <w:color w:val="383838"/>
      <w:u w:val="none"/>
    </w:rPr>
  </w:style>
  <w:style w:type="character" w:customStyle="1" w:styleId="13">
    <w:name w:val="标题 1 Char"/>
    <w:basedOn w:val="11"/>
    <w:link w:val="2"/>
    <w:semiHidden/>
    <w:uiPriority w:val="0"/>
    <w:rPr>
      <w:rFonts w:ascii="Times New Roman" w:hAnsi="Times New Roman" w:eastAsia="宋体" w:cs="Times New Roman"/>
      <w:b/>
      <w:bCs/>
      <w:kern w:val="44"/>
      <w:sz w:val="44"/>
      <w:szCs w:val="44"/>
    </w:rPr>
  </w:style>
  <w:style w:type="character" w:customStyle="1" w:styleId="14">
    <w:name w:val="标题 2 Char"/>
    <w:basedOn w:val="11"/>
    <w:link w:val="3"/>
    <w:semiHidden/>
    <w:uiPriority w:val="0"/>
    <w:rPr>
      <w:rFonts w:ascii="Calibri" w:hAnsi="Calibri" w:eastAsia="宋体" w:cs="黑体"/>
      <w:b/>
      <w:bCs/>
      <w:sz w:val="32"/>
      <w:szCs w:val="32"/>
    </w:rPr>
  </w:style>
  <w:style w:type="character" w:customStyle="1" w:styleId="15">
    <w:name w:val="标题 3 Char"/>
    <w:basedOn w:val="11"/>
    <w:link w:val="4"/>
    <w:semiHidden/>
    <w:uiPriority w:val="0"/>
    <w:rPr>
      <w:rFonts w:ascii="Times New Roman" w:hAnsi="Times New Roman" w:eastAsia="宋体" w:cs="Times New Roman"/>
      <w:b/>
      <w:bCs/>
      <w:sz w:val="32"/>
      <w:szCs w:val="32"/>
    </w:rPr>
  </w:style>
  <w:style w:type="character" w:customStyle="1" w:styleId="16">
    <w:name w:val="标题 4 Char"/>
    <w:basedOn w:val="11"/>
    <w:link w:val="5"/>
    <w:semiHidden/>
    <w:uiPriority w:val="0"/>
    <w:rPr>
      <w:rFonts w:ascii="Calibri" w:hAnsi="Calibri" w:eastAsia="宋体" w:cs="黑体"/>
      <w:b/>
      <w:bCs/>
      <w:sz w:val="28"/>
      <w:szCs w:val="28"/>
    </w:rPr>
  </w:style>
  <w:style w:type="paragraph" w:customStyle="1" w:styleId="17">
    <w:name w:val="批注框文本1"/>
    <w:basedOn w:val="1"/>
    <w:link w:val="18"/>
    <w:uiPriority w:val="0"/>
    <w:rPr>
      <w:rFonts w:ascii="Times New Roman" w:hAnsi="Times New Roman" w:eastAsia="宋体" w:cs="Times New Roman"/>
      <w:sz w:val="18"/>
      <w:szCs w:val="18"/>
    </w:rPr>
  </w:style>
  <w:style w:type="character" w:customStyle="1" w:styleId="18">
    <w:name w:val="批注框文本 Char"/>
    <w:basedOn w:val="11"/>
    <w:link w:val="17"/>
    <w:semiHidden/>
    <w:uiPriority w:val="0"/>
    <w:rPr>
      <w:rFonts w:ascii="Times New Roman" w:hAnsi="Times New Roman" w:eastAsia="宋体" w:cs="Times New Roman"/>
      <w:sz w:val="18"/>
      <w:szCs w:val="18"/>
    </w:rPr>
  </w:style>
  <w:style w:type="character" w:customStyle="1" w:styleId="19">
    <w:name w:val="页脚 Char"/>
    <w:basedOn w:val="11"/>
    <w:link w:val="6"/>
    <w:semiHidden/>
    <w:qFormat/>
    <w:uiPriority w:val="0"/>
    <w:rPr>
      <w:sz w:val="18"/>
      <w:szCs w:val="18"/>
    </w:rPr>
  </w:style>
  <w:style w:type="character" w:customStyle="1" w:styleId="20">
    <w:name w:val="页眉 Char"/>
    <w:basedOn w:val="11"/>
    <w:link w:val="7"/>
    <w:semiHidden/>
    <w:uiPriority w:val="0"/>
    <w:rPr>
      <w:sz w:val="18"/>
      <w:szCs w:val="18"/>
    </w:rPr>
  </w:style>
  <w:style w:type="character" w:customStyle="1" w:styleId="21">
    <w:name w:val="副标题 Char"/>
    <w:basedOn w:val="11"/>
    <w:link w:val="8"/>
    <w:semiHidden/>
    <w:uiPriority w:val="0"/>
    <w:rPr>
      <w:rFonts w:ascii="Calibri" w:hAnsi="Calibri" w:eastAsia="宋体" w:cs="黑体"/>
      <w:i/>
      <w:iCs/>
      <w:color w:val="F0A22E"/>
      <w:spacing w:val="15"/>
      <w:kern w:val="0"/>
      <w:sz w:val="24"/>
      <w:szCs w:val="24"/>
    </w:rPr>
  </w:style>
  <w:style w:type="character" w:customStyle="1" w:styleId="22">
    <w:name w:val="标题 Char"/>
    <w:basedOn w:val="11"/>
    <w:link w:val="9"/>
    <w:semiHidden/>
    <w:qFormat/>
    <w:uiPriority w:val="0"/>
    <w:rPr>
      <w:rFonts w:ascii="Calibri" w:hAnsi="Calibri" w:eastAsia="宋体" w:cs="黑体"/>
      <w:color w:val="392B23"/>
      <w:spacing w:val="5"/>
      <w:kern w:val="28"/>
      <w:sz w:val="52"/>
      <w:szCs w:val="52"/>
    </w:rPr>
  </w:style>
  <w:style w:type="paragraph" w:customStyle="1" w:styleId="23">
    <w:name w:val="普通(网站)1"/>
    <w:basedOn w:val="1"/>
    <w:qFormat/>
    <w:uiPriority w:val="0"/>
    <w:pPr>
      <w:spacing w:before="100" w:beforeAutospacing="1" w:after="100" w:afterAutospacing="1"/>
      <w:jc w:val="left"/>
    </w:pPr>
    <w:rPr>
      <w:kern w:val="0"/>
      <w:sz w:val="24"/>
    </w:rPr>
  </w:style>
  <w:style w:type="paragraph" w:customStyle="1" w:styleId="24">
    <w:name w:val="无间隔1"/>
    <w:link w:val="25"/>
    <w:uiPriority w:val="0"/>
    <w:pPr>
      <w:spacing w:after="160" w:line="480" w:lineRule="auto"/>
    </w:pPr>
    <w:rPr>
      <w:rFonts w:ascii="Times New Roman" w:hAnsi="Times New Roman" w:eastAsia="宋体" w:cs="Times New Roman"/>
      <w:kern w:val="0"/>
      <w:sz w:val="22"/>
      <w:lang w:val="en-US" w:eastAsia="zh-CN" w:bidi="ar-SA"/>
    </w:rPr>
  </w:style>
  <w:style w:type="character" w:customStyle="1" w:styleId="25">
    <w:name w:val="无间隔 字符"/>
    <w:basedOn w:val="11"/>
    <w:link w:val="24"/>
    <w:semiHidden/>
    <w:qFormat/>
    <w:uiPriority w:val="0"/>
    <w:rPr>
      <w:kern w:val="0"/>
      <w:sz w:val="22"/>
    </w:rPr>
  </w:style>
  <w:style w:type="character" w:customStyle="1" w:styleId="26">
    <w:name w:val="Style1"/>
    <w:basedOn w:val="11"/>
    <w:qFormat/>
    <w:uiPriority w:val="0"/>
    <w:rPr>
      <w:rFonts w:ascii="Cambria" w:hAnsi="黑体" w:eastAsia="黑体" w:cs="黑体"/>
      <w:sz w:val="22"/>
      <w:szCs w:val="22"/>
      <w:lang w:eastAsia="zh-CN"/>
    </w:rPr>
  </w:style>
  <w:style w:type="character" w:customStyle="1" w:styleId="27">
    <w:name w:val="Style2"/>
    <w:basedOn w:val="11"/>
    <w:qFormat/>
    <w:uiPriority w:val="0"/>
    <w:rPr>
      <w:rFonts w:ascii="Cambria" w:hAnsi="黑体" w:eastAsia="黑体" w:cs="黑体"/>
      <w:sz w:val="22"/>
      <w:szCs w:val="22"/>
      <w:lang w:eastAsia="zh-CN"/>
    </w:rPr>
  </w:style>
  <w:style w:type="character" w:customStyle="1" w:styleId="28">
    <w:name w:val="Style3"/>
    <w:basedOn w:val="11"/>
    <w:uiPriority w:val="0"/>
    <w:rPr>
      <w:rFonts w:ascii="Cambria" w:hAnsi="黑体" w:eastAsia="黑体" w:cs="黑体"/>
      <w:szCs w:val="22"/>
      <w:lang w:eastAsia="zh-CN"/>
    </w:rPr>
  </w:style>
  <w:style w:type="character" w:customStyle="1" w:styleId="29">
    <w:name w:val="Style4"/>
    <w:basedOn w:val="11"/>
    <w:uiPriority w:val="0"/>
    <w:rPr>
      <w:rFonts w:ascii="Cambria" w:hAnsi="黑体" w:eastAsia="黑体" w:cs="黑体"/>
      <w:szCs w:val="22"/>
      <w:lang w:eastAsia="zh-CN"/>
    </w:rPr>
  </w:style>
  <w:style w:type="character" w:customStyle="1" w:styleId="30">
    <w:name w:val="Style5"/>
    <w:basedOn w:val="11"/>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emf"/><Relationship Id="rId5" Type="http://schemas.openxmlformats.org/officeDocument/2006/relationships/oleObject" Target="embeddings/oleObject1.bin"/><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5"/>
    <customShpInfo spid="_x0000_s1027"/>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17</Pages>
  <Words>932</Words>
  <Characters>5317</Characters>
  <Lines>44</Lines>
  <Paragraphs>12</Paragraphs>
  <TotalTime>0</TotalTime>
  <ScaleCrop>false</ScaleCrop>
  <LinksUpToDate>false</LinksUpToDate>
  <CharactersWithSpaces>0</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2018-08-30T00:38:00Z</dcterms:created>
  <dc:creator>User</dc:creator>
  <cp:lastModifiedBy>123</cp:lastModifiedBy>
  <dcterms:modified xsi:type="dcterms:W3CDTF">2019-02-18T02:00:44Z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