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377" w:rsidRDefault="003C6377">
      <w:pPr>
        <w:widowControl/>
        <w:rPr>
          <w:rFonts w:ascii="黑体" w:eastAsia="黑体" w:hAnsi="黑体"/>
          <w:b/>
          <w:sz w:val="72"/>
          <w:szCs w:val="72"/>
        </w:rPr>
      </w:pPr>
    </w:p>
    <w:p w:rsidR="003C6377" w:rsidRDefault="003C6377">
      <w:pPr>
        <w:widowControl/>
        <w:jc w:val="center"/>
        <w:rPr>
          <w:rFonts w:ascii="黑体" w:eastAsia="黑体" w:hAnsi="黑体"/>
          <w:b/>
          <w:sz w:val="72"/>
          <w:szCs w:val="72"/>
        </w:rPr>
      </w:pPr>
    </w:p>
    <w:p w:rsidR="003C6377" w:rsidRDefault="003C6377">
      <w:pPr>
        <w:widowControl/>
        <w:jc w:val="center"/>
        <w:rPr>
          <w:rFonts w:ascii="黑体" w:eastAsia="黑体" w:hAnsi="黑体"/>
          <w:sz w:val="72"/>
          <w:szCs w:val="72"/>
        </w:rPr>
      </w:pPr>
    </w:p>
    <w:p w:rsidR="003C6377" w:rsidRDefault="00B93EC6">
      <w:pPr>
        <w:widowControl/>
        <w:jc w:val="center"/>
        <w:rPr>
          <w:rFonts w:ascii="黑体" w:eastAsia="黑体" w:hAnsi="宋体"/>
          <w:color w:val="002060"/>
          <w:sz w:val="84"/>
          <w:szCs w:val="84"/>
        </w:rPr>
      </w:pPr>
      <w:r>
        <w:rPr>
          <w:rFonts w:ascii="黑体" w:eastAsia="黑体" w:hAnsi="宋体" w:hint="eastAsia"/>
          <w:color w:val="002060"/>
          <w:sz w:val="84"/>
          <w:szCs w:val="84"/>
        </w:rPr>
        <w:t>2017年度部门决算公开</w:t>
      </w:r>
    </w:p>
    <w:p w:rsidR="003C6377" w:rsidRDefault="003C6377">
      <w:pPr>
        <w:widowControl/>
        <w:jc w:val="center"/>
        <w:rPr>
          <w:rFonts w:ascii="黑体" w:eastAsia="黑体" w:hAnsi="黑体"/>
          <w:b/>
          <w:sz w:val="72"/>
          <w:szCs w:val="72"/>
        </w:rPr>
      </w:pPr>
    </w:p>
    <w:p w:rsidR="003C6377" w:rsidRDefault="003C6377">
      <w:pPr>
        <w:widowControl/>
        <w:jc w:val="center"/>
        <w:rPr>
          <w:rFonts w:ascii="黑体" w:eastAsia="黑体" w:hAnsi="黑体"/>
          <w:b/>
          <w:sz w:val="72"/>
          <w:szCs w:val="72"/>
        </w:rPr>
      </w:pPr>
    </w:p>
    <w:p w:rsidR="003C6377" w:rsidRDefault="003C6377">
      <w:pPr>
        <w:widowControl/>
        <w:jc w:val="center"/>
        <w:rPr>
          <w:rFonts w:ascii="黑体" w:eastAsia="黑体" w:hAnsi="黑体"/>
          <w:b/>
          <w:sz w:val="72"/>
          <w:szCs w:val="72"/>
        </w:rPr>
      </w:pPr>
    </w:p>
    <w:p w:rsidR="003C6377" w:rsidRDefault="003C6377">
      <w:pPr>
        <w:widowControl/>
        <w:jc w:val="center"/>
        <w:rPr>
          <w:rFonts w:ascii="黑体" w:eastAsia="黑体" w:hAnsi="黑体"/>
          <w:b/>
          <w:sz w:val="72"/>
          <w:szCs w:val="72"/>
        </w:rPr>
      </w:pPr>
    </w:p>
    <w:p w:rsidR="003C6377" w:rsidRDefault="003C6377">
      <w:pPr>
        <w:widowControl/>
        <w:jc w:val="center"/>
        <w:rPr>
          <w:rFonts w:ascii="黑体" w:eastAsia="黑体" w:hAnsi="黑体"/>
          <w:b/>
          <w:sz w:val="72"/>
          <w:szCs w:val="72"/>
        </w:rPr>
      </w:pPr>
    </w:p>
    <w:p w:rsidR="003C6377" w:rsidRDefault="00B93EC6">
      <w:pPr>
        <w:widowControl/>
        <w:jc w:val="center"/>
        <w:rPr>
          <w:rFonts w:ascii="宋体" w:hAnsi="宋体"/>
          <w:b/>
          <w:sz w:val="44"/>
          <w:szCs w:val="44"/>
        </w:rPr>
      </w:pPr>
      <w:r>
        <w:rPr>
          <w:rFonts w:ascii="宋体" w:hAnsi="宋体" w:hint="eastAsia"/>
          <w:b/>
          <w:sz w:val="44"/>
          <w:szCs w:val="44"/>
        </w:rPr>
        <w:t>中国共产主义青年团无极县委员会</w:t>
      </w:r>
    </w:p>
    <w:p w:rsidR="003C6377" w:rsidRDefault="00B93EC6">
      <w:pPr>
        <w:widowControl/>
        <w:jc w:val="center"/>
        <w:rPr>
          <w:rFonts w:ascii="宋体" w:hAnsi="宋体"/>
          <w:b/>
          <w:sz w:val="44"/>
          <w:szCs w:val="44"/>
        </w:rPr>
      </w:pPr>
      <w:r>
        <w:rPr>
          <w:rFonts w:ascii="宋体" w:hAnsi="宋体" w:hint="eastAsia"/>
          <w:b/>
          <w:sz w:val="44"/>
          <w:szCs w:val="44"/>
        </w:rPr>
        <w:t>2018年9月18日</w:t>
      </w:r>
    </w:p>
    <w:p w:rsidR="003C6377" w:rsidRDefault="003C6377">
      <w:pPr>
        <w:widowControl/>
        <w:spacing w:line="580" w:lineRule="exact"/>
        <w:jc w:val="center"/>
        <w:rPr>
          <w:rFonts w:eastAsia="方正小标宋_GBK"/>
          <w:sz w:val="44"/>
          <w:szCs w:val="44"/>
        </w:rPr>
      </w:pPr>
    </w:p>
    <w:p w:rsidR="003C6377" w:rsidRDefault="00B93EC6">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3C6377" w:rsidRDefault="003C6377">
      <w:pPr>
        <w:widowControl/>
        <w:spacing w:line="580" w:lineRule="exact"/>
        <w:ind w:firstLineChars="200" w:firstLine="640"/>
        <w:rPr>
          <w:rFonts w:eastAsia="黑体"/>
          <w:sz w:val="32"/>
          <w:szCs w:val="32"/>
        </w:rPr>
      </w:pPr>
    </w:p>
    <w:p w:rsidR="003C6377" w:rsidRDefault="00B93EC6">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中国共产主义青年团无极县委员会</w:t>
      </w:r>
      <w:r>
        <w:rPr>
          <w:rFonts w:eastAsia="黑体"/>
          <w:sz w:val="32"/>
          <w:szCs w:val="32"/>
        </w:rPr>
        <w:t>概况</w:t>
      </w:r>
    </w:p>
    <w:p w:rsidR="003C6377" w:rsidRDefault="00B93EC6" w:rsidP="003C6377">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3C6377" w:rsidRDefault="00B93EC6" w:rsidP="003C6377">
      <w:pPr>
        <w:widowControl/>
        <w:spacing w:line="580" w:lineRule="exact"/>
        <w:ind w:firstLineChars="398" w:firstLine="1274"/>
        <w:rPr>
          <w:rFonts w:eastAsia="仿宋_GB2312"/>
          <w:sz w:val="32"/>
          <w:szCs w:val="32"/>
        </w:rPr>
      </w:pPr>
      <w:r>
        <w:rPr>
          <w:rFonts w:eastAsia="仿宋_GB2312"/>
          <w:sz w:val="32"/>
          <w:szCs w:val="32"/>
        </w:rPr>
        <w:t>二、部门决算单位构成</w:t>
      </w:r>
    </w:p>
    <w:p w:rsidR="003C6377" w:rsidRDefault="00B93EC6">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中国共产主义青年团无极县委员会</w:t>
      </w:r>
      <w:r>
        <w:rPr>
          <w:rFonts w:eastAsia="黑体"/>
          <w:sz w:val="32"/>
          <w:szCs w:val="32"/>
        </w:rPr>
        <w:t>2017</w:t>
      </w:r>
      <w:r>
        <w:rPr>
          <w:rFonts w:eastAsia="黑体"/>
          <w:sz w:val="32"/>
          <w:szCs w:val="32"/>
        </w:rPr>
        <w:t>年度部门决算报表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二、收入决算表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三、支出决算表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3C6377" w:rsidRDefault="00B93EC6">
      <w:pPr>
        <w:widowControl/>
        <w:spacing w:line="580" w:lineRule="exact"/>
        <w:ind w:firstLineChars="200" w:firstLine="640"/>
        <w:rPr>
          <w:rFonts w:eastAsia="黑体"/>
          <w:sz w:val="32"/>
          <w:szCs w:val="32"/>
        </w:rPr>
      </w:pPr>
      <w:r>
        <w:rPr>
          <w:rFonts w:eastAsia="黑体"/>
          <w:sz w:val="32"/>
          <w:szCs w:val="32"/>
        </w:rPr>
        <w:lastRenderedPageBreak/>
        <w:t>第三部分</w:t>
      </w:r>
      <w:r>
        <w:rPr>
          <w:rFonts w:eastAsia="黑体"/>
          <w:sz w:val="32"/>
          <w:szCs w:val="32"/>
        </w:rPr>
        <w:t xml:space="preserve">  </w:t>
      </w:r>
      <w:r>
        <w:rPr>
          <w:rFonts w:eastAsia="黑体" w:hint="eastAsia"/>
          <w:sz w:val="32"/>
          <w:szCs w:val="32"/>
        </w:rPr>
        <w:t>中国共产主义青年团无极县委员会</w:t>
      </w:r>
      <w:r>
        <w:rPr>
          <w:rFonts w:eastAsia="黑体"/>
          <w:sz w:val="32"/>
          <w:szCs w:val="32"/>
        </w:rPr>
        <w:t>2017</w:t>
      </w:r>
      <w:r>
        <w:rPr>
          <w:rFonts w:eastAsia="黑体"/>
          <w:sz w:val="32"/>
          <w:szCs w:val="32"/>
        </w:rPr>
        <w:t>年部门决算情况说明</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3C6377" w:rsidRDefault="00B93EC6">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3C6377" w:rsidRDefault="00B93EC6">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3C6377" w:rsidRDefault="00B93EC6">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3C6377" w:rsidRDefault="00B93EC6">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3C6377" w:rsidRDefault="00B93EC6">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3C6377" w:rsidRDefault="00B93EC6">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3C6377" w:rsidRDefault="003C6377"/>
    <w:p w:rsidR="003C6377" w:rsidRDefault="003C6377"/>
    <w:p w:rsidR="003C6377" w:rsidRDefault="003C6377"/>
    <w:p w:rsidR="003C6377" w:rsidRDefault="00B93EC6">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 部门概况</w:t>
      </w:r>
    </w:p>
    <w:p w:rsidR="003C6377" w:rsidRDefault="00B93EC6">
      <w:pPr>
        <w:pStyle w:val="2"/>
        <w:spacing w:before="0" w:after="0" w:line="560" w:lineRule="exact"/>
        <w:ind w:firstLineChars="200" w:firstLine="643"/>
        <w:rPr>
          <w:rFonts w:ascii="黑体" w:eastAsia="黑体" w:hAnsi="Cambria"/>
          <w:kern w:val="0"/>
        </w:rPr>
      </w:pPr>
      <w:r>
        <w:rPr>
          <w:rFonts w:ascii="黑体" w:eastAsia="黑体" w:hAnsi="Cambria" w:hint="eastAsia"/>
          <w:kern w:val="0"/>
        </w:rPr>
        <w:t>一、部门职责</w:t>
      </w:r>
    </w:p>
    <w:p w:rsidR="003C6377" w:rsidRDefault="00B93EC6">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1、行使共青团无极县委赋予的领导无极县共青团工作，指导全县少先队工作的职权。</w:t>
      </w:r>
    </w:p>
    <w:p w:rsidR="003C6377" w:rsidRDefault="00B93EC6">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2、参与制定全县的青少年事业发展规划和青少年工作方针、政策。对青少年活动阵地和青少年服务机构的建设等事务进行规划和管理。</w:t>
      </w:r>
    </w:p>
    <w:p w:rsidR="003C6377" w:rsidRDefault="00B93EC6">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3、参与全县有关青少年事务的法律、地方性法规的制定和实施，协助县委和县政府处理、协调与青少年利益相关的事务。</w:t>
      </w:r>
    </w:p>
    <w:p w:rsidR="003C6377" w:rsidRDefault="00B93EC6">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4、调查青少年思想动态和青少年工作状况，研究青少年工作理论和思想教育问题，提出相应对策，开展各种活动。</w:t>
      </w:r>
    </w:p>
    <w:p w:rsidR="003C6377" w:rsidRDefault="00B93EC6">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协助县政府教育部门做好中，小学学生的教育管理工作，维护学校稳定和社会安定团结。</w:t>
      </w:r>
    </w:p>
    <w:p w:rsidR="003C6377" w:rsidRDefault="00B93EC6">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6、在国家建设中，组织和带领青年发挥生力军和突击队作用。</w:t>
      </w:r>
    </w:p>
    <w:p w:rsidR="003C6377" w:rsidRDefault="00B93EC6">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7、参与制定有关全县的青年统战工作的政策，做好青年统战对象的团结教育工作，维护和促进祖国统一和民族团结。</w:t>
      </w:r>
    </w:p>
    <w:p w:rsidR="003C6377" w:rsidRDefault="00B93EC6">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8、承担县委、县政府和团市委交办的有关事项。</w:t>
      </w:r>
    </w:p>
    <w:p w:rsidR="003C6377" w:rsidRDefault="003C6377">
      <w:pPr>
        <w:autoSpaceDE w:val="0"/>
        <w:autoSpaceDN w:val="0"/>
        <w:adjustRightInd w:val="0"/>
        <w:spacing w:after="0" w:line="560" w:lineRule="exact"/>
        <w:jc w:val="left"/>
        <w:rPr>
          <w:rFonts w:ascii="仿宋_GB2312" w:eastAsia="仿宋_GB2312" w:hAnsi="Cambria" w:cs="ArialUnicodeMS"/>
          <w:kern w:val="0"/>
          <w:sz w:val="32"/>
          <w:szCs w:val="32"/>
        </w:rPr>
      </w:pPr>
    </w:p>
    <w:p w:rsidR="003C6377" w:rsidRDefault="00B93EC6">
      <w:pPr>
        <w:pStyle w:val="2"/>
        <w:spacing w:before="0" w:after="0" w:line="560" w:lineRule="exact"/>
        <w:ind w:firstLineChars="200" w:firstLine="643"/>
        <w:rPr>
          <w:rFonts w:ascii="黑体" w:eastAsia="黑体" w:hAnsi="Cambria"/>
          <w:kern w:val="0"/>
        </w:rPr>
      </w:pPr>
      <w:r>
        <w:rPr>
          <w:rFonts w:ascii="黑体" w:eastAsia="黑体" w:hAnsi="Cambria" w:hint="eastAsia"/>
          <w:kern w:val="0"/>
        </w:rPr>
        <w:t>二、部门决算单位构成</w:t>
      </w:r>
    </w:p>
    <w:p w:rsidR="003C6377" w:rsidRDefault="00B93EC6">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2017 年度，纳入本部门决算汇编范围的独立核算单位</w:t>
      </w:r>
    </w:p>
    <w:p w:rsidR="003C6377" w:rsidRDefault="00B93EC6">
      <w:pPr>
        <w:autoSpaceDE w:val="0"/>
        <w:autoSpaceDN w:val="0"/>
        <w:adjustRightInd w:val="0"/>
        <w:spacing w:after="0" w:line="560" w:lineRule="exact"/>
        <w:jc w:val="left"/>
        <w:sectPr w:rsidR="003C6377">
          <w:pgSz w:w="11906" w:h="16838"/>
          <w:pgMar w:top="2098" w:right="1474" w:bottom="1985" w:left="1588" w:header="851" w:footer="992" w:gutter="0"/>
          <w:pgNumType w:start="0"/>
          <w:cols w:space="720"/>
          <w:titlePg/>
          <w:docGrid w:type="lines" w:linePitch="312"/>
        </w:sectPr>
      </w:pPr>
      <w:r>
        <w:rPr>
          <w:rFonts w:ascii="仿宋_GB2312" w:eastAsia="仿宋_GB2312" w:hAnsi="Cambria" w:cs="ArialUnicodeMS" w:hint="eastAsia"/>
          <w:kern w:val="0"/>
          <w:sz w:val="32"/>
          <w:szCs w:val="32"/>
        </w:rPr>
        <w:t>（以下简称“单位”）共1个，分别是中国共产主义青年团无极县委员会 ，单位基本性质为行政单位，预算管理级次为一级预算单位，执行行政事业单位会计制度，较上年无增减变化。</w:t>
      </w:r>
    </w:p>
    <w:p w:rsidR="003C6377" w:rsidRDefault="00B93EC6">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第二部分 2017年度部门决算报表</w:t>
      </w:r>
    </w:p>
    <w:p w:rsidR="003C6377" w:rsidRDefault="00B93EC6">
      <w:pPr>
        <w:jc w:val="center"/>
        <w:rPr>
          <w:sz w:val="32"/>
          <w:szCs w:val="32"/>
        </w:rPr>
      </w:pPr>
      <w:r>
        <w:rPr>
          <w:rFonts w:hint="eastAsia"/>
          <w:sz w:val="32"/>
          <w:szCs w:val="32"/>
        </w:rPr>
        <w:t>（详见附表）</w:t>
      </w:r>
    </w:p>
    <w:p w:rsidR="003C6377" w:rsidRDefault="00B93EC6">
      <w:pPr>
        <w:pStyle w:val="11"/>
        <w:widowControl/>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一、收入支出决算总表</w:t>
      </w:r>
    </w:p>
    <w:p w:rsidR="003C6377" w:rsidRDefault="00B93EC6">
      <w:pPr>
        <w:pStyle w:val="11"/>
        <w:widowControl/>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二、收入决算表</w:t>
      </w:r>
    </w:p>
    <w:p w:rsidR="003C6377" w:rsidRDefault="00B93EC6">
      <w:pPr>
        <w:pStyle w:val="11"/>
        <w:widowControl/>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三、支出决算表</w:t>
      </w:r>
    </w:p>
    <w:p w:rsidR="003C6377" w:rsidRDefault="00B93EC6">
      <w:pPr>
        <w:pStyle w:val="11"/>
        <w:widowControl/>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四、财政拨款收入支出决算总表</w:t>
      </w:r>
    </w:p>
    <w:p w:rsidR="003C6377" w:rsidRDefault="00B93EC6">
      <w:pPr>
        <w:pStyle w:val="11"/>
        <w:widowControl/>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五、一般公共预算财政拨款收入支出决算表</w:t>
      </w:r>
    </w:p>
    <w:p w:rsidR="003C6377" w:rsidRDefault="00B93EC6">
      <w:pPr>
        <w:pStyle w:val="11"/>
        <w:widowControl/>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六、一般公共预算财政拨款基本支出决算经济分类表</w:t>
      </w:r>
    </w:p>
    <w:p w:rsidR="003C6377" w:rsidRDefault="00B93EC6">
      <w:pPr>
        <w:pStyle w:val="11"/>
        <w:widowControl/>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七、政府性基金预算财政拨款收入支出决算表</w:t>
      </w:r>
    </w:p>
    <w:p w:rsidR="003C6377" w:rsidRDefault="00B93EC6">
      <w:pPr>
        <w:pStyle w:val="11"/>
        <w:widowControl/>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八、国有资本经营预算财政拨款收入支出决算表</w:t>
      </w:r>
    </w:p>
    <w:p w:rsidR="003C6377" w:rsidRDefault="00B93EC6">
      <w:pPr>
        <w:pStyle w:val="11"/>
        <w:widowControl/>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九、“三公”经费等相关信息统计表</w:t>
      </w:r>
    </w:p>
    <w:p w:rsidR="003C6377" w:rsidRDefault="00B93EC6">
      <w:pPr>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十、政府采购情况表</w:t>
      </w:r>
    </w:p>
    <w:p w:rsidR="003C6377" w:rsidRDefault="003C6377">
      <w:pPr>
        <w:pStyle w:val="1"/>
        <w:spacing w:line="560" w:lineRule="exact"/>
        <w:rPr>
          <w:rFonts w:ascii="宋体" w:hAnsi="宋体" w:cs="ArialUnicodeMS"/>
          <w:color w:val="000000"/>
          <w:kern w:val="0"/>
        </w:rPr>
      </w:pPr>
    </w:p>
    <w:p w:rsidR="003C6377" w:rsidRDefault="00B93EC6">
      <w:pPr>
        <w:pStyle w:val="1"/>
        <w:spacing w:line="560" w:lineRule="exact"/>
        <w:jc w:val="center"/>
        <w:rPr>
          <w:rFonts w:ascii="宋体" w:hAnsi="宋体" w:cs="ArialUnicodeMS"/>
          <w:color w:val="000000"/>
          <w:kern w:val="0"/>
        </w:rPr>
      </w:pPr>
      <w:r>
        <w:rPr>
          <w:rFonts w:ascii="宋体" w:hAnsi="宋体" w:cs="ArialUnicodeMS" w:hint="eastAsia"/>
          <w:color w:val="000000"/>
          <w:kern w:val="0"/>
        </w:rPr>
        <w:t>第三部分部门决算情况说明</w:t>
      </w:r>
    </w:p>
    <w:p w:rsidR="003C6377" w:rsidRDefault="00B93EC6">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Cambria" w:hint="eastAsia"/>
          <w:kern w:val="0"/>
        </w:rPr>
        <w:t>支出</w:t>
      </w:r>
      <w:r>
        <w:rPr>
          <w:rFonts w:ascii="黑体" w:eastAsia="黑体" w:hint="eastAsia"/>
        </w:rPr>
        <w:t>决算总体情况说明</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年初结转和结余0万元，本年收入28.71万元；本年支出28.71万元、年末结转和结余0万元。与2016年度决算相比，本年收入减少0.67万元，降低2.28%，主要是人员减少；本年支出减少0.67万元，降低2.28%，主要是人员减少。</w:t>
      </w:r>
    </w:p>
    <w:p w:rsidR="003C6377" w:rsidRDefault="00B93EC6">
      <w:pPr>
        <w:pStyle w:val="2"/>
        <w:spacing w:before="0" w:after="0" w:line="560" w:lineRule="exact"/>
        <w:ind w:firstLineChars="200" w:firstLine="643"/>
        <w:rPr>
          <w:rFonts w:ascii="黑体" w:eastAsia="黑体"/>
        </w:rPr>
      </w:pPr>
      <w:r>
        <w:rPr>
          <w:rFonts w:ascii="黑体" w:eastAsia="黑体" w:hint="eastAsia"/>
        </w:rPr>
        <w:t>二、收入决算情况说明</w:t>
      </w:r>
    </w:p>
    <w:p w:rsidR="003C6377" w:rsidRDefault="00B93EC6">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本部门2017年度本年收入合计28.71万元，其中：财政拨款收入28.71万元，占100%；事业收入0万元，占0%；经营收入0万元，占0%；其他收入0万元，占0%。如图所示：</w:t>
      </w:r>
    </w:p>
    <w:p w:rsidR="003C6377" w:rsidRDefault="00B93EC6">
      <w:pPr>
        <w:adjustRightInd w:val="0"/>
        <w:snapToGrid w:val="0"/>
        <w:spacing w:line="560" w:lineRule="exact"/>
        <w:jc w:val="center"/>
        <w:rPr>
          <w:rFonts w:ascii="仿宋_GB2312" w:eastAsia="仿宋_GB2312" w:cs="DengXian-Regular"/>
          <w:sz w:val="32"/>
          <w:szCs w:val="32"/>
        </w:rPr>
      </w:pPr>
      <w:r>
        <w:rPr>
          <w:rFonts w:ascii="仿宋_GB2312" w:eastAsia="仿宋_GB2312" w:cs="DengXian-Regular" w:hint="eastAsia"/>
          <w:sz w:val="32"/>
          <w:szCs w:val="32"/>
        </w:rPr>
        <w:t>图1：收入决算结构饼状图</w:t>
      </w:r>
    </w:p>
    <w:p w:rsidR="003C6377" w:rsidRDefault="00C65877">
      <w:pPr>
        <w:adjustRightInd w:val="0"/>
        <w:snapToGrid w:val="0"/>
        <w:spacing w:after="0" w:line="240" w:lineRule="auto"/>
        <w:rPr>
          <w:rFonts w:ascii="仿宋_GB2312" w:eastAsia="仿宋_GB2312"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201pt">
            <v:imagedata r:id="rId8" o:title=""/>
          </v:shape>
        </w:pict>
      </w:r>
    </w:p>
    <w:p w:rsidR="003C6377" w:rsidRDefault="00B93EC6">
      <w:pPr>
        <w:pStyle w:val="2"/>
        <w:spacing w:before="0" w:after="0" w:line="560" w:lineRule="exact"/>
        <w:ind w:firstLineChars="200" w:firstLine="643"/>
        <w:rPr>
          <w:rFonts w:ascii="黑体" w:eastAsia="黑体"/>
        </w:rPr>
      </w:pPr>
      <w:r>
        <w:rPr>
          <w:rFonts w:ascii="黑体" w:eastAsia="黑体" w:hint="eastAsia"/>
        </w:rPr>
        <w:lastRenderedPageBreak/>
        <w:t>三、支出决算情况说明</w:t>
      </w:r>
    </w:p>
    <w:p w:rsidR="003C6377" w:rsidRDefault="00B93EC6">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本部门2017年度本年支出合计28.71万元，其中：基本支出28.71万元，占100%；项目支出0万元，占0%；经营支出0万元，占0%。如图所示：</w:t>
      </w:r>
    </w:p>
    <w:p w:rsidR="003C6377" w:rsidRDefault="00B93EC6">
      <w:pPr>
        <w:adjustRightInd w:val="0"/>
        <w:snapToGrid w:val="0"/>
        <w:spacing w:line="560" w:lineRule="exact"/>
        <w:jc w:val="center"/>
        <w:rPr>
          <w:rFonts w:ascii="仿宋_GB2312" w:eastAsia="仿宋_GB2312" w:cs="DengXian-Regular"/>
          <w:sz w:val="32"/>
          <w:szCs w:val="32"/>
        </w:rPr>
      </w:pPr>
      <w:r>
        <w:rPr>
          <w:rFonts w:ascii="仿宋_GB2312" w:eastAsia="仿宋_GB2312" w:cs="DengXian-Regular" w:hint="eastAsia"/>
          <w:sz w:val="32"/>
          <w:szCs w:val="32"/>
        </w:rPr>
        <w:t>图2：支出决算结构饼状图</w:t>
      </w:r>
    </w:p>
    <w:p w:rsidR="003C6377" w:rsidRDefault="00C65877">
      <w:pPr>
        <w:adjustRightInd w:val="0"/>
        <w:snapToGrid w:val="0"/>
        <w:spacing w:after="0" w:line="240" w:lineRule="auto"/>
        <w:rPr>
          <w:rFonts w:ascii="仿宋_GB2312" w:eastAsia="仿宋_GB2312" w:cs="DengXian-Regular"/>
          <w:sz w:val="32"/>
          <w:szCs w:val="32"/>
        </w:rPr>
      </w:pPr>
      <w:r>
        <w:pict>
          <v:shape id="_x0000_i1026" type="#_x0000_t75" style="width:441.75pt;height:201pt">
            <v:imagedata r:id="rId9" o:title=""/>
          </v:shape>
        </w:pict>
      </w:r>
    </w:p>
    <w:p w:rsidR="003C6377" w:rsidRDefault="00B93EC6">
      <w:pPr>
        <w:pStyle w:val="2"/>
        <w:spacing w:before="0" w:after="0" w:line="560" w:lineRule="exact"/>
        <w:ind w:firstLineChars="200" w:firstLine="643"/>
        <w:rPr>
          <w:rFonts w:ascii="黑体" w:eastAsia="黑体"/>
        </w:rPr>
      </w:pPr>
      <w:r>
        <w:rPr>
          <w:rFonts w:ascii="黑体" w:eastAsia="黑体" w:hint="eastAsia"/>
        </w:rPr>
        <w:t>四、</w:t>
      </w:r>
      <w:r>
        <w:rPr>
          <w:rFonts w:ascii="黑体" w:eastAsia="黑体" w:hAnsi="Cambria" w:hint="eastAsia"/>
          <w:kern w:val="0"/>
        </w:rPr>
        <w:t>财政</w:t>
      </w:r>
      <w:r>
        <w:rPr>
          <w:rFonts w:ascii="黑体" w:eastAsia="黑体" w:hint="eastAsia"/>
        </w:rPr>
        <w:t>拨款收入支出决算总体情况说明</w:t>
      </w:r>
    </w:p>
    <w:p w:rsidR="003C6377" w:rsidRDefault="00B93EC6" w:rsidP="003C6377">
      <w:pPr>
        <w:spacing w:after="0" w:line="560" w:lineRule="exact"/>
        <w:ind w:firstLineChars="200" w:firstLine="640"/>
        <w:rPr>
          <w:rFonts w:ascii="楷体_GB2312" w:eastAsia="楷体_GB2312" w:cs="DengXian-Bold"/>
          <w:b/>
          <w:bCs/>
          <w:sz w:val="32"/>
          <w:szCs w:val="32"/>
        </w:rPr>
      </w:pPr>
      <w:r>
        <w:rPr>
          <w:rFonts w:ascii="楷体_GB2312" w:eastAsia="楷体_GB2312" w:cs="DengXian-Bold" w:hint="eastAsia"/>
          <w:b/>
          <w:bCs/>
          <w:sz w:val="32"/>
          <w:szCs w:val="32"/>
        </w:rPr>
        <w:t>（一）财政拨款收支与2016 年度决算对比情况</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财政拨款收支全部为一般公共预算财政拨款收支。一般公共预算财政拨款年初结转和结余0万元。与2016年度决算相比，一般公共预算财政拨款本年收入减少0.67万元，降低2.28%，主要是人员减少；本年支出减少0.67万元，降低2.28%，主要是人员减少。</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本部门2017年度财政拨款年初结转和结余0万元、本年收入0万元；本年支出0万元、年末结转和结余0万元。与2016年度决算相比，财政拨款本年收入无增减变化，主要是与上年持</w:t>
      </w:r>
      <w:r>
        <w:rPr>
          <w:rFonts w:ascii="仿宋_GB2312" w:eastAsia="仿宋_GB2312" w:cs="DengXian-Regular" w:hint="eastAsia"/>
          <w:sz w:val="32"/>
          <w:szCs w:val="32"/>
        </w:rPr>
        <w:lastRenderedPageBreak/>
        <w:t>平无增减变化；本年支出与上年持平无增减变化。</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其中，一般公共预算财政拨款年初结转和结余0万元、本年收入28.71万元；本年支出28.71万元、年末结转和结余0万元。与2016年度决算相比，一般公共预算财政拨款本年收入减少0.67万元，降低2.28%，主要是人员减少；本年支出减少0.67万元，降低2.28%，主要是人员减少。</w:t>
      </w:r>
    </w:p>
    <w:p w:rsidR="003C6377" w:rsidRDefault="00B93EC6" w:rsidP="003C6377">
      <w:pPr>
        <w:spacing w:after="0" w:line="560" w:lineRule="exact"/>
        <w:ind w:firstLineChars="200" w:firstLine="640"/>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本部门2017年度一般公共预算财政拨款本年收入较2016年初预算增加3.71万元，增长14.84%，主要是人员经费增加；本年支出增加3.71万元，增长14.84%，主要是人员经费增加。</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本部门2017年度财政拨款本年收入较2017年初预算无增减变化，主要是与上年持平无增减变化；本年支出与上年持平无增减变化。</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其中，本部门2017年度一般公共预算财政拨款本年收入较2017年初预算增加3.71万元，增长14.84%，主要是人员经费增加；本年支出增加3.71万元，增长14.84%，主要是人员经费增加。</w:t>
      </w:r>
    </w:p>
    <w:p w:rsidR="003C6377" w:rsidRDefault="00B93EC6">
      <w:pPr>
        <w:pStyle w:val="2"/>
        <w:spacing w:before="0" w:after="0" w:line="560" w:lineRule="exact"/>
        <w:ind w:firstLineChars="200" w:firstLine="643"/>
        <w:rPr>
          <w:rFonts w:ascii="黑体" w:eastAsia="黑体"/>
        </w:rPr>
      </w:pPr>
      <w:r>
        <w:rPr>
          <w:rFonts w:ascii="黑体" w:eastAsia="黑体" w:hint="eastAsia"/>
        </w:rPr>
        <w:t>五、“三公” 经费支出决算情况说明</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本部门2017年度“三公”经费支出共计0万元，较年初预算无增减变化；较2016年度决算无增减变化。具体情况如下：</w:t>
      </w:r>
    </w:p>
    <w:p w:rsidR="003C6377" w:rsidRDefault="00B93EC6" w:rsidP="003C6377">
      <w:pPr>
        <w:adjustRightInd w:val="0"/>
        <w:snapToGrid w:val="0"/>
        <w:spacing w:after="0" w:line="560" w:lineRule="exact"/>
        <w:ind w:firstLineChars="200" w:firstLine="640"/>
        <w:rPr>
          <w:rFonts w:ascii="仿宋_GB2312" w:eastAsia="仿宋_GB2312" w:cs="DengXian-Regular"/>
          <w:sz w:val="32"/>
          <w:szCs w:val="32"/>
        </w:rPr>
      </w:pPr>
      <w:r>
        <w:rPr>
          <w:rFonts w:ascii="楷体_GB2312" w:eastAsia="楷体_GB2312" w:cs="DengXian-Bold" w:hint="eastAsia"/>
          <w:b/>
          <w:bCs/>
          <w:sz w:val="32"/>
          <w:szCs w:val="32"/>
        </w:rPr>
        <w:t>（一）因公出国（境）费支出0万元。</w:t>
      </w:r>
      <w:r>
        <w:rPr>
          <w:rFonts w:ascii="仿宋_GB2312" w:eastAsia="仿宋_GB2312" w:cs="DengXian-Regular" w:hint="eastAsia"/>
          <w:sz w:val="32"/>
          <w:szCs w:val="32"/>
        </w:rPr>
        <w:t>本部门2017年度参加其他单位组织的因公出国（境）团组0个、共0人/无本单位</w:t>
      </w:r>
      <w:r>
        <w:rPr>
          <w:rFonts w:ascii="仿宋_GB2312" w:eastAsia="仿宋_GB2312" w:cs="DengXian-Regular" w:hint="eastAsia"/>
          <w:sz w:val="32"/>
          <w:szCs w:val="32"/>
        </w:rPr>
        <w:lastRenderedPageBreak/>
        <w:t>组织的出国（境）团组。因公出国（境）费支出较年初预算无增减变化，较2016年度决算无增减变化。</w:t>
      </w:r>
    </w:p>
    <w:p w:rsidR="003C6377" w:rsidRDefault="00B93EC6" w:rsidP="003C6377">
      <w:pPr>
        <w:adjustRightInd w:val="0"/>
        <w:snapToGrid w:val="0"/>
        <w:spacing w:after="0" w:line="560" w:lineRule="exact"/>
        <w:ind w:firstLineChars="200" w:firstLine="640"/>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（二）公务用车购置及运行维护费支出0万元。</w:t>
      </w:r>
      <w:r>
        <w:rPr>
          <w:rFonts w:ascii="仿宋_GB2312" w:eastAsia="仿宋_GB2312" w:cs="DengXian-Regular" w:hint="eastAsia"/>
          <w:sz w:val="32"/>
          <w:szCs w:val="32"/>
        </w:rPr>
        <w:t>本部门2017年度公务用车购置及运行维护费较年初预算无增减变化；较2016年度决算无增减变化。</w:t>
      </w:r>
      <w:r>
        <w:rPr>
          <w:rFonts w:ascii="仿宋_GB2312" w:eastAsia="仿宋_GB2312" w:cs="DengXian-Bold" w:hint="eastAsia"/>
          <w:b/>
          <w:bCs/>
          <w:sz w:val="32"/>
          <w:szCs w:val="32"/>
        </w:rPr>
        <w:t>其中：</w:t>
      </w:r>
    </w:p>
    <w:p w:rsidR="003C6377" w:rsidRDefault="00B93EC6" w:rsidP="003C637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本部门2017年度公务用车购置量0辆，发生“公务用车购置”经费支出0万元。公务用车购置费支出较年初预算无增减变化，主要是未发生“公务用车购置”经费支出；较2016年度决算无增减变化。</w:t>
      </w:r>
    </w:p>
    <w:p w:rsidR="003C6377" w:rsidRDefault="00B93EC6" w:rsidP="003C637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本部门2017年度单位公务用车保有量0辆。公车运行维护费支出较年初预算无增减变化；较2016年度决算无增减变化。</w:t>
      </w:r>
    </w:p>
    <w:p w:rsidR="003C6377" w:rsidRDefault="00B93EC6" w:rsidP="003C6377">
      <w:pPr>
        <w:adjustRightInd w:val="0"/>
        <w:snapToGrid w:val="0"/>
        <w:spacing w:after="0" w:line="560" w:lineRule="exact"/>
        <w:ind w:firstLineChars="200" w:firstLine="640"/>
        <w:rPr>
          <w:rFonts w:ascii="仿宋_GB2312" w:eastAsia="仿宋_GB2312" w:cs="DengXian-Regular"/>
          <w:sz w:val="32"/>
          <w:szCs w:val="32"/>
        </w:rPr>
      </w:pPr>
      <w:r>
        <w:rPr>
          <w:rFonts w:ascii="楷体_GB2312" w:eastAsia="楷体_GB2312" w:cs="DengXian-Bold" w:hint="eastAsia"/>
          <w:b/>
          <w:bCs/>
          <w:sz w:val="32"/>
          <w:szCs w:val="32"/>
        </w:rPr>
        <w:t>（三）公务接待费支出0万元。</w:t>
      </w:r>
      <w:r>
        <w:rPr>
          <w:rFonts w:ascii="仿宋_GB2312" w:eastAsia="仿宋_GB2312" w:cs="DengXian-Regular" w:hint="eastAsia"/>
          <w:sz w:val="32"/>
          <w:szCs w:val="32"/>
        </w:rPr>
        <w:t>本部门2017年度公务接待共0批次、0人次。未发生接待费用，公务接待费支出较年初预算无增减变化；较2016年度决算无增减变化。</w:t>
      </w:r>
    </w:p>
    <w:p w:rsidR="003C6377" w:rsidRDefault="00B93EC6">
      <w:pPr>
        <w:pStyle w:val="2"/>
        <w:spacing w:before="0" w:after="0" w:line="560" w:lineRule="exact"/>
        <w:ind w:firstLineChars="200" w:firstLine="643"/>
        <w:rPr>
          <w:rFonts w:ascii="黑体" w:eastAsia="黑体" w:cs="Times New Roman"/>
        </w:rPr>
      </w:pPr>
      <w:r>
        <w:rPr>
          <w:rFonts w:ascii="黑体" w:eastAsia="黑体" w:cs="Times New Roman" w:hint="eastAsia"/>
        </w:rPr>
        <w:t>六、绩效预算</w:t>
      </w:r>
      <w:r>
        <w:rPr>
          <w:rFonts w:ascii="黑体" w:eastAsia="黑体" w:hAnsi="Cambria" w:hint="eastAsia"/>
          <w:kern w:val="0"/>
        </w:rPr>
        <w:t>管理</w:t>
      </w:r>
      <w:r>
        <w:rPr>
          <w:rFonts w:ascii="黑体" w:eastAsia="黑体" w:cs="Times New Roman" w:hint="eastAsia"/>
        </w:rPr>
        <w:t>工作开展情况说明</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3C6377" w:rsidRDefault="00B93EC6">
      <w:pPr>
        <w:numPr>
          <w:ilvl w:val="0"/>
          <w:numId w:val="1"/>
        </w:num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预算项目绩效评价开展情况</w:t>
      </w:r>
    </w:p>
    <w:p w:rsidR="003C6377" w:rsidRDefault="00B93EC6">
      <w:pPr>
        <w:adjustRightInd w:val="0"/>
        <w:snapToGrid w:val="0"/>
        <w:spacing w:after="0" w:line="560" w:lineRule="exact"/>
        <w:ind w:firstLineChars="200" w:firstLine="640"/>
      </w:pPr>
      <w:r>
        <w:rPr>
          <w:rFonts w:ascii="仿宋_GB2312" w:eastAsia="仿宋_GB2312" w:cs="DengXian-Regular" w:hint="eastAsia"/>
          <w:sz w:val="32"/>
          <w:szCs w:val="32"/>
        </w:rPr>
        <w:lastRenderedPageBreak/>
        <w:t>本单位无民生项目和重点支出项目。</w:t>
      </w:r>
    </w:p>
    <w:p w:rsidR="003C6377" w:rsidRDefault="00B93EC6">
      <w:pPr>
        <w:pStyle w:val="2"/>
        <w:spacing w:before="0" w:after="0" w:line="560" w:lineRule="exact"/>
        <w:ind w:firstLineChars="200" w:firstLine="643"/>
        <w:rPr>
          <w:rFonts w:ascii="黑体" w:eastAsia="黑体" w:cs="Times New Roman"/>
        </w:rPr>
      </w:pPr>
      <w:r>
        <w:rPr>
          <w:rFonts w:ascii="黑体" w:eastAsia="黑体" w:cs="Times New Roman" w:hint="eastAsia"/>
        </w:rPr>
        <w:t>七、其他重要事项的说明</w:t>
      </w:r>
    </w:p>
    <w:p w:rsidR="003C6377" w:rsidRDefault="00B93EC6" w:rsidP="003C6377">
      <w:pPr>
        <w:pStyle w:val="3"/>
        <w:spacing w:before="0" w:after="0" w:line="560" w:lineRule="exact"/>
        <w:ind w:firstLineChars="200" w:firstLine="640"/>
        <w:rPr>
          <w:rFonts w:ascii="楷体_GB2312" w:eastAsia="楷体_GB2312" w:cs="DengXian-Bold"/>
        </w:rPr>
      </w:pPr>
      <w:r>
        <w:rPr>
          <w:rFonts w:ascii="楷体_GB2312" w:eastAsia="楷体_GB2312" w:cs="DengXian-Bold" w:hint="eastAsia"/>
        </w:rPr>
        <w:t>（一）机关运行经费情况</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本部门2017年度机关运行经费支出8.41</w:t>
      </w:r>
      <w:bookmarkStart w:id="0" w:name="_GoBack"/>
      <w:bookmarkEnd w:id="0"/>
      <w:r>
        <w:rPr>
          <w:rFonts w:ascii="仿宋_GB2312" w:eastAsia="仿宋_GB2312" w:cs="DengXian-Regular" w:hint="eastAsia"/>
          <w:sz w:val="32"/>
          <w:szCs w:val="32"/>
        </w:rPr>
        <w:t>万元，比2016年度</w:t>
      </w:r>
      <w:r w:rsidR="00467F2D">
        <w:rPr>
          <w:rFonts w:ascii="仿宋_GB2312" w:eastAsia="仿宋_GB2312" w:cs="DengXian-Regular" w:hint="eastAsia"/>
          <w:sz w:val="32"/>
          <w:szCs w:val="32"/>
        </w:rPr>
        <w:t>增加</w:t>
      </w:r>
      <w:r>
        <w:rPr>
          <w:rFonts w:ascii="仿宋_GB2312" w:eastAsia="仿宋_GB2312" w:cs="DengXian-Regular" w:hint="eastAsia"/>
          <w:sz w:val="32"/>
          <w:szCs w:val="32"/>
        </w:rPr>
        <w:t>2.75万元，增加48.58%。主要原因是追加办公经费和人员公车补增加。</w:t>
      </w:r>
    </w:p>
    <w:p w:rsidR="003C6377" w:rsidRDefault="00B93EC6" w:rsidP="003C6377">
      <w:pPr>
        <w:pStyle w:val="3"/>
        <w:spacing w:before="0" w:after="0" w:line="560" w:lineRule="exact"/>
        <w:ind w:firstLineChars="200" w:firstLine="640"/>
        <w:rPr>
          <w:rFonts w:ascii="楷体_GB2312" w:eastAsia="楷体_GB2312" w:cs="DengXian-Bold"/>
        </w:rPr>
      </w:pPr>
      <w:r>
        <w:rPr>
          <w:rFonts w:ascii="楷体_GB2312" w:eastAsia="楷体_GB2312" w:cs="DengXian-Bold" w:hint="eastAsia"/>
        </w:rPr>
        <w:t>（二）政府采购情况</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本部门2017年度政府采购支出总额0万元，其中：政府采购货物支出0万元、政府采购工程支出0万元、政府采购服务支出0万元。</w:t>
      </w:r>
    </w:p>
    <w:p w:rsidR="003C6377" w:rsidRDefault="00B93EC6" w:rsidP="003C6377">
      <w:pPr>
        <w:pStyle w:val="3"/>
        <w:spacing w:before="0" w:after="0" w:line="560" w:lineRule="exact"/>
        <w:ind w:firstLineChars="200" w:firstLine="640"/>
        <w:rPr>
          <w:rFonts w:ascii="楷体_GB2312" w:eastAsia="楷体_GB2312" w:cs="DengXian-Bold"/>
        </w:rPr>
      </w:pPr>
      <w:r>
        <w:rPr>
          <w:rFonts w:ascii="楷体_GB2312" w:eastAsia="楷体_GB2312" w:cs="DengXian-Bold" w:hint="eastAsia"/>
        </w:rPr>
        <w:t>（三）国有资产占用情况</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截至2017年12月31日，本部门共有车辆0辆，其中，市级领导干部用车0辆、一般公务用车0辆、一般执法执勤用车0辆、特种专业技术用车0辆、其他用车0辆；单位价值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万元以上大型设备0套，单位价值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万元以上大型设备0台。</w:t>
      </w:r>
    </w:p>
    <w:p w:rsidR="003C6377" w:rsidRDefault="00B93EC6" w:rsidP="003C6377">
      <w:pPr>
        <w:pStyle w:val="3"/>
        <w:spacing w:before="0" w:after="0" w:line="560" w:lineRule="exact"/>
        <w:ind w:firstLineChars="200" w:firstLine="640"/>
        <w:rPr>
          <w:rFonts w:ascii="楷体_GB2312" w:eastAsia="楷体_GB2312" w:cs="DengXian-Bold"/>
        </w:rPr>
      </w:pPr>
      <w:r>
        <w:rPr>
          <w:rFonts w:ascii="楷体_GB2312" w:eastAsia="楷体_GB2312" w:cs="DengXian-Bold" w:hint="eastAsia"/>
        </w:rPr>
        <w:t>（四）其他需要说明的情况</w:t>
      </w:r>
    </w:p>
    <w:p w:rsidR="003C6377" w:rsidRDefault="00B93EC6">
      <w:pPr>
        <w:spacing w:line="580" w:lineRule="exact"/>
        <w:ind w:firstLine="660"/>
        <w:rPr>
          <w:rFonts w:ascii="仿宋_GB2312" w:eastAsia="仿宋_GB2312" w:cs="DengXian-Regular"/>
          <w:sz w:val="32"/>
          <w:szCs w:val="32"/>
        </w:rPr>
      </w:pPr>
      <w:r>
        <w:rPr>
          <w:rFonts w:ascii="仿宋_GB2312" w:eastAsia="仿宋_GB2312" w:cs="DengXian-Regular" w:hint="eastAsia"/>
          <w:sz w:val="32"/>
          <w:szCs w:val="32"/>
        </w:rPr>
        <w:t>1、本部门2017年度政府性基金、国有资本经营、三公经费、政府采购无收支及结转结余情况，故政府性基金预算财政拨款收入支出决算表为空、国有资本经营预算财政拨款收入支出决算表为空、三公经费及相关信息统计表为空、政府采购情况表为空列示。</w:t>
      </w:r>
    </w:p>
    <w:p w:rsidR="003C6377" w:rsidRDefault="00B93EC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2、由于决算公开表格中金额数值应当保留两位小数，公开</w:t>
      </w:r>
      <w:r>
        <w:rPr>
          <w:rFonts w:ascii="仿宋_GB2312" w:eastAsia="仿宋_GB2312" w:cs="DengXian-Regular" w:hint="eastAsia"/>
          <w:sz w:val="32"/>
          <w:szCs w:val="32"/>
        </w:rPr>
        <w:lastRenderedPageBreak/>
        <w:t>数据为四舍五入计算结果，个别数据合计项与分项之和存在小数点后差额，特此说明。</w:t>
      </w:r>
    </w:p>
    <w:p w:rsidR="003C6377" w:rsidRDefault="00B93EC6">
      <w:pPr>
        <w:pStyle w:val="1"/>
        <w:jc w:val="center"/>
        <w:rPr>
          <w:rFonts w:ascii="宋体" w:hAnsi="宋体" w:cs="SimSun,Bold"/>
        </w:rPr>
      </w:pPr>
      <w:r>
        <w:rPr>
          <w:rFonts w:ascii="宋体" w:hAnsi="宋体" w:cs="SimSun,Bold" w:hint="eastAsia"/>
        </w:rPr>
        <w:t>第四部分名词解释</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（三）其他收入：指除上述“财政拨款收入”、“事业收入”、“经营收入”等以外的收入。</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（五）年初结转和结余：指以前年度尚未完成、结转到本年仍按原规定用途继续使用的资金，或项目已完成等产生的结余资金。</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（六）结余分配：指事业单位按照事业单位会计制度的规定从非财政补助结余中分配的事业基金和职工福利基金等。</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（七）年末结转和结余：指单位按有关规定结转到下年或以后年度继续使用的资金，或项目已完成等产生的结余资金。</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（八）基本支出：填列单位为保障机构正常运转、完成日常工作任务而发生的各项支出。</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（十三）其他交通费用：填列单位除公务用车运行维护费以外的其他交通费用。如飞机、船舶等的燃料费、维修费、过桥过路费、保险费、出租车费用、公务交通补贴等。</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（十四）公务用车购置：填列单位公务用车车辆购置支出（含车辆购置税）。</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（十五）其他交通工具购置：填列单位除公务用车外的其他各类交通工具（如船舶、飞机）购置支出（含车辆购置税）。</w:t>
      </w:r>
    </w:p>
    <w:p w:rsidR="003C6377" w:rsidRDefault="00B93EC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3C6377" w:rsidSect="003C6377">
      <w:pgSz w:w="11906" w:h="16838"/>
      <w:pgMar w:top="2098" w:right="1474" w:bottom="1985" w:left="1588"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3EC6" w:rsidRDefault="00B93EC6" w:rsidP="00B93EC6">
      <w:pPr>
        <w:spacing w:after="0" w:line="240" w:lineRule="auto"/>
      </w:pPr>
      <w:r>
        <w:separator/>
      </w:r>
    </w:p>
  </w:endnote>
  <w:endnote w:type="continuationSeparator" w:id="1">
    <w:p w:rsidR="00B93EC6" w:rsidRDefault="00B93EC6" w:rsidP="00B93E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小标宋_GBK">
    <w:altName w:val="宋体"/>
    <w:charset w:val="86"/>
    <w:family w:val="auto"/>
    <w:pitch w:val="default"/>
    <w:sig w:usb0="00000000" w:usb1="00000000" w:usb2="00000010" w:usb3="00000000" w:csb0="00040000" w:csb1="00000000"/>
  </w:font>
  <w:font w:name="仿宋_GB2312">
    <w:altName w:val="Arial Unicode MS"/>
    <w:charset w:val="86"/>
    <w:family w:val="auto"/>
    <w:pitch w:val="default"/>
    <w:sig w:usb0="00000000" w:usb1="080E0000" w:usb2="00000000" w:usb3="00000000" w:csb0="00040000" w:csb1="00000000"/>
  </w:font>
  <w:font w:name="ArialUnicodeMS">
    <w:altName w:val="Dotum"/>
    <w:charset w:val="81"/>
    <w:family w:val="auto"/>
    <w:pitch w:val="default"/>
    <w:sig w:usb0="00000000" w:usb1="00000000" w:usb2="00000010" w:usb3="00000000" w:csb0="00080001" w:csb1="00000000"/>
  </w:font>
  <w:font w:name="DengXian-Regular">
    <w:altName w:val="宋体"/>
    <w:charset w:val="86"/>
    <w:family w:val="auto"/>
    <w:pitch w:val="default"/>
    <w:sig w:usb0="00000000" w:usb1="00000000" w:usb2="00000010" w:usb3="00000000" w:csb0="00040001" w:csb1="00000000"/>
  </w:font>
  <w:font w:name="楷体_GB2312">
    <w:altName w:val="Arial Unicode MS"/>
    <w:charset w:val="86"/>
    <w:family w:val="auto"/>
    <w:pitch w:val="default"/>
    <w:sig w:usb0="00000000" w:usb1="080E0000" w:usb2="00000000" w:usb3="00000000" w:csb0="00040000"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3EC6" w:rsidRDefault="00B93EC6" w:rsidP="00B93EC6">
      <w:pPr>
        <w:spacing w:after="0" w:line="240" w:lineRule="auto"/>
      </w:pPr>
      <w:r>
        <w:separator/>
      </w:r>
    </w:p>
  </w:footnote>
  <w:footnote w:type="continuationSeparator" w:id="1">
    <w:p w:rsidR="00B93EC6" w:rsidRDefault="00B93EC6" w:rsidP="00B93EC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1F6AE6"/>
    <w:multiLevelType w:val="singleLevel"/>
    <w:tmpl w:val="00000000"/>
    <w:lvl w:ilvl="0">
      <w:start w:val="2"/>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noPunctuationKerning/>
  <w:characterSpacingControl w:val="compressPunctuation"/>
  <w:hdrShapeDefaults>
    <o:shapedefaults v:ext="edit" spidmax="4097"/>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C6377"/>
    <w:rsid w:val="003C6377"/>
    <w:rsid w:val="00467F2D"/>
    <w:rsid w:val="00916FCD"/>
    <w:rsid w:val="00B93EC6"/>
    <w:rsid w:val="00C65877"/>
    <w:rsid w:val="3A76233C"/>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3C6377"/>
    <w:pPr>
      <w:widowControl w:val="0"/>
      <w:spacing w:after="160" w:line="480" w:lineRule="auto"/>
      <w:jc w:val="both"/>
    </w:pPr>
    <w:rPr>
      <w:kern w:val="2"/>
      <w:sz w:val="21"/>
      <w:szCs w:val="24"/>
    </w:rPr>
  </w:style>
  <w:style w:type="paragraph" w:styleId="1">
    <w:name w:val="heading 1"/>
    <w:basedOn w:val="a"/>
    <w:next w:val="a"/>
    <w:link w:val="1Char"/>
    <w:rsid w:val="003C6377"/>
    <w:pPr>
      <w:keepNext/>
      <w:keepLines/>
      <w:spacing w:before="340" w:after="330" w:line="578" w:lineRule="auto"/>
      <w:outlineLvl w:val="0"/>
    </w:pPr>
    <w:rPr>
      <w:b/>
      <w:bCs/>
      <w:kern w:val="44"/>
      <w:sz w:val="44"/>
      <w:szCs w:val="44"/>
    </w:rPr>
  </w:style>
  <w:style w:type="paragraph" w:styleId="2">
    <w:name w:val="heading 2"/>
    <w:basedOn w:val="a"/>
    <w:next w:val="a"/>
    <w:link w:val="2Char"/>
    <w:rsid w:val="003C6377"/>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rsid w:val="003C6377"/>
    <w:pPr>
      <w:keepNext/>
      <w:keepLines/>
      <w:spacing w:before="260" w:after="260" w:line="416" w:lineRule="auto"/>
      <w:outlineLvl w:val="2"/>
    </w:pPr>
    <w:rPr>
      <w:b/>
      <w:bCs/>
      <w:sz w:val="32"/>
      <w:szCs w:val="32"/>
    </w:rPr>
  </w:style>
  <w:style w:type="paragraph" w:styleId="4">
    <w:name w:val="heading 4"/>
    <w:basedOn w:val="a"/>
    <w:next w:val="a"/>
    <w:link w:val="4Char"/>
    <w:rsid w:val="003C6377"/>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3C6377"/>
    <w:pPr>
      <w:tabs>
        <w:tab w:val="center" w:pos="4153"/>
        <w:tab w:val="right" w:pos="8306"/>
      </w:tabs>
      <w:snapToGrid w:val="0"/>
      <w:jc w:val="left"/>
    </w:pPr>
    <w:rPr>
      <w:sz w:val="18"/>
      <w:szCs w:val="18"/>
    </w:rPr>
  </w:style>
  <w:style w:type="paragraph" w:styleId="a4">
    <w:name w:val="header"/>
    <w:basedOn w:val="a"/>
    <w:link w:val="Char0"/>
    <w:rsid w:val="003C6377"/>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rsid w:val="003C6377"/>
    <w:pPr>
      <w:widowControl/>
      <w:spacing w:after="200" w:line="276" w:lineRule="auto"/>
      <w:jc w:val="left"/>
    </w:pPr>
    <w:rPr>
      <w:rFonts w:ascii="Calibri" w:hAnsi="Calibri" w:cs="黑体"/>
      <w:i/>
      <w:iCs/>
      <w:color w:val="F0A22E"/>
      <w:spacing w:val="15"/>
      <w:kern w:val="0"/>
      <w:sz w:val="24"/>
    </w:rPr>
  </w:style>
  <w:style w:type="paragraph" w:styleId="a6">
    <w:name w:val="Title"/>
    <w:basedOn w:val="a"/>
    <w:next w:val="a"/>
    <w:link w:val="Char2"/>
    <w:rsid w:val="003C6377"/>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1Char">
    <w:name w:val="标题 1 Char"/>
    <w:basedOn w:val="a0"/>
    <w:link w:val="1"/>
    <w:semiHidden/>
    <w:rsid w:val="003C6377"/>
    <w:rPr>
      <w:rFonts w:ascii="Times New Roman" w:eastAsia="宋体" w:hAnsi="Times New Roman" w:cs="Times New Roman"/>
      <w:b/>
      <w:bCs/>
      <w:kern w:val="44"/>
      <w:sz w:val="44"/>
      <w:szCs w:val="44"/>
    </w:rPr>
  </w:style>
  <w:style w:type="character" w:customStyle="1" w:styleId="2Char">
    <w:name w:val="标题 2 Char"/>
    <w:basedOn w:val="a0"/>
    <w:link w:val="2"/>
    <w:semiHidden/>
    <w:rsid w:val="003C6377"/>
    <w:rPr>
      <w:rFonts w:ascii="Calibri" w:eastAsia="宋体" w:hAnsi="Calibri" w:cs="黑体"/>
      <w:b/>
      <w:bCs/>
      <w:sz w:val="32"/>
      <w:szCs w:val="32"/>
    </w:rPr>
  </w:style>
  <w:style w:type="character" w:customStyle="1" w:styleId="3Char">
    <w:name w:val="标题 3 Char"/>
    <w:basedOn w:val="a0"/>
    <w:link w:val="3"/>
    <w:semiHidden/>
    <w:rsid w:val="003C6377"/>
    <w:rPr>
      <w:rFonts w:ascii="Times New Roman" w:eastAsia="宋体" w:hAnsi="Times New Roman" w:cs="Times New Roman"/>
      <w:b/>
      <w:bCs/>
      <w:sz w:val="32"/>
      <w:szCs w:val="32"/>
    </w:rPr>
  </w:style>
  <w:style w:type="character" w:customStyle="1" w:styleId="4Char">
    <w:name w:val="标题 4 Char"/>
    <w:basedOn w:val="a0"/>
    <w:link w:val="4"/>
    <w:semiHidden/>
    <w:rsid w:val="003C6377"/>
    <w:rPr>
      <w:rFonts w:ascii="Calibri" w:eastAsia="宋体" w:hAnsi="Calibri" w:cs="黑体"/>
      <w:b/>
      <w:bCs/>
      <w:sz w:val="28"/>
      <w:szCs w:val="28"/>
    </w:rPr>
  </w:style>
  <w:style w:type="character" w:customStyle="1" w:styleId="Char3">
    <w:name w:val="批注框文本 Char"/>
    <w:basedOn w:val="a0"/>
    <w:link w:val="10"/>
    <w:semiHidden/>
    <w:rsid w:val="003C6377"/>
    <w:rPr>
      <w:rFonts w:ascii="Times New Roman" w:eastAsia="宋体" w:hAnsi="Times New Roman" w:cs="Times New Roman"/>
      <w:sz w:val="18"/>
      <w:szCs w:val="18"/>
    </w:rPr>
  </w:style>
  <w:style w:type="paragraph" w:customStyle="1" w:styleId="10">
    <w:name w:val="批注框文本1"/>
    <w:basedOn w:val="a"/>
    <w:link w:val="Char3"/>
    <w:rsid w:val="003C6377"/>
    <w:rPr>
      <w:sz w:val="18"/>
      <w:szCs w:val="18"/>
    </w:rPr>
  </w:style>
  <w:style w:type="character" w:customStyle="1" w:styleId="Char">
    <w:name w:val="页脚 Char"/>
    <w:basedOn w:val="a0"/>
    <w:link w:val="a3"/>
    <w:semiHidden/>
    <w:rsid w:val="003C6377"/>
    <w:rPr>
      <w:sz w:val="18"/>
      <w:szCs w:val="18"/>
    </w:rPr>
  </w:style>
  <w:style w:type="character" w:customStyle="1" w:styleId="Char0">
    <w:name w:val="页眉 Char"/>
    <w:basedOn w:val="a0"/>
    <w:link w:val="a4"/>
    <w:semiHidden/>
    <w:rsid w:val="003C6377"/>
    <w:rPr>
      <w:sz w:val="18"/>
      <w:szCs w:val="18"/>
    </w:rPr>
  </w:style>
  <w:style w:type="character" w:customStyle="1" w:styleId="Char1">
    <w:name w:val="副标题 Char"/>
    <w:basedOn w:val="a0"/>
    <w:link w:val="a5"/>
    <w:semiHidden/>
    <w:rsid w:val="003C6377"/>
    <w:rPr>
      <w:rFonts w:ascii="Calibri" w:eastAsia="宋体" w:hAnsi="Calibri" w:cs="黑体"/>
      <w:i/>
      <w:iCs/>
      <w:color w:val="F0A22E"/>
      <w:spacing w:val="15"/>
      <w:kern w:val="0"/>
      <w:sz w:val="24"/>
      <w:szCs w:val="24"/>
    </w:rPr>
  </w:style>
  <w:style w:type="character" w:customStyle="1" w:styleId="Char2">
    <w:name w:val="标题 Char"/>
    <w:basedOn w:val="a0"/>
    <w:link w:val="a6"/>
    <w:semiHidden/>
    <w:rsid w:val="003C6377"/>
    <w:rPr>
      <w:rFonts w:ascii="Calibri" w:eastAsia="宋体" w:hAnsi="Calibri" w:cs="黑体"/>
      <w:color w:val="392B23"/>
      <w:spacing w:val="5"/>
      <w:kern w:val="28"/>
      <w:sz w:val="52"/>
      <w:szCs w:val="52"/>
    </w:rPr>
  </w:style>
  <w:style w:type="paragraph" w:customStyle="1" w:styleId="11">
    <w:name w:val="普通(网站)1"/>
    <w:basedOn w:val="a"/>
    <w:rsid w:val="003C6377"/>
    <w:pPr>
      <w:spacing w:beforeAutospacing="1" w:after="0" w:afterAutospacing="1"/>
      <w:jc w:val="left"/>
    </w:pPr>
    <w:rPr>
      <w:kern w:val="0"/>
      <w:sz w:val="24"/>
    </w:rPr>
  </w:style>
  <w:style w:type="paragraph" w:customStyle="1" w:styleId="12">
    <w:name w:val="无间隔1"/>
    <w:link w:val="Char4"/>
    <w:rsid w:val="003C6377"/>
    <w:pPr>
      <w:spacing w:after="160" w:line="480" w:lineRule="auto"/>
    </w:pPr>
    <w:rPr>
      <w:sz w:val="22"/>
    </w:rPr>
  </w:style>
  <w:style w:type="character" w:customStyle="1" w:styleId="Char4">
    <w:name w:val="无间隔 Char"/>
    <w:basedOn w:val="a0"/>
    <w:link w:val="12"/>
    <w:semiHidden/>
    <w:rsid w:val="003C6377"/>
    <w:rPr>
      <w:kern w:val="0"/>
      <w:sz w:val="22"/>
    </w:rPr>
  </w:style>
  <w:style w:type="character" w:customStyle="1" w:styleId="Style1">
    <w:name w:val="Style1"/>
    <w:basedOn w:val="a0"/>
    <w:rsid w:val="003C6377"/>
    <w:rPr>
      <w:rFonts w:ascii="Cambria" w:eastAsia="黑体" w:hAnsi="黑体" w:cs="黑体"/>
      <w:sz w:val="22"/>
      <w:szCs w:val="22"/>
      <w:lang w:eastAsia="zh-CN"/>
    </w:rPr>
  </w:style>
  <w:style w:type="character" w:customStyle="1" w:styleId="Style2">
    <w:name w:val="Style2"/>
    <w:basedOn w:val="a0"/>
    <w:rsid w:val="003C6377"/>
    <w:rPr>
      <w:rFonts w:ascii="Cambria" w:eastAsia="黑体" w:hAnsi="黑体" w:cs="黑体"/>
      <w:sz w:val="22"/>
      <w:szCs w:val="22"/>
      <w:lang w:eastAsia="zh-CN"/>
    </w:rPr>
  </w:style>
  <w:style w:type="character" w:customStyle="1" w:styleId="Style3">
    <w:name w:val="Style3"/>
    <w:basedOn w:val="a0"/>
    <w:rsid w:val="003C6377"/>
    <w:rPr>
      <w:rFonts w:ascii="Cambria" w:eastAsia="黑体" w:hAnsi="黑体" w:cs="黑体"/>
      <w:szCs w:val="22"/>
      <w:lang w:eastAsia="zh-CN"/>
    </w:rPr>
  </w:style>
  <w:style w:type="character" w:customStyle="1" w:styleId="Style4">
    <w:name w:val="Style4"/>
    <w:basedOn w:val="a0"/>
    <w:rsid w:val="003C6377"/>
    <w:rPr>
      <w:rFonts w:ascii="Cambria" w:eastAsia="黑体" w:hAnsi="黑体" w:cs="黑体"/>
      <w:szCs w:val="22"/>
      <w:lang w:eastAsia="zh-CN"/>
    </w:rPr>
  </w:style>
  <w:style w:type="character" w:customStyle="1" w:styleId="Style5">
    <w:name w:val="Style5"/>
    <w:basedOn w:val="a0"/>
    <w:rsid w:val="003C6377"/>
    <w:rPr>
      <w:rFonts w:ascii="Cambria" w:eastAsia="黑体" w:hAnsi="黑体" w:cs="黑体"/>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14</Pages>
  <Words>686</Words>
  <Characters>3914</Characters>
  <Application>Microsoft Office Word</Application>
  <DocSecurity>0</DocSecurity>
  <Lines>32</Lines>
  <Paragraphs>9</Paragraphs>
  <ScaleCrop>false</ScaleCrop>
  <Company>Microsoft</Company>
  <LinksUpToDate>false</LinksUpToDate>
  <CharactersWithSpaces>4591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Administrator</dc:title>
  <dc:subject>石家庄市xxx部门</dc:subject>
  <dc:creator>User</dc:creator>
  <cp:lastModifiedBy>Windows User</cp:lastModifiedBy>
  <cp:revision>5</cp:revision>
  <dcterms:created xsi:type="dcterms:W3CDTF">2018-08-30T00:38:00Z</dcterms:created>
  <dcterms:modified xsi:type="dcterms:W3CDTF">2019-03-18T06:30:00Z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