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无极县文化广电新闻出版局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w:t>
      </w:r>
      <w:r>
        <w:rPr>
          <w:rFonts w:hint="eastAsia" w:eastAsia="黑体"/>
          <w:sz w:val="32"/>
          <w:szCs w:val="32"/>
        </w:rPr>
        <w:t>无极县文广新局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rPr>
        <w:t>无极县文广新局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w:t>
      </w:r>
      <w:r>
        <w:rPr>
          <w:rFonts w:hint="eastAsia" w:eastAsia="黑体"/>
          <w:sz w:val="32"/>
          <w:szCs w:val="32"/>
        </w:rPr>
        <w:t>无极县文广新局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640"/>
        <w:rPr>
          <w:rFonts w:ascii="仿宋" w:hAnsi="仿宋" w:eastAsia="仿宋" w:cs="仿宋"/>
          <w:sz w:val="32"/>
          <w:szCs w:val="32"/>
        </w:rPr>
      </w:pPr>
      <w:r>
        <w:rPr>
          <w:rFonts w:hint="eastAsia" w:ascii="仿宋" w:hAnsi="仿宋" w:eastAsia="仿宋" w:cs="仿宋"/>
          <w:sz w:val="32"/>
          <w:szCs w:val="32"/>
        </w:rPr>
        <w:t>（一）贯彻执行党和国家关于文化、广播电影电视、新闻出版、版权、文物、文化艺术等方面的方针、政策、法律法规；拟定全县文化、广播电影电视、新闻出版、版权、文物、文化艺术等事业发展规划，并组织实施。</w:t>
      </w:r>
    </w:p>
    <w:p>
      <w:pPr>
        <w:ind w:firstLine="640"/>
        <w:rPr>
          <w:rFonts w:ascii="仿宋" w:hAnsi="仿宋" w:eastAsia="仿宋" w:cs="仿宋"/>
          <w:sz w:val="32"/>
          <w:szCs w:val="32"/>
        </w:rPr>
      </w:pPr>
      <w:r>
        <w:rPr>
          <w:rFonts w:hint="eastAsia" w:ascii="仿宋" w:hAnsi="仿宋" w:eastAsia="仿宋" w:cs="仿宋"/>
          <w:sz w:val="32"/>
          <w:szCs w:val="32"/>
        </w:rPr>
        <w:t xml:space="preserve"> （二）、指导、管理全县社会文化事业，指导图书馆、文化馆(站）事业和基层文化建设；指导艺术创作与生产，推动各门类艺术发展，管理全县性重大文化活动；参与调节地方文化、文物资源的开发和利用，支持社会力量兴办各类文化事业促进文化产业发展。</w:t>
      </w:r>
    </w:p>
    <w:p>
      <w:pPr>
        <w:ind w:firstLine="640"/>
        <w:rPr>
          <w:rFonts w:ascii="仿宋" w:hAnsi="仿宋" w:eastAsia="仿宋" w:cs="仿宋"/>
          <w:sz w:val="32"/>
          <w:szCs w:val="32"/>
        </w:rPr>
      </w:pPr>
      <w:r>
        <w:rPr>
          <w:rFonts w:hint="eastAsia" w:ascii="仿宋" w:hAnsi="仿宋" w:eastAsia="仿宋" w:cs="仿宋"/>
          <w:sz w:val="32"/>
          <w:szCs w:val="32"/>
        </w:rPr>
        <w:t xml:space="preserve"> （三）负责全县公共文化服务体系建设，规划、引导公共文化产品生产；指导全县文化设施建设和基层文化活动。</w:t>
      </w:r>
    </w:p>
    <w:p>
      <w:pPr>
        <w:ind w:firstLine="640"/>
        <w:rPr>
          <w:rFonts w:ascii="仿宋" w:hAnsi="仿宋" w:eastAsia="仿宋" w:cs="仿宋"/>
          <w:sz w:val="32"/>
          <w:szCs w:val="32"/>
        </w:rPr>
      </w:pPr>
      <w:r>
        <w:rPr>
          <w:rFonts w:hint="eastAsia" w:ascii="仿宋" w:hAnsi="仿宋" w:eastAsia="仿宋" w:cs="仿宋"/>
          <w:sz w:val="32"/>
          <w:szCs w:val="32"/>
        </w:rPr>
        <w:t>（四）、指导和管理文物，负责文物管理、保护、抢救、考古发掘和开放利用等工作。</w:t>
      </w:r>
    </w:p>
    <w:p>
      <w:pPr>
        <w:ind w:firstLine="640"/>
        <w:rPr>
          <w:rFonts w:ascii="仿宋" w:hAnsi="仿宋" w:eastAsia="仿宋" w:cs="仿宋"/>
          <w:sz w:val="32"/>
          <w:szCs w:val="32"/>
        </w:rPr>
      </w:pPr>
      <w:r>
        <w:rPr>
          <w:rFonts w:hint="eastAsia" w:ascii="仿宋" w:hAnsi="仿宋" w:eastAsia="仿宋" w:cs="仿宋"/>
          <w:sz w:val="32"/>
          <w:szCs w:val="32"/>
        </w:rPr>
        <w:t>（五）、指导和管理广播电影电视事业，指导广播电视宣传、广播影视创作；监督管理广播电视节目、卫星电视节目和通过信息网络向公共传播电视类节目。</w:t>
      </w:r>
    </w:p>
    <w:p>
      <w:pPr>
        <w:ind w:firstLine="640"/>
        <w:rPr>
          <w:rFonts w:ascii="仿宋" w:hAnsi="仿宋" w:eastAsia="仿宋" w:cs="仿宋"/>
          <w:sz w:val="32"/>
          <w:szCs w:val="32"/>
        </w:rPr>
      </w:pPr>
      <w:r>
        <w:rPr>
          <w:rFonts w:hint="eastAsia" w:ascii="仿宋" w:hAnsi="仿宋" w:eastAsia="仿宋" w:cs="仿宋"/>
          <w:sz w:val="32"/>
          <w:szCs w:val="32"/>
        </w:rPr>
        <w:t>（六）、指导广播电视科技工作，拟定有关技术政策和标准；指导广播电视新技术的推广应用；审批公用天线系统和有线广播电视工程的设计、建设和安装业务。</w:t>
      </w:r>
    </w:p>
    <w:p>
      <w:pPr>
        <w:ind w:firstLine="640"/>
        <w:rPr>
          <w:rFonts w:ascii="仿宋" w:hAnsi="仿宋" w:eastAsia="仿宋" w:cs="仿宋"/>
          <w:sz w:val="32"/>
          <w:szCs w:val="32"/>
        </w:rPr>
      </w:pPr>
      <w:r>
        <w:rPr>
          <w:rFonts w:hint="eastAsia" w:ascii="仿宋" w:hAnsi="仿宋" w:eastAsia="仿宋" w:cs="仿宋"/>
          <w:sz w:val="32"/>
          <w:szCs w:val="32"/>
        </w:rPr>
        <w:t>（七）、管理新闻出版行业，负责新闻出版单位的审核、审批，依法进行行业监管；负责对出版物内容的监督管理；负责印刷发行行业的监督管理；负责对互联网出版活动和开办手机书刊、手机文字业务的审核和监管；负责查处新闻违法活动；负责著作侵权创造、利用、保护和管理工作，组织查处著作侵权案件。</w:t>
      </w:r>
    </w:p>
    <w:p>
      <w:pPr>
        <w:ind w:firstLine="640"/>
        <w:rPr>
          <w:rFonts w:ascii="仿宋" w:hAnsi="仿宋" w:eastAsia="仿宋" w:cs="仿宋"/>
          <w:sz w:val="32"/>
          <w:szCs w:val="32"/>
        </w:rPr>
      </w:pPr>
      <w:r>
        <w:rPr>
          <w:rFonts w:hint="eastAsia" w:ascii="仿宋" w:hAnsi="仿宋" w:eastAsia="仿宋" w:cs="仿宋"/>
          <w:sz w:val="32"/>
          <w:szCs w:val="32"/>
        </w:rPr>
        <w:t>（八）、拟定非物质文化遗产保护规划，组织实施非物质文化遗产保护和优秀民族文化传承普及工作。</w:t>
      </w:r>
    </w:p>
    <w:p>
      <w:pPr>
        <w:ind w:firstLine="640"/>
        <w:rPr>
          <w:rFonts w:ascii="仿宋" w:hAnsi="仿宋" w:eastAsia="仿宋" w:cs="仿宋"/>
          <w:sz w:val="32"/>
          <w:szCs w:val="32"/>
        </w:rPr>
      </w:pPr>
      <w:r>
        <w:rPr>
          <w:rFonts w:hint="eastAsia" w:ascii="仿宋" w:hAnsi="仿宋" w:eastAsia="仿宋" w:cs="仿宋"/>
          <w:sz w:val="32"/>
          <w:szCs w:val="32"/>
        </w:rPr>
        <w:t>（九）、拟定文化市场发展规划，指导文化市场综合执法工作，负责对文化经营活动进行行业监管，负责对从事演艺和出版活动的民办机构的监管工作。</w:t>
      </w:r>
    </w:p>
    <w:p>
      <w:pPr>
        <w:ind w:firstLine="640"/>
        <w:rPr>
          <w:rFonts w:ascii="仿宋" w:hAnsi="仿宋" w:eastAsia="仿宋" w:cs="仿宋"/>
          <w:sz w:val="32"/>
          <w:szCs w:val="32"/>
        </w:rPr>
      </w:pPr>
      <w:r>
        <w:rPr>
          <w:rFonts w:hint="eastAsia" w:ascii="仿宋" w:hAnsi="仿宋" w:eastAsia="仿宋" w:cs="仿宋"/>
          <w:sz w:val="32"/>
          <w:szCs w:val="32"/>
        </w:rPr>
        <w:t>（十）、负责文艺类产品网上传播的前置审核工作；负责对网吧与互联网上服务营业场所实行经营许可证管理，对网络游戏服务进行网上前置审核和日常监管。</w:t>
      </w:r>
    </w:p>
    <w:p>
      <w:pPr>
        <w:ind w:firstLine="640"/>
        <w:rPr>
          <w:rFonts w:ascii="仿宋" w:hAnsi="仿宋" w:eastAsia="仿宋" w:cs="仿宋"/>
          <w:sz w:val="32"/>
          <w:szCs w:val="32"/>
        </w:rPr>
      </w:pPr>
      <w:r>
        <w:rPr>
          <w:rFonts w:hint="eastAsia" w:ascii="仿宋" w:hAnsi="仿宋" w:eastAsia="仿宋" w:cs="仿宋"/>
          <w:sz w:val="32"/>
          <w:szCs w:val="32"/>
        </w:rPr>
        <w:t>（十一）、指导、管理对外文化交流和宣传工作，贯彻落实对外及港澳台的文化交流政策，组织实施对外文化交流活动。</w:t>
      </w:r>
    </w:p>
    <w:p>
      <w:pPr>
        <w:ind w:firstLine="640"/>
        <w:rPr>
          <w:rFonts w:ascii="仿宋" w:hAnsi="仿宋" w:eastAsia="仿宋" w:cs="仿宋"/>
          <w:sz w:val="32"/>
          <w:szCs w:val="32"/>
        </w:rPr>
      </w:pPr>
      <w:r>
        <w:rPr>
          <w:rFonts w:hint="eastAsia" w:ascii="仿宋" w:hAnsi="仿宋" w:eastAsia="仿宋" w:cs="仿宋"/>
          <w:sz w:val="32"/>
          <w:szCs w:val="32"/>
        </w:rPr>
        <w:t>（十二）、负责制定动漫、游戏产业发展规划、组织实施和发展的指导、协调。</w:t>
      </w:r>
    </w:p>
    <w:p>
      <w:pPr>
        <w:ind w:firstLine="640"/>
        <w:rPr>
          <w:rFonts w:ascii="仿宋" w:hAnsi="仿宋" w:eastAsia="仿宋" w:cs="仿宋"/>
          <w:sz w:val="32"/>
          <w:szCs w:val="32"/>
        </w:rPr>
      </w:pPr>
      <w:r>
        <w:rPr>
          <w:rFonts w:hint="eastAsia" w:ascii="仿宋" w:hAnsi="仿宋" w:eastAsia="仿宋" w:cs="仿宋"/>
          <w:sz w:val="32"/>
          <w:szCs w:val="32"/>
        </w:rPr>
        <w:t>（十三）、指导、管理文化系统社会团体工作。</w:t>
      </w:r>
    </w:p>
    <w:p>
      <w:pPr>
        <w:ind w:firstLine="640"/>
        <w:rPr>
          <w:rFonts w:ascii="仿宋" w:hAnsi="仿宋" w:eastAsia="仿宋" w:cs="仿宋"/>
          <w:sz w:val="32"/>
          <w:szCs w:val="32"/>
        </w:rPr>
      </w:pPr>
      <w:r>
        <w:rPr>
          <w:rFonts w:hint="eastAsia" w:ascii="仿宋" w:hAnsi="仿宋" w:eastAsia="仿宋" w:cs="仿宋"/>
          <w:sz w:val="32"/>
          <w:szCs w:val="32"/>
        </w:rPr>
        <w:t>（十四）、监管指导文化市场综合执法大队，依法加强对文化市场的监督检查，对违法违规行为进行处罚；组织协调文化市场的整治行动。</w:t>
      </w:r>
    </w:p>
    <w:p>
      <w:pPr>
        <w:ind w:firstLine="640"/>
        <w:rPr>
          <w:rFonts w:ascii="仿宋" w:hAnsi="仿宋" w:eastAsia="仿宋" w:cs="仿宋"/>
          <w:sz w:val="32"/>
          <w:szCs w:val="32"/>
        </w:rPr>
      </w:pPr>
      <w:r>
        <w:rPr>
          <w:rFonts w:hint="eastAsia" w:ascii="仿宋" w:hAnsi="仿宋" w:eastAsia="仿宋" w:cs="仿宋"/>
          <w:sz w:val="32"/>
          <w:szCs w:val="32"/>
        </w:rPr>
        <w:t>（十五）、承担扫黄打非工作领导小组办公室日常工作，组织协调扫黄打非工作。</w:t>
      </w:r>
    </w:p>
    <w:p>
      <w:pPr>
        <w:ind w:firstLine="832" w:firstLineChars="260"/>
        <w:jc w:val="left"/>
        <w:outlineLvl w:val="0"/>
        <w:rPr>
          <w:rFonts w:ascii="仿宋" w:hAnsi="仿宋" w:eastAsia="仿宋" w:cs="仿宋"/>
          <w:sz w:val="32"/>
          <w:szCs w:val="32"/>
        </w:rPr>
      </w:pPr>
      <w:r>
        <w:rPr>
          <w:rFonts w:hint="eastAsia" w:ascii="仿宋" w:hAnsi="仿宋" w:eastAsia="仿宋" w:cs="仿宋"/>
          <w:sz w:val="32"/>
          <w:szCs w:val="32"/>
        </w:rPr>
        <w:t xml:space="preserve"> （十六）、承办县政府交办的其他事项。</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960" w:firstLineChars="3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（以下简称“单位”）共 5个，分别是无极县文化广电新闻出版局、无极县图书馆、无极县美术馆、无极县文化馆、无极县文化市场执法大队 ，单位基本性质为参公事业单位，预算管理级次为一级预算单位，执行事业单位会计制度，较上年无增减变化，无增减单位。</w:t>
      </w:r>
    </w:p>
    <w:p>
      <w:pPr>
        <w:spacing w:after="0" w:line="560" w:lineRule="exact"/>
        <w:rPr>
          <w:rFonts w:ascii="仿宋_GB2312" w:hAnsi="Cambria" w:eastAsia="仿宋_GB2312" w:cs="ArialUnicodeMS"/>
          <w:kern w:val="0"/>
          <w:sz w:val="32"/>
          <w:szCs w:val="32"/>
        </w:rPr>
      </w:pPr>
    </w:p>
    <w:p>
      <w:pPr>
        <w:widowControl/>
        <w:spacing w:line="560" w:lineRule="exact"/>
        <w:jc w:val="both"/>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numPr>
          <w:ilvl w:val="0"/>
          <w:numId w:val="1"/>
        </w:numPr>
        <w:spacing w:line="560" w:lineRule="exact"/>
        <w:jc w:val="center"/>
        <w:rPr>
          <w:rFonts w:ascii="宋体" w:hAnsi="宋体" w:cs="ArialUnicodeMS"/>
          <w:color w:val="000000"/>
          <w:kern w:val="0"/>
        </w:rPr>
      </w:pPr>
      <w:r>
        <w:rPr>
          <w:rFonts w:hint="eastAsia" w:ascii="宋体" w:hAnsi="宋体" w:cs="ArialUnicodeMS"/>
          <w:color w:val="000000"/>
          <w:kern w:val="0"/>
        </w:rPr>
        <w:t>无极县文化广电新闻出版局2017年度部门决算报表</w:t>
      </w:r>
    </w:p>
    <w:p>
      <w:pPr>
        <w:jc w:val="center"/>
        <w:rPr>
          <w:rFonts w:ascii="黑体" w:hAnsi="黑体" w:eastAsia="黑体" w:cs="黑体"/>
          <w:b/>
          <w:sz w:val="32"/>
          <w:szCs w:val="32"/>
        </w:rPr>
      </w:pPr>
      <w:r>
        <w:rPr>
          <w:rFonts w:hint="eastAsia" w:ascii="黑体" w:hAnsi="黑体" w:eastAsia="黑体" w:cs="黑体"/>
          <w:b/>
          <w:sz w:val="36"/>
          <w:szCs w:val="36"/>
        </w:rPr>
        <w:t>（详见附件）</w:t>
      </w:r>
    </w:p>
    <w:p>
      <w:pPr>
        <w:ind w:firstLine="643"/>
        <w:jc w:val="left"/>
        <w:rPr>
          <w:rFonts w:hint="eastAsia" w:ascii="仿宋" w:hAnsi="仿宋" w:eastAsia="仿宋" w:cs="仿宋"/>
          <w:b w:val="0"/>
          <w:bCs/>
          <w:sz w:val="32"/>
          <w:szCs w:val="32"/>
        </w:rPr>
      </w:pPr>
      <w:r>
        <w:rPr>
          <w:rFonts w:hint="eastAsia" w:ascii="仿宋" w:hAnsi="仿宋" w:eastAsia="仿宋" w:cs="仿宋"/>
          <w:b w:val="0"/>
          <w:bCs/>
          <w:sz w:val="32"/>
          <w:szCs w:val="32"/>
        </w:rPr>
        <w:t>一、收入支出决算总表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二、收入决算表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 xml:space="preserve">三、支出决算表 </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四、财政拨款收入支出决算总表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五、一般公共预算财政拨款支出决算表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六、一般公共预算财政拨款基本支出决算表</w:t>
      </w:r>
    </w:p>
    <w:p>
      <w:pPr>
        <w:ind w:firstLine="622"/>
        <w:rPr>
          <w:rFonts w:hint="eastAsia" w:ascii="仿宋" w:hAnsi="仿宋" w:eastAsia="仿宋" w:cs="仿宋"/>
          <w:b w:val="0"/>
          <w:bCs/>
          <w:sz w:val="32"/>
          <w:szCs w:val="32"/>
        </w:rPr>
      </w:pPr>
      <w:r>
        <w:rPr>
          <w:rFonts w:hint="eastAsia" w:ascii="仿宋" w:hAnsi="仿宋" w:eastAsia="仿宋" w:cs="仿宋"/>
          <w:b w:val="0"/>
          <w:bCs/>
          <w:sz w:val="32"/>
          <w:szCs w:val="32"/>
        </w:rPr>
        <w:t>七、政府性基金预算财政拨款收入支出决算表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八、国有资本经营预算财政拨款收入支出决算表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九、“三公”经费及相关信息统计表</w:t>
      </w:r>
    </w:p>
    <w:p>
      <w:pPr>
        <w:ind w:firstLine="643"/>
        <w:rPr>
          <w:rFonts w:hint="eastAsia" w:ascii="仿宋" w:hAnsi="仿宋" w:eastAsia="仿宋" w:cs="仿宋"/>
          <w:b w:val="0"/>
          <w:bCs/>
          <w:sz w:val="32"/>
          <w:szCs w:val="32"/>
        </w:rPr>
      </w:pPr>
      <w:r>
        <w:rPr>
          <w:rFonts w:hint="eastAsia" w:ascii="仿宋" w:hAnsi="仿宋" w:eastAsia="仿宋" w:cs="仿宋"/>
          <w:b w:val="0"/>
          <w:bCs/>
          <w:sz w:val="32"/>
          <w:szCs w:val="32"/>
        </w:rPr>
        <w:t>十、政府采购情况表</w:t>
      </w:r>
    </w:p>
    <w:p>
      <w:pPr>
        <w:widowControl/>
        <w:spacing w:after="0" w:line="560" w:lineRule="exact"/>
        <w:ind w:firstLine="420" w:firstLineChars="200"/>
        <w:jc w:val="left"/>
        <w:sectPr>
          <w:pgSz w:w="11906" w:h="16838"/>
          <w:pgMar w:top="2098" w:right="1474" w:bottom="1985" w:left="1588" w:header="851" w:footer="992" w:gutter="0"/>
          <w:pgNumType w:start="0"/>
          <w:cols w:space="720" w:num="1"/>
          <w:titlePg/>
          <w:docGrid w:type="lines" w:linePitch="312" w:charSpace="0"/>
        </w:sectPr>
      </w:pPr>
    </w:p>
    <w:p>
      <w:pPr>
        <w:pStyle w:val="2"/>
        <w:spacing w:line="560" w:lineRule="exact"/>
        <w:ind w:firstLine="1316" w:firstLineChars="298"/>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本部门2017年度年初结转和结余34.54万元，本年收入1165.14万元；本年支出1134.19万元、年末结转和结余65.5万元。与2016年度决算相比，本年收入增加226.22万元，增长19.4%，主要是</w:t>
      </w:r>
      <w:r>
        <w:rPr>
          <w:rFonts w:hint="eastAsia" w:ascii="仿宋" w:hAnsi="仿宋" w:eastAsia="仿宋" w:cs="仿宋"/>
          <w:sz w:val="32"/>
          <w:szCs w:val="32"/>
        </w:rPr>
        <w:t>人员工资调资、项目支出增加</w:t>
      </w:r>
      <w:r>
        <w:rPr>
          <w:rFonts w:hint="eastAsia" w:ascii="仿宋_GB2312" w:eastAsia="仿宋_GB2312" w:cs="DengXian-Regular"/>
          <w:sz w:val="32"/>
          <w:szCs w:val="32"/>
        </w:rPr>
        <w:t>；本年支出增加229.82万元，增长20.3%，主要是</w:t>
      </w:r>
      <w:r>
        <w:rPr>
          <w:rFonts w:hint="eastAsia" w:ascii="仿宋" w:hAnsi="仿宋" w:eastAsia="仿宋" w:cs="仿宋"/>
          <w:sz w:val="32"/>
          <w:szCs w:val="32"/>
        </w:rPr>
        <w:t>人员工资调资、项目支出增加</w:t>
      </w:r>
      <w:r>
        <w:rPr>
          <w:rFonts w:hint="eastAsia" w:ascii="仿宋_GB2312" w:eastAsia="仿宋_GB2312" w:cs="DengXian-Regular"/>
          <w:sz w:val="32"/>
          <w:szCs w:val="32"/>
        </w:rPr>
        <w:t>。</w:t>
      </w:r>
    </w:p>
    <w:p>
      <w:pPr>
        <w:pStyle w:val="3"/>
        <w:spacing w:before="0" w:after="0" w:line="560" w:lineRule="exact"/>
        <w:ind w:firstLine="321" w:firstLineChars="1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本部门2017年度本年收入合计1165.14万元，其中：财政拨款收入953.44万元，占82%；其他收入211.7万元，占12%。</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5" o:spt="75" type="#_x0000_t75" style="height:217.95pt;width:361.95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adjustRightInd w:val="0"/>
        <w:snapToGrid w:val="0"/>
        <w:spacing w:line="560" w:lineRule="exact"/>
        <w:ind w:firstLine="320" w:firstLineChars="100"/>
        <w:rPr>
          <w:rFonts w:ascii="黑体" w:eastAsia="黑体"/>
          <w:sz w:val="32"/>
          <w:szCs w:val="32"/>
        </w:rPr>
      </w:pPr>
      <w:r>
        <w:rPr>
          <w:rFonts w:hint="eastAsia" w:ascii="黑体" w:eastAsia="黑体"/>
          <w:sz w:val="32"/>
          <w:szCs w:val="32"/>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本部门2017年度本年支出合计1134.19万元，其中：基本支出452.59万元，占39.9%；项目支出681.6万元，占60.1%；</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rPr>
          <w:rFonts w:ascii="Times New Roman" w:hAnsi="Times New Roman" w:eastAsia="宋体" w:cs="Times New Roman"/>
          <w:kern w:val="2"/>
          <w:sz w:val="21"/>
          <w:szCs w:val="24"/>
          <w:lang w:val="en-US" w:eastAsia="zh-CN" w:bidi="ar-SA"/>
        </w:rPr>
        <w:pict>
          <v:shape id="_x0000_i1026" o:spt="75" type="#_x0000_t75" style="height:217.95pt;width:361.95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321" w:firstLineChars="1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年初结转和结余32.24万元、本年收入953.44万元；本年支出929.19万元、年末结转和结余56.49万元。与2016年度决算相比，财政拨款本年收入增加76.3万元，增长0.08%，主要是项目收入增加；本年支出增加84.29万元，0.09%，主要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32.24万元、本年收入890.44万元；本年支出866.19万元、年末结转和结余56.49万元。与2016年度决算相比，一般公共预算财政拨款本年收入增加138.3万元，增长0.18%，主要是人员工资和项目收入的增加；本年支出增加142.29万元，增长0.16%，主要是人员工资和项目支出的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0万元、本年收入63万元；本年支出63万元、年末结转和结余0万元。与2016年度决算相比，政府性基金预算财政拨款本年收入增减少58万元，降低0.48%，主要是项目收入的减少；本年支出减少58万元，降低0.48%，主要是项目支出的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本部门2017年度财政拨款本年收入较2017年初预算增加90.9万元，增长0.1%，主要是人员工资和项目收入的增加；本年支出增加66.65万元，增长0.07%，主要是人员工资和项目支出的增加。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其中，本部门2017年度一般公共预算财政拨款本年收入较2017年初预算增加87.91万元，增长0.1%，主要是人员工资和项目收入的增加；本年支出增加63.66万元，增长0.07%，主要是人员工资和项目支出的增加。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本部门2017年度政府性基金预算财政拨款本年收入较2017年初预算增加3万元，增长0.05%，主要是项目收入的增加；本年支出增加3万元，增长0.05%，主要是项目支出的增加。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本部门2017年度“三公”经费支出共计0万元，较年初预算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主要是未发生三公经费；较2016年度决算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主要是未发生三公经费。具体情况如下：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w:t>
      </w:r>
      <w:r>
        <w:rPr>
          <w:rFonts w:hint="eastAsia" w:ascii="仿宋_GB2312" w:eastAsia="仿宋_GB2312" w:cs="DengXian-Regular"/>
          <w:sz w:val="32"/>
          <w:szCs w:val="32"/>
          <w:lang w:eastAsia="zh-CN"/>
        </w:rPr>
        <w:t>无变化</w:t>
      </w:r>
      <w:r>
        <w:rPr>
          <w:rFonts w:hint="eastAsia" w:ascii="仿宋_GB2312" w:eastAsia="仿宋_GB2312" w:cs="DengXian-Regular"/>
          <w:sz w:val="32"/>
          <w:szCs w:val="32"/>
        </w:rPr>
        <w:t>，主要是未发生因公出国费用；较2016年度决算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，主要是未发生因公出国费用。</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本部门2017年度公务用车购置及运行维护费较年初预算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1辆</w:t>
      </w:r>
      <w:r>
        <w:rPr>
          <w:rFonts w:hint="eastAsia" w:ascii="仿宋_GB2312" w:eastAsia="仿宋_GB2312" w:cs="DengXian-Regular"/>
          <w:sz w:val="32"/>
          <w:szCs w:val="32"/>
        </w:rPr>
        <w:t>公务用车</w:t>
      </w:r>
      <w:r>
        <w:rPr>
          <w:rFonts w:hint="eastAsia" w:ascii="仿宋_GB2312" w:eastAsia="仿宋_GB2312" w:cs="DengXian-Regular"/>
          <w:sz w:val="32"/>
          <w:szCs w:val="32"/>
          <w:lang w:eastAsia="zh-CN"/>
        </w:rPr>
        <w:t>到了黄标年限，未发生运行维护费支出。</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辆，发生“公务用车购置”经费支出0万元。公务用车购置费支出较年</w:t>
      </w:r>
      <w:r>
        <w:rPr>
          <w:rFonts w:hint="eastAsia" w:ascii="仿宋_GB2312" w:eastAsia="仿宋_GB2312" w:cs="DengXian-Regular"/>
          <w:sz w:val="32"/>
          <w:szCs w:val="32"/>
          <w:lang w:eastAsia="zh-CN"/>
        </w:rPr>
        <w:t>初预算无增减变化</w:t>
      </w:r>
      <w:r>
        <w:rPr>
          <w:rFonts w:hint="eastAsia" w:ascii="仿宋_GB2312" w:eastAsia="仿宋_GB2312" w:cs="DengXian-Regular"/>
          <w:sz w:val="32"/>
          <w:szCs w:val="32"/>
        </w:rPr>
        <w:t>，主要是无购置公务用车；较2016年度决算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，主要是无购置公务用车。</w:t>
      </w:r>
    </w:p>
    <w:p>
      <w:pPr>
        <w:adjustRightInd w:val="0"/>
        <w:snapToGrid w:val="0"/>
        <w:spacing w:after="0" w:line="56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1辆</w:t>
      </w:r>
      <w:r>
        <w:rPr>
          <w:rFonts w:hint="eastAsia" w:ascii="仿宋_GB2312" w:eastAsia="仿宋_GB2312" w:cs="DengXian-Regular"/>
          <w:sz w:val="32"/>
          <w:szCs w:val="32"/>
        </w:rPr>
        <w:t>公务用车</w:t>
      </w:r>
      <w:r>
        <w:rPr>
          <w:rFonts w:hint="eastAsia" w:ascii="仿宋_GB2312" w:eastAsia="仿宋_GB2312" w:cs="DengXian-Regular"/>
          <w:sz w:val="32"/>
          <w:szCs w:val="32"/>
          <w:lang w:eastAsia="zh-CN"/>
        </w:rPr>
        <w:t>到了黄标年限，未发生运行维护费支出。</w:t>
      </w:r>
      <w:bookmarkStart w:id="0" w:name="_GoBack"/>
      <w:bookmarkEnd w:id="0"/>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,主要是无公务接待费用；较2016年度决算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,主要是无公务接待。</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根据预算绩效管理要求，本部门组织对2017年度项目支出全面开展绩效自评。项目支出681.6万元，其中文化体育与传媒支出475.02万元，用于体育彩票公益金支出206.58万元。自评结果为良好。</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widowControl w:val="0"/>
        <w:wordWrap/>
        <w:adjustRightInd/>
        <w:snapToGrid/>
        <w:spacing w:before="0" w:after="160" w:line="480" w:lineRule="auto"/>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sz w:val="32"/>
          <w:szCs w:val="32"/>
        </w:rPr>
        <w:t>    本部门对项目支出绩效自评：根据年初设定的绩效目标，文化体育与传媒支出项目及体育彩票公益金支出项目自评结果为良好，项目完成效果良好.</w:t>
      </w:r>
    </w:p>
    <w:p>
      <w:pPr>
        <w:rPr>
          <w:rFonts w:ascii="黑体" w:eastAsia="黑体"/>
          <w:sz w:val="32"/>
          <w:szCs w:val="32"/>
        </w:rPr>
      </w:pPr>
      <w:r>
        <w:rPr>
          <w:rFonts w:hint="eastAsia" w:ascii="黑体" w:eastAsia="黑体"/>
          <w:sz w:val="32"/>
          <w:szCs w:val="32"/>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本部门2017年度机关运行经费支出12.8万元，与上年基本持平。</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本部门2017年度政府采购支出总额145.25万元，其中：政府采购货物支出72.24万元、政府采购工程支出23.11万元、政府采购服务支出49.9万元。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截至2017年12月31日，本部门共有车辆3辆，其中，市级领导干部用车0辆、一般公务用车1辆、一般执法执勤用车1辆、特种专业技术用车0辆、其他用车1辆，其他用车主要是图书馆下乡服务；单位价值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1、本部门2017年度08表无收支及结转结余情况，故08表表以空表列示。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rPr>
          <w:rFonts w:ascii="仿宋" w:hAnsi="仿宋" w:eastAsia="仿宋" w:cs="仿宋"/>
          <w:color w:val="000000"/>
          <w:sz w:val="32"/>
          <w:szCs w:val="32"/>
        </w:rPr>
      </w:pPr>
    </w:p>
    <w:p>
      <w:pPr>
        <w:rPr>
          <w:rFonts w:ascii="仿宋" w:hAnsi="仿宋" w:eastAsia="仿宋" w:cs="仿宋"/>
          <w:color w:val="000000"/>
          <w:sz w:val="32"/>
          <w:szCs w:val="32"/>
        </w:rPr>
      </w:pPr>
    </w:p>
    <w:p>
      <w:pPr>
        <w:rPr>
          <w:rFonts w:ascii="仿宋" w:hAnsi="仿宋" w:eastAsia="仿宋" w:cs="仿宋"/>
          <w:color w:val="000000"/>
          <w:sz w:val="32"/>
          <w:szCs w:val="32"/>
        </w:rPr>
      </w:pPr>
    </w:p>
    <w:p>
      <w:pPr>
        <w:widowControl/>
        <w:spacing w:after="0" w:line="560" w:lineRule="exact"/>
        <w:rPr>
          <w:rFonts w:ascii="仿宋_GB2312" w:hAnsi="宋体" w:eastAsia="仿宋_GB2312"/>
          <w:color w:val="000000"/>
          <w:kern w:val="0"/>
          <w:sz w:val="32"/>
          <w:szCs w:val="32"/>
        </w:rPr>
      </w:pP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auto"/>
    <w:pitch w:val="default"/>
    <w:sig w:usb0="E00002FF" w:usb1="400004FF" w:usb2="00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525050DC"/>
    <w:rsid w:val="56E51E66"/>
    <w:rsid w:val="637D517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qFormat/>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qForma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qFormat/>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批注框文本 Char"/>
    <w:basedOn w:val="11"/>
    <w:link w:val="17"/>
    <w:semiHidden/>
    <w:qFormat/>
    <w:uiPriority w:val="0"/>
    <w:rPr>
      <w:rFonts w:ascii="Times New Roman" w:hAnsi="Times New Roman" w:eastAsia="宋体" w:cs="Times New Roman"/>
      <w:sz w:val="18"/>
      <w:szCs w:val="18"/>
    </w:rPr>
  </w:style>
  <w:style w:type="paragraph" w:customStyle="1" w:styleId="17">
    <w:name w:val="批注框文本1"/>
    <w:basedOn w:val="1"/>
    <w:link w:val="16"/>
    <w:qFormat/>
    <w:uiPriority w:val="0"/>
    <w:rPr>
      <w:rFonts w:ascii="Times New Roman" w:hAnsi="Times New Roman" w:eastAsia="宋体" w:cs="Times New Roman"/>
      <w:sz w:val="18"/>
      <w:szCs w:val="18"/>
    </w:rPr>
  </w:style>
  <w:style w:type="character" w:customStyle="1" w:styleId="18">
    <w:name w:val="页脚 Char"/>
    <w:basedOn w:val="11"/>
    <w:link w:val="6"/>
    <w:semiHidden/>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Normal (Web)"/>
    <w:basedOn w:val="1"/>
    <w:qFormat/>
    <w:uiPriority w:val="0"/>
    <w:pPr>
      <w:spacing w:before="120" w:after="120"/>
      <w:jc w:val="left"/>
    </w:pPr>
    <w:rPr>
      <w:kern w:val="0"/>
      <w:sz w:val="24"/>
    </w:rPr>
  </w:style>
  <w:style w:type="paragraph" w:customStyle="1" w:styleId="23">
    <w:name w:val="No Spacing"/>
    <w:link w:val="24"/>
    <w:qFormat/>
    <w:uiPriority w:val="0"/>
    <w:pPr>
      <w:spacing w:after="160" w:line="480" w:lineRule="auto"/>
    </w:pPr>
    <w:rPr>
      <w:rFonts w:ascii="Times New Roman" w:hAnsi="Times New Roman" w:eastAsia="宋体" w:cs="Times New Roman"/>
      <w:kern w:val="0"/>
      <w:sz w:val="22"/>
      <w:lang w:val="en-US" w:eastAsia="zh-CN" w:bidi="ar-SA"/>
    </w:rPr>
  </w:style>
  <w:style w:type="character" w:customStyle="1" w:styleId="24">
    <w:name w:val="无间隔 Char"/>
    <w:basedOn w:val="11"/>
    <w:link w:val="23"/>
    <w:semiHidden/>
    <w:qFormat/>
    <w:uiPriority w:val="0"/>
    <w:rPr>
      <w:kern w:val="0"/>
      <w:sz w:val="22"/>
    </w:rPr>
  </w:style>
  <w:style w:type="character" w:customStyle="1" w:styleId="25">
    <w:name w:val="Style1"/>
    <w:basedOn w:val="11"/>
    <w:qFormat/>
    <w:uiPriority w:val="0"/>
    <w:rPr>
      <w:rFonts w:ascii="Cambria" w:hAnsi="黑体" w:eastAsia="黑体" w:cs="黑体"/>
      <w:sz w:val="22"/>
      <w:szCs w:val="22"/>
      <w:lang w:eastAsia="zh-CN"/>
    </w:rPr>
  </w:style>
  <w:style w:type="character" w:customStyle="1" w:styleId="26">
    <w:name w:val="Style2"/>
    <w:basedOn w:val="11"/>
    <w:uiPriority w:val="0"/>
    <w:rPr>
      <w:rFonts w:ascii="Cambria" w:hAnsi="黑体" w:eastAsia="黑体" w:cs="黑体"/>
      <w:sz w:val="22"/>
      <w:szCs w:val="22"/>
      <w:lang w:eastAsia="zh-CN"/>
    </w:rPr>
  </w:style>
  <w:style w:type="character" w:customStyle="1" w:styleId="27">
    <w:name w:val="Style3"/>
    <w:basedOn w:val="11"/>
    <w:uiPriority w:val="0"/>
    <w:rPr>
      <w:rFonts w:ascii="Cambria" w:hAnsi="黑体" w:eastAsia="黑体" w:cs="黑体"/>
      <w:szCs w:val="22"/>
      <w:lang w:eastAsia="zh-CN"/>
    </w:rPr>
  </w:style>
  <w:style w:type="character" w:customStyle="1" w:styleId="28">
    <w:name w:val="Style4"/>
    <w:basedOn w:val="11"/>
    <w:uiPriority w:val="0"/>
    <w:rPr>
      <w:rFonts w:ascii="Cambria" w:hAnsi="黑体" w:eastAsia="黑体" w:cs="黑体"/>
      <w:szCs w:val="22"/>
      <w:lang w:eastAsia="zh-CN"/>
    </w:rPr>
  </w:style>
  <w:style w:type="character" w:customStyle="1" w:styleId="29">
    <w:name w:val="Style5"/>
    <w:basedOn w:val="11"/>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822</Words>
  <Characters>4687</Characters>
  <Lines>39</Lines>
  <Paragraphs>10</Paragraphs>
  <TotalTime>1</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Administrator</cp:lastModifiedBy>
  <cp:lastPrinted>2018-09-11T17:25:00Z</cp:lastPrinted>
  <dcterms:modified xsi:type="dcterms:W3CDTF">2019-03-18T06:50:02Z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