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lang w:eastAsia="zh-CN"/>
        </w:rPr>
        <w:t>无极县里城道乡人民政府</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w:t>
      </w:r>
      <w:r>
        <w:rPr>
          <w:rFonts w:hint="eastAsia" w:eastAsia="黑体"/>
          <w:sz w:val="32"/>
          <w:szCs w:val="32"/>
          <w:lang w:eastAsia="zh-CN"/>
        </w:rPr>
        <w:t>分</w:t>
      </w:r>
      <w:r>
        <w:rPr>
          <w:rFonts w:hint="eastAsia" w:eastAsia="黑体"/>
          <w:sz w:val="32"/>
          <w:szCs w:val="32"/>
          <w:lang w:val="en-US" w:eastAsia="zh-CN"/>
        </w:rPr>
        <w:t xml:space="preserve">  </w:t>
      </w:r>
      <w:r>
        <w:rPr>
          <w:rFonts w:hint="eastAsia" w:eastAsia="黑体"/>
          <w:sz w:val="32"/>
          <w:szCs w:val="32"/>
          <w:lang w:eastAsia="zh-CN"/>
        </w:rPr>
        <w:t>无极县里城道乡人民政府</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第二部分</w:t>
      </w:r>
      <w:r>
        <w:rPr>
          <w:rFonts w:hint="eastAsia" w:eastAsia="黑体"/>
          <w:sz w:val="32"/>
          <w:szCs w:val="32"/>
          <w:lang w:val="en-US" w:eastAsia="zh-CN"/>
        </w:rPr>
        <w:t xml:space="preserve"> </w:t>
      </w:r>
      <w:r>
        <w:rPr>
          <w:rFonts w:hint="eastAsia" w:eastAsia="黑体"/>
          <w:sz w:val="32"/>
          <w:szCs w:val="32"/>
          <w:lang w:eastAsia="zh-CN"/>
        </w:rPr>
        <w:t>无极县里城道乡人民政府</w:t>
      </w:r>
      <w:r>
        <w:rPr>
          <w:rFonts w:eastAsia="黑体"/>
          <w:sz w:val="32"/>
          <w:szCs w:val="32"/>
        </w:rPr>
        <w:t>部门2017年度决算报表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无极县里城道乡人民政府</w:t>
      </w:r>
      <w:r>
        <w:rPr>
          <w:rFonts w:eastAsia="黑体"/>
          <w:sz w:val="32"/>
          <w:szCs w:val="32"/>
        </w:rPr>
        <w:t>部门2017年部门决算情况说明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hint="eastAsia" w:ascii="黑体" w:hAnsi="Cambria" w:eastAsia="黑体" w:cs="黑体"/>
          <w:kern w:val="0"/>
        </w:rPr>
      </w:pPr>
      <w:r>
        <w:rPr>
          <w:rFonts w:hint="eastAsia" w:ascii="黑体" w:hAnsi="Cambria" w:eastAsia="黑体" w:cs="黑体"/>
          <w:kern w:val="0"/>
        </w:rPr>
        <w:t>一、部门职责</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部门职责1党政事务管理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党委、人大、纪检、组织、宣传、环保、计生、民政、工会、共青团、妇联等工作，协调各办公室的工作关系；完成社会主义新农村的规划和建设工作；完成政府日常事务和机关后勤工作，完成党委政府交办的其他事项。</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部门职责2环保工作管理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积极配合县委县政府的环境保护和污染治理工作，以更高站位、更负责的态度、更大的勇气、更有力的举措，全面打好蓝天保卫战，为山清水绿贡献力量。</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部门职责3社会事务管理</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负责民政工作，发展社会福利事业，做好民族宗教及残联工作，办理征兵事项，负责村民自治的选举工作，负责协调文化、教育、卫生等工作。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部门职责4社会治安综合治理事务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完成开展社会主义民主与法制教育；加强社会治安综合治理；做好司法、宗教工作，打击邪教；做好群众来信来访工作；调解民事纠纷、维护社会稳定，营造风清气正的社会环境。</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部门职责5城镇规划建设事务</w:t>
      </w:r>
    </w:p>
    <w:p>
      <w:pPr>
        <w:autoSpaceDE w:val="0"/>
        <w:autoSpaceDN w:val="0"/>
        <w:adjustRightInd w:val="0"/>
        <w:spacing w:after="0" w:line="560" w:lineRule="exact"/>
        <w:ind w:firstLine="640" w:firstLineChars="200"/>
        <w:jc w:val="left"/>
        <w:rPr>
          <w:rFonts w:hint="eastAsia" w:ascii="仿宋_GB2312" w:hAnsi="Cambria" w:eastAsia="仿宋_GB2312" w:cs="ArialUnicodeMS"/>
          <w:kern w:val="0"/>
          <w:sz w:val="32"/>
          <w:szCs w:val="32"/>
          <w:lang w:eastAsia="zh-CN"/>
        </w:rPr>
      </w:pPr>
      <w:r>
        <w:rPr>
          <w:rFonts w:hint="eastAsia" w:ascii="仿宋_GB2312" w:hAnsi="Cambria" w:eastAsia="仿宋_GB2312" w:cs="ArialUnicodeMS"/>
          <w:kern w:val="0"/>
          <w:sz w:val="32"/>
          <w:szCs w:val="32"/>
        </w:rPr>
        <w:t>配合县委有关部门，完成编制镇建设规划，基础设施，公用设施的建设与管理及农村面貌改造</w:t>
      </w:r>
      <w:r>
        <w:rPr>
          <w:rFonts w:hint="eastAsia" w:ascii="仿宋_GB2312" w:hAnsi="Cambria" w:eastAsia="仿宋_GB2312" w:cs="ArialUnicodeMS"/>
          <w:kern w:val="0"/>
          <w:sz w:val="32"/>
          <w:szCs w:val="32"/>
          <w:lang w:eastAsia="zh-CN"/>
        </w:rPr>
        <w:t>。</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部门职责6劳动保障服务事务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完成劳动法宣传、劳动就业、社会保障工作。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部门职责7文化卫生服务站事务</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丰富群众文化卫生、娱乐、体育活动、完成新型农村合作医疗，广播电视村村通等工作，加强推进农村幸福院的建设完善。</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部门职责8社区服务中心事务</w:t>
      </w:r>
    </w:p>
    <w:p>
      <w:pPr>
        <w:autoSpaceDE w:val="0"/>
        <w:autoSpaceDN w:val="0"/>
        <w:adjustRightInd w:val="0"/>
        <w:spacing w:after="0" w:line="560" w:lineRule="exact"/>
        <w:ind w:firstLine="640" w:firstLineChars="200"/>
        <w:jc w:val="left"/>
        <w:rPr>
          <w:rFonts w:ascii="仿宋" w:hAnsi="仿宋" w:eastAsia="仿宋" w:cs="ArialUnicodeMS"/>
          <w:kern w:val="0"/>
          <w:sz w:val="32"/>
          <w:szCs w:val="32"/>
        </w:rPr>
      </w:pPr>
      <w:r>
        <w:rPr>
          <w:rFonts w:hint="eastAsia" w:ascii="仿宋" w:hAnsi="仿宋" w:eastAsia="仿宋" w:cs="ArialUnicodeMS"/>
          <w:kern w:val="0"/>
          <w:sz w:val="32"/>
          <w:szCs w:val="32"/>
        </w:rPr>
        <w:t>推进和谐社区的建设，健全服务网络，满足社区居民的物质、文化需求。</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部门职责9财政所</w:t>
      </w:r>
    </w:p>
    <w:p>
      <w:pPr>
        <w:autoSpaceDE w:val="0"/>
        <w:autoSpaceDN w:val="0"/>
        <w:adjustRightInd w:val="0"/>
        <w:spacing w:after="0" w:line="560" w:lineRule="exact"/>
        <w:ind w:firstLine="640" w:firstLineChars="200"/>
        <w:jc w:val="left"/>
        <w:rPr>
          <w:rFonts w:hint="eastAsia" w:ascii="仿宋_GB2312" w:hAnsi="Cambria" w:eastAsia="仿宋_GB2312" w:cs="ArialUnicodeMS"/>
          <w:kern w:val="0"/>
          <w:sz w:val="32"/>
          <w:szCs w:val="32"/>
          <w:lang w:eastAsia="zh-CN"/>
        </w:rPr>
      </w:pPr>
      <w:r>
        <w:rPr>
          <w:rFonts w:hint="eastAsia" w:ascii="仿宋" w:hAnsi="仿宋" w:eastAsia="仿宋" w:cs="ArialUnicodeMS"/>
          <w:kern w:val="0"/>
          <w:sz w:val="32"/>
          <w:szCs w:val="32"/>
        </w:rPr>
        <w:t>落实兑现各级惠农补助资金，对农民负担和农村政策实施监管；围绕乡镇财源建设搞好服务；农村财务管理指导、监督和审计，依法代理村级财务，财政项目资金管理和乡镇政府机关</w:t>
      </w:r>
      <w:r>
        <w:fldChar w:fldCharType="begin"/>
      </w:r>
      <w:r>
        <w:instrText xml:space="preserve">HYPERLINK "https://www.baidu.com/s?wd=%E8%B4%A2%E5%8A%A1%E4%BB%A3%E7%90%86&amp;tn=SE_PcZhidaonwhc_ngpagmjz&amp;rsv_dl=gh_pc_zhidao" \t "https://zhidao.baidu.com/question/_blank" </w:instrText>
      </w:r>
      <w:r>
        <w:fldChar w:fldCharType="separate"/>
      </w:r>
      <w:r>
        <w:rPr>
          <w:rFonts w:hint="eastAsia" w:ascii="仿宋" w:hAnsi="仿宋" w:eastAsia="仿宋" w:cs="ArialUnicodeMS"/>
          <w:kern w:val="0"/>
        </w:rPr>
        <w:t>财务代理</w:t>
      </w:r>
      <w:r>
        <w:fldChar w:fldCharType="end"/>
      </w:r>
      <w:r>
        <w:rPr>
          <w:rFonts w:hint="eastAsia" w:ascii="仿宋" w:hAnsi="仿宋" w:eastAsia="仿宋" w:cs="ArialUnicodeMS"/>
          <w:kern w:val="0"/>
          <w:sz w:val="32"/>
          <w:szCs w:val="32"/>
        </w:rPr>
        <w:t>；乡镇公有资产管理利用及村级集体资产监督管理；</w:t>
      </w:r>
      <w:r>
        <w:fldChar w:fldCharType="begin"/>
      </w:r>
      <w:r>
        <w:instrText xml:space="preserve">HYPERLINK "https://www.baidu.com/s?wd=%E8%B4%A2%E6%94%BF%E9%A2%84%E7%AE%97&amp;tn=SE_PcZhidaonwhc_ngpagmjz&amp;rsv_dl=gh_pc_zhidao" \t "https://zhidao.baidu.com/question/_blank" </w:instrText>
      </w:r>
      <w:r>
        <w:fldChar w:fldCharType="separate"/>
      </w:r>
      <w:r>
        <w:rPr>
          <w:rFonts w:hint="eastAsia" w:ascii="仿宋" w:hAnsi="仿宋" w:eastAsia="仿宋" w:cs="ArialUnicodeMS"/>
          <w:kern w:val="0"/>
          <w:sz w:val="32"/>
          <w:szCs w:val="32"/>
        </w:rPr>
        <w:t>财政预算</w:t>
      </w:r>
      <w:r>
        <w:fldChar w:fldCharType="end"/>
      </w:r>
      <w:r>
        <w:rPr>
          <w:rFonts w:hint="eastAsia" w:ascii="仿宋" w:hAnsi="仿宋" w:eastAsia="仿宋" w:cs="ArialUnicodeMS"/>
          <w:kern w:val="0"/>
          <w:sz w:val="32"/>
          <w:szCs w:val="32"/>
        </w:rPr>
        <w:t>、决算编制、执行及管理。</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widowControl/>
        <w:spacing w:line="580" w:lineRule="exact"/>
        <w:ind w:left="640" w:firstLine="640" w:firstLineChars="200"/>
        <w:rPr>
          <w:rFonts w:hint="eastAsia" w:eastAsia="仿宋_GB2312"/>
          <w:sz w:val="32"/>
          <w:szCs w:val="32"/>
          <w:lang w:eastAsia="zh-CN"/>
        </w:rPr>
      </w:pPr>
      <w:r>
        <w:rPr>
          <w:rFonts w:hint="eastAsia" w:eastAsia="仿宋_GB2312"/>
          <w:sz w:val="32"/>
          <w:szCs w:val="32"/>
        </w:rPr>
        <w:t>2017 年度，纳入本部门决算汇编范围的独立核算单位（以下简称“单位”）共</w:t>
      </w:r>
      <w:r>
        <w:rPr>
          <w:rFonts w:hint="eastAsia" w:eastAsia="仿宋_GB2312"/>
          <w:sz w:val="32"/>
          <w:szCs w:val="32"/>
          <w:lang w:val="en-US" w:eastAsia="zh-CN"/>
        </w:rPr>
        <w:t>1</w:t>
      </w:r>
      <w:r>
        <w:rPr>
          <w:rFonts w:hint="eastAsia" w:eastAsia="仿宋_GB2312"/>
          <w:sz w:val="32"/>
          <w:szCs w:val="32"/>
        </w:rPr>
        <w:t>个，是</w:t>
      </w:r>
      <w:r>
        <w:rPr>
          <w:rFonts w:hint="eastAsia" w:eastAsia="仿宋_GB2312"/>
          <w:sz w:val="32"/>
          <w:szCs w:val="32"/>
          <w:lang w:val="en-US" w:eastAsia="zh-CN"/>
        </w:rPr>
        <w:t>无极县里城道乡人民政府</w:t>
      </w:r>
      <w:r>
        <w:rPr>
          <w:rFonts w:hint="eastAsia" w:eastAsia="仿宋_GB2312"/>
          <w:sz w:val="32"/>
          <w:szCs w:val="32"/>
        </w:rPr>
        <w:t>，单位基本性质为</w:t>
      </w:r>
      <w:r>
        <w:rPr>
          <w:rFonts w:hint="eastAsia" w:eastAsia="仿宋_GB2312"/>
          <w:sz w:val="32"/>
          <w:szCs w:val="32"/>
          <w:lang w:val="en-US" w:eastAsia="zh-CN"/>
        </w:rPr>
        <w:t>行政</w:t>
      </w:r>
      <w:r>
        <w:rPr>
          <w:rFonts w:hint="eastAsia" w:eastAsia="仿宋_GB2312"/>
          <w:sz w:val="32"/>
          <w:szCs w:val="32"/>
        </w:rPr>
        <w:t>单位，预算管理级次为</w:t>
      </w:r>
      <w:r>
        <w:rPr>
          <w:rFonts w:hint="eastAsia" w:eastAsia="仿宋_GB2312"/>
          <w:sz w:val="32"/>
          <w:szCs w:val="32"/>
          <w:lang w:val="en-US" w:eastAsia="zh-CN"/>
        </w:rPr>
        <w:t>一</w:t>
      </w:r>
      <w:r>
        <w:rPr>
          <w:rFonts w:hint="eastAsia" w:eastAsia="仿宋_GB2312"/>
          <w:sz w:val="32"/>
          <w:szCs w:val="32"/>
        </w:rPr>
        <w:t>级预算单位，执行</w:t>
      </w:r>
      <w:r>
        <w:rPr>
          <w:rFonts w:hint="eastAsia" w:eastAsia="仿宋_GB2312"/>
          <w:sz w:val="32"/>
          <w:szCs w:val="32"/>
          <w:lang w:val="en-US" w:eastAsia="zh-CN"/>
        </w:rPr>
        <w:t>行政</w:t>
      </w:r>
      <w:r>
        <w:rPr>
          <w:rFonts w:hint="eastAsia" w:eastAsia="仿宋_GB2312"/>
          <w:sz w:val="32"/>
          <w:szCs w:val="32"/>
        </w:rPr>
        <w:t>单位会计制度，较上年无增减变化</w:t>
      </w:r>
      <w:r>
        <w:rPr>
          <w:rFonts w:hint="eastAsia" w:eastAsia="仿宋_GB2312"/>
          <w:sz w:val="32"/>
          <w:szCs w:val="32"/>
          <w:lang w:eastAsia="zh-CN"/>
        </w:rPr>
        <w:t>。</w:t>
      </w:r>
    </w:p>
    <w:p>
      <w:pPr>
        <w:spacing w:after="0" w:line="560" w:lineRule="exact"/>
        <w:ind w:firstLine="640" w:firstLineChars="200"/>
        <w:rPr>
          <w:rFonts w:hint="eastAsia" w:ascii="宋体" w:hAnsi="宋体" w:cs="宋体"/>
          <w:kern w:val="0"/>
          <w:sz w:val="32"/>
          <w:szCs w:val="32"/>
          <w:lang w:eastAsia="zh-CN"/>
        </w:rPr>
      </w:pPr>
    </w:p>
    <w:tbl>
      <w:tblPr>
        <w:tblStyle w:val="10"/>
        <w:tblW w:w="91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09"/>
        <w:gridCol w:w="1077"/>
        <w:gridCol w:w="1354"/>
        <w:gridCol w:w="24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51" w:hRule="atLeast"/>
          <w:tblHeader/>
          <w:jc w:val="center"/>
        </w:trPr>
        <w:tc>
          <w:tcPr>
            <w:tcW w:w="4309" w:type="dxa"/>
            <w:vAlign w:val="center"/>
          </w:tcPr>
          <w:p>
            <w:pPr>
              <w:ind w:firstLine="361"/>
              <w:jc w:val="center"/>
              <w:rPr>
                <w:rFonts w:hint="eastAsia" w:ascii="仿宋" w:hAnsi="仿宋" w:eastAsia="仿宋" w:cs="仿宋"/>
                <w:b/>
                <w:sz w:val="32"/>
                <w:szCs w:val="32"/>
              </w:rPr>
            </w:pPr>
            <w:r>
              <w:rPr>
                <w:rFonts w:hint="eastAsia" w:ascii="仿宋" w:hAnsi="仿宋" w:eastAsia="仿宋" w:cs="仿宋"/>
                <w:b/>
                <w:sz w:val="32"/>
                <w:szCs w:val="32"/>
              </w:rPr>
              <w:t>单位名称</w:t>
            </w:r>
          </w:p>
        </w:tc>
        <w:tc>
          <w:tcPr>
            <w:tcW w:w="1077" w:type="dxa"/>
            <w:vAlign w:val="center"/>
          </w:tcPr>
          <w:p>
            <w:pPr>
              <w:jc w:val="both"/>
              <w:rPr>
                <w:rFonts w:hint="eastAsia" w:ascii="仿宋" w:hAnsi="仿宋" w:eastAsia="仿宋" w:cs="仿宋"/>
                <w:b/>
                <w:sz w:val="32"/>
                <w:szCs w:val="32"/>
              </w:rPr>
            </w:pPr>
            <w:r>
              <w:rPr>
                <w:rFonts w:hint="eastAsia" w:ascii="仿宋" w:hAnsi="仿宋" w:eastAsia="仿宋" w:cs="仿宋"/>
                <w:b/>
                <w:sz w:val="32"/>
                <w:szCs w:val="32"/>
              </w:rPr>
              <w:t>单位规格</w:t>
            </w:r>
          </w:p>
        </w:tc>
        <w:tc>
          <w:tcPr>
            <w:tcW w:w="1354" w:type="dxa"/>
            <w:vAlign w:val="center"/>
          </w:tcPr>
          <w:p>
            <w:pPr>
              <w:jc w:val="center"/>
              <w:rPr>
                <w:rFonts w:hint="eastAsia" w:ascii="仿宋" w:hAnsi="仿宋" w:eastAsia="仿宋" w:cs="仿宋"/>
                <w:b/>
                <w:sz w:val="32"/>
                <w:szCs w:val="32"/>
              </w:rPr>
            </w:pPr>
            <w:r>
              <w:rPr>
                <w:rFonts w:hint="eastAsia" w:ascii="仿宋" w:hAnsi="仿宋" w:eastAsia="仿宋" w:cs="仿宋"/>
                <w:b/>
                <w:sz w:val="32"/>
                <w:szCs w:val="32"/>
              </w:rPr>
              <w:t>单位性质</w:t>
            </w:r>
          </w:p>
        </w:tc>
        <w:tc>
          <w:tcPr>
            <w:tcW w:w="2444" w:type="dxa"/>
            <w:vAlign w:val="center"/>
          </w:tcPr>
          <w:p>
            <w:pPr>
              <w:ind w:firstLine="361"/>
              <w:jc w:val="center"/>
              <w:rPr>
                <w:rFonts w:hint="eastAsia" w:ascii="仿宋" w:hAnsi="仿宋" w:eastAsia="仿宋" w:cs="仿宋"/>
                <w:b/>
                <w:sz w:val="32"/>
                <w:szCs w:val="32"/>
              </w:rPr>
            </w:pPr>
            <w:r>
              <w:rPr>
                <w:rFonts w:hint="eastAsia" w:ascii="仿宋" w:hAnsi="仿宋" w:eastAsia="仿宋" w:cs="仿宋"/>
                <w:b/>
                <w:sz w:val="32"/>
                <w:szCs w:val="32"/>
              </w:rPr>
              <w:t>财政供给政策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851" w:hRule="atLeast"/>
          <w:jc w:val="center"/>
        </w:trPr>
        <w:tc>
          <w:tcPr>
            <w:tcW w:w="4309" w:type="dxa"/>
            <w:vAlign w:val="center"/>
          </w:tcPr>
          <w:p>
            <w:pPr>
              <w:ind w:firstLine="480"/>
              <w:jc w:val="center"/>
              <w:rPr>
                <w:rFonts w:hint="eastAsia" w:ascii="宋体" w:hAnsi="宋体" w:eastAsia="宋体" w:cs="宋体"/>
                <w:sz w:val="24"/>
                <w:szCs w:val="24"/>
              </w:rPr>
            </w:pPr>
            <w:r>
              <w:rPr>
                <w:rFonts w:hint="eastAsia" w:eastAsia="仿宋_GB2312"/>
                <w:sz w:val="32"/>
                <w:szCs w:val="32"/>
                <w:lang w:val="en-US" w:eastAsia="zh-CN"/>
              </w:rPr>
              <w:t>无极县里城道乡</w:t>
            </w:r>
            <w:r>
              <w:rPr>
                <w:rFonts w:hint="eastAsia" w:eastAsia="仿宋_GB2312"/>
                <w:sz w:val="32"/>
                <w:szCs w:val="32"/>
              </w:rPr>
              <w:t>人民政府</w:t>
            </w:r>
          </w:p>
        </w:tc>
        <w:tc>
          <w:tcPr>
            <w:tcW w:w="1077" w:type="dxa"/>
            <w:vAlign w:val="center"/>
          </w:tcPr>
          <w:p>
            <w:pPr>
              <w:jc w:val="center"/>
              <w:rPr>
                <w:rFonts w:hint="eastAsia" w:ascii="宋体" w:hAnsi="宋体" w:eastAsia="宋体" w:cs="宋体"/>
                <w:sz w:val="24"/>
                <w:szCs w:val="24"/>
              </w:rPr>
            </w:pPr>
            <w:r>
              <w:rPr>
                <w:rFonts w:hint="eastAsia" w:eastAsia="仿宋_GB2312"/>
                <w:sz w:val="32"/>
                <w:szCs w:val="32"/>
              </w:rPr>
              <w:t>行政</w:t>
            </w:r>
          </w:p>
        </w:tc>
        <w:tc>
          <w:tcPr>
            <w:tcW w:w="1354" w:type="dxa"/>
            <w:vAlign w:val="center"/>
          </w:tcPr>
          <w:p>
            <w:pPr>
              <w:jc w:val="center"/>
              <w:rPr>
                <w:rFonts w:hint="eastAsia" w:ascii="宋体" w:hAnsi="宋体" w:eastAsia="宋体" w:cs="宋体"/>
                <w:sz w:val="24"/>
                <w:szCs w:val="24"/>
              </w:rPr>
            </w:pPr>
            <w:r>
              <w:rPr>
                <w:rFonts w:hint="eastAsia" w:eastAsia="仿宋_GB2312"/>
                <w:sz w:val="32"/>
                <w:szCs w:val="32"/>
              </w:rPr>
              <w:t>正科级</w:t>
            </w:r>
          </w:p>
        </w:tc>
        <w:tc>
          <w:tcPr>
            <w:tcW w:w="2444" w:type="dxa"/>
            <w:vAlign w:val="center"/>
          </w:tcPr>
          <w:p>
            <w:pPr>
              <w:ind w:firstLine="480"/>
              <w:jc w:val="both"/>
              <w:rPr>
                <w:rFonts w:hint="eastAsia" w:ascii="宋体" w:hAnsi="宋体" w:eastAsia="宋体" w:cs="宋体"/>
                <w:sz w:val="24"/>
                <w:szCs w:val="24"/>
              </w:rPr>
            </w:pPr>
            <w:r>
              <w:rPr>
                <w:rFonts w:hint="eastAsia" w:eastAsia="仿宋_GB2312"/>
                <w:sz w:val="32"/>
                <w:szCs w:val="32"/>
              </w:rPr>
              <w:t>财政拨款</w:t>
            </w:r>
          </w:p>
        </w:tc>
      </w:tr>
    </w:tbl>
    <w:p>
      <w:pPr>
        <w:spacing w:after="0" w:line="560" w:lineRule="exact"/>
        <w:ind w:firstLine="420" w:firstLineChars="200"/>
        <w:sectPr>
          <w:pgSz w:w="11906" w:h="16838"/>
          <w:pgMar w:top="2098" w:right="1474" w:bottom="1985" w:left="1588" w:header="851" w:footer="992" w:gutter="0"/>
          <w:pgNumType w:start="0"/>
          <w:cols w:space="720" w:num="1"/>
          <w:titlePg/>
          <w:docGrid w:type="lines" w:linePitch="312" w:charSpace="0"/>
        </w:sectPr>
      </w:pPr>
    </w:p>
    <w:p>
      <w:pPr>
        <w:widowControl/>
        <w:spacing w:line="560" w:lineRule="exact"/>
        <w:jc w:val="both"/>
        <w:rPr>
          <w:rFonts w:ascii="黑体" w:hAnsi="Cambria" w:eastAsia="黑体" w:cs="MS-UIGothic,Bold"/>
          <w:bCs/>
          <w:kern w:val="0"/>
          <w:sz w:val="52"/>
          <w:szCs w:val="52"/>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jc w:val="center"/>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（详见附件）</w:t>
      </w:r>
    </w:p>
    <w:p>
      <w:pPr>
        <w:ind w:firstLine="643"/>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一、收入支出决算总表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二、收入决算表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三、支出决算表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四、财政拨款收入支出决算总表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五、一般公共预算财政拨款支出决算表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六、一般公共预算财政拨款基本支出决算表</w:t>
      </w:r>
    </w:p>
    <w:p>
      <w:pPr>
        <w:ind w:firstLine="622"/>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 xml:space="preserve">七、政府性基金预算财政拨款收入支出决算表 </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八、国有资本经营预算财政拨款收入支出决算表</w:t>
      </w:r>
    </w:p>
    <w:p>
      <w:pPr>
        <w:ind w:firstLine="643"/>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九、“三公”经费及相关信息统计表</w:t>
      </w:r>
    </w:p>
    <w:p>
      <w:pPr>
        <w:ind w:firstLine="643"/>
        <w:rPr>
          <w:rFonts w:hint="eastAsia"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sz w:val="32"/>
          <w:szCs w:val="32"/>
        </w:rPr>
        <w:t>十、政府采购情况表</w:t>
      </w:r>
    </w:p>
    <w:p>
      <w:pPr>
        <w:pStyle w:val="2"/>
        <w:spacing w:line="560" w:lineRule="exact"/>
        <w:jc w:val="center"/>
        <w:rPr>
          <w:rFonts w:hint="eastAsia" w:ascii="宋体" w:hAnsi="宋体" w:eastAsia="宋体" w:cs="ArialUnicodeMS"/>
          <w:color w:val="000000"/>
          <w:kern w:val="0"/>
        </w:r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544.47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528.19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16.29</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103.27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23.41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正常拨款项目增加</w:t>
      </w:r>
      <w:r>
        <w:rPr>
          <w:rFonts w:hint="eastAsia" w:ascii="仿宋_GB2312" w:eastAsia="仿宋_GB2312" w:cs="DengXian-Regular"/>
          <w:sz w:val="32"/>
          <w:szCs w:val="32"/>
        </w:rPr>
        <w:t>；本年支出减少1.8</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财政紧张，节俭开支</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w:t>
      </w:r>
      <w:r>
        <w:rPr>
          <w:rFonts w:hint="eastAsia" w:ascii="仿宋_GB2312" w:eastAsia="仿宋_GB2312" w:cs="DengXian-Regular"/>
          <w:sz w:val="32"/>
          <w:szCs w:val="32"/>
          <w:lang w:val="en-US" w:eastAsia="zh-CN"/>
        </w:rPr>
        <w:t>544.47</w:t>
      </w:r>
      <w:r>
        <w:rPr>
          <w:rFonts w:hint="eastAsia" w:ascii="仿宋_GB2312" w:eastAsia="仿宋_GB2312" w:cs="DengXian-Regular"/>
          <w:sz w:val="32"/>
          <w:szCs w:val="32"/>
        </w:rPr>
        <w:t>万元，其中：财政拨款收入</w:t>
      </w:r>
      <w:r>
        <w:rPr>
          <w:rFonts w:hint="eastAsia" w:ascii="仿宋_GB2312" w:eastAsia="仿宋_GB2312" w:cs="DengXian-Regular"/>
          <w:sz w:val="32"/>
          <w:szCs w:val="32"/>
          <w:lang w:val="en-US" w:eastAsia="zh-CN"/>
        </w:rPr>
        <w:t>544.47</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%；事业收入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%；经营收入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%；其他收入</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drawing>
          <wp:inline distT="0" distB="0" distL="114300" distR="114300">
            <wp:extent cx="5614670" cy="2555240"/>
            <wp:effectExtent l="0" t="0" r="5080" b="16510"/>
            <wp:docPr id="1" name="图片框 1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框 1025"/>
                    <pic:cNvPicPr>
                      <a:picLocks noChangeAspect="1"/>
                    </pic:cNvPicPr>
                  </pic:nvPicPr>
                  <pic:blipFill>
                    <a:blip r:embed="rId4">
                      <a:lum/>
                    </a:blip>
                    <a:stretch>
                      <a:fillRect/>
                    </a:stretch>
                  </pic:blipFill>
                  <pic:spPr>
                    <a:xfrm>
                      <a:off x="0" y="0"/>
                      <a:ext cx="5614670" cy="2555240"/>
                    </a:xfrm>
                    <a:prstGeom prst="rect">
                      <a:avLst/>
                    </a:prstGeom>
                    <a:noFill/>
                    <a:ln>
                      <a:noFill/>
                    </a:ln>
                  </pic:spPr>
                </pic:pic>
              </a:graphicData>
            </a:graphic>
          </wp:inline>
        </w:drawing>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w:t>
      </w:r>
      <w:r>
        <w:rPr>
          <w:rFonts w:hint="eastAsia" w:ascii="仿宋_GB2312" w:eastAsia="仿宋_GB2312" w:cs="DengXian-Regular"/>
          <w:sz w:val="32"/>
          <w:szCs w:val="32"/>
          <w:lang w:val="en-US" w:eastAsia="zh-CN"/>
        </w:rPr>
        <w:t>528.19</w:t>
      </w:r>
      <w:r>
        <w:rPr>
          <w:rFonts w:hint="eastAsia" w:ascii="仿宋_GB2312" w:eastAsia="仿宋_GB2312" w:cs="DengXian-Regular"/>
          <w:sz w:val="32"/>
          <w:szCs w:val="32"/>
        </w:rPr>
        <w:t>万元，其中：基本支出</w:t>
      </w:r>
      <w:r>
        <w:rPr>
          <w:rFonts w:hint="eastAsia" w:ascii="仿宋_GB2312" w:eastAsia="仿宋_GB2312" w:cs="DengXian-Regular"/>
          <w:sz w:val="32"/>
          <w:szCs w:val="32"/>
          <w:lang w:val="en-US" w:eastAsia="zh-CN"/>
        </w:rPr>
        <w:t>491.53</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93.06</w:t>
      </w:r>
      <w:r>
        <w:rPr>
          <w:rFonts w:hint="eastAsia" w:ascii="仿宋_GB2312" w:eastAsia="仿宋_GB2312" w:cs="DengXian-Regular"/>
          <w:sz w:val="32"/>
          <w:szCs w:val="32"/>
        </w:rPr>
        <w:t>%；项目支出</w:t>
      </w:r>
      <w:r>
        <w:rPr>
          <w:rFonts w:hint="eastAsia" w:ascii="仿宋_GB2312" w:eastAsia="仿宋_GB2312" w:cs="DengXian-Regular"/>
          <w:sz w:val="32"/>
          <w:szCs w:val="32"/>
          <w:lang w:val="en-US" w:eastAsia="zh-CN"/>
        </w:rPr>
        <w:t>36.66</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6.94</w:t>
      </w:r>
      <w:r>
        <w:rPr>
          <w:rFonts w:hint="eastAsia" w:ascii="仿宋_GB2312" w:eastAsia="仿宋_GB2312" w:cs="DengXian-Regular"/>
          <w:sz w:val="32"/>
          <w:szCs w:val="32"/>
        </w:rPr>
        <w:t>%；经营支出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ascii="仿宋_GB2312" w:eastAsia="仿宋_GB2312" w:cs="DengXian-Regular"/>
          <w:sz w:val="32"/>
          <w:szCs w:val="32"/>
        </w:rPr>
      </w:pPr>
      <w:r>
        <w:rPr>
          <w:rFonts w:ascii="Times New Roman" w:hAnsi="Times New Roman" w:eastAsia="宋体" w:cs="Times New Roman"/>
          <w:kern w:val="2"/>
          <w:sz w:val="21"/>
          <w:szCs w:val="24"/>
          <w:lang w:val="en-US" w:eastAsia="zh-CN" w:bidi="ar-SA"/>
        </w:rPr>
        <w:drawing>
          <wp:inline distT="0" distB="0" distL="114300" distR="114300">
            <wp:extent cx="5614670" cy="2555240"/>
            <wp:effectExtent l="0" t="0" r="5080" b="16510"/>
            <wp:docPr id="2" name="图片框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框 1026"/>
                    <pic:cNvPicPr>
                      <a:picLocks noChangeAspect="1"/>
                    </pic:cNvPicPr>
                  </pic:nvPicPr>
                  <pic:blipFill>
                    <a:blip r:embed="rId5">
                      <a:lum/>
                    </a:blip>
                    <a:stretch>
                      <a:fillRect/>
                    </a:stretch>
                  </pic:blipFill>
                  <pic:spPr>
                    <a:xfrm>
                      <a:off x="0" y="0"/>
                      <a:ext cx="5614670" cy="2555240"/>
                    </a:xfrm>
                    <a:prstGeom prst="rect">
                      <a:avLst/>
                    </a:prstGeom>
                    <a:noFill/>
                    <a:ln>
                      <a:noFill/>
                    </a:ln>
                  </pic:spPr>
                </pic:pic>
              </a:graphicData>
            </a:graphic>
          </wp:inline>
        </w:drawing>
      </w:r>
      <w:r>
        <w:rPr>
          <w:rFonts w:hint="eastAsia" w:ascii="仿宋_GB2312" w:eastAsia="仿宋_GB2312" w:cs="DengXian-Regular"/>
          <w:sz w:val="32"/>
          <w:szCs w:val="32"/>
          <w:lang w:val="en-US" w:eastAsia="zh-CN"/>
        </w:rPr>
        <w:t xml:space="preserve"> </w: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544.47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528.19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16.29</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103.27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23.41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正常拨款项目增加</w:t>
      </w:r>
      <w:r>
        <w:rPr>
          <w:rFonts w:hint="eastAsia" w:ascii="仿宋_GB2312" w:eastAsia="仿宋_GB2312" w:cs="DengXian-Regular"/>
          <w:sz w:val="32"/>
          <w:szCs w:val="32"/>
        </w:rPr>
        <w:t>；本年支出减少1.8</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财政拨款减少</w:t>
      </w:r>
      <w:r>
        <w:rPr>
          <w:rFonts w:hint="eastAsia" w:ascii="仿宋_GB2312" w:eastAsia="仿宋_GB2312" w:cs="DengXian-Regular"/>
          <w:sz w:val="32"/>
          <w:szCs w:val="32"/>
          <w:lang w:eastAsia="zh-CN"/>
        </w:rPr>
        <w:t>，节俭开支</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544.47</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528.19</w:t>
      </w:r>
      <w:r>
        <w:rPr>
          <w:rFonts w:hint="eastAsia" w:ascii="仿宋_GB2312" w:eastAsia="仿宋_GB2312" w:cs="DengXian-Regular"/>
          <w:sz w:val="32"/>
          <w:szCs w:val="32"/>
        </w:rPr>
        <w:t>万元、年末结转和结余</w:t>
      </w:r>
      <w:r>
        <w:rPr>
          <w:rFonts w:hint="eastAsia" w:ascii="仿宋_GB2312" w:eastAsia="仿宋_GB2312" w:cs="DengXian-Regular"/>
          <w:sz w:val="32"/>
          <w:szCs w:val="32"/>
          <w:lang w:val="en-US" w:eastAsia="zh-CN"/>
        </w:rPr>
        <w:t>16.29</w:t>
      </w:r>
      <w:r>
        <w:rPr>
          <w:rFonts w:hint="eastAsia" w:ascii="仿宋_GB2312" w:eastAsia="仿宋_GB2312" w:cs="DengXian-Regular"/>
          <w:sz w:val="32"/>
          <w:szCs w:val="32"/>
        </w:rPr>
        <w:t>万元。与2016年度决算相比，本年收入增加</w:t>
      </w:r>
      <w:r>
        <w:rPr>
          <w:rFonts w:hint="eastAsia" w:ascii="仿宋_GB2312" w:eastAsia="仿宋_GB2312" w:cs="DengXian-Regular"/>
          <w:sz w:val="32"/>
          <w:szCs w:val="32"/>
          <w:lang w:val="en-US" w:eastAsia="zh-CN"/>
        </w:rPr>
        <w:t>103.27</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23.41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正常拨款项目增加</w:t>
      </w:r>
      <w:r>
        <w:rPr>
          <w:rFonts w:hint="eastAsia" w:ascii="仿宋_GB2312" w:eastAsia="仿宋_GB2312" w:cs="DengXian-Regular"/>
          <w:sz w:val="32"/>
          <w:szCs w:val="32"/>
        </w:rPr>
        <w:t>；本年支出减少1.8</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0.34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财政紧张，节俭开支</w:t>
      </w:r>
      <w:r>
        <w:rPr>
          <w:rFonts w:hint="eastAsia" w:ascii="仿宋_GB2312" w:eastAsia="仿宋_GB2312" w:cs="DengXian-Regular"/>
          <w:sz w:val="32"/>
          <w:szCs w:val="32"/>
        </w:rPr>
        <w:t>。</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本部门</w:t>
      </w:r>
      <w:r>
        <w:rPr>
          <w:rFonts w:hint="eastAsia" w:ascii="仿宋_GB2312" w:eastAsia="仿宋_GB2312" w:cs="DengXian-Regular"/>
          <w:sz w:val="32"/>
          <w:szCs w:val="32"/>
          <w:lang w:val="en-US" w:eastAsia="zh-CN"/>
        </w:rPr>
        <w:t>2017年度</w:t>
      </w:r>
      <w:r>
        <w:rPr>
          <w:rFonts w:hint="eastAsia" w:ascii="仿宋_GB2312" w:eastAsia="仿宋_GB2312" w:cs="DengXian-Regular"/>
          <w:sz w:val="32"/>
          <w:szCs w:val="32"/>
          <w:lang w:eastAsia="zh-CN"/>
        </w:rPr>
        <w:t>一般公共预算</w:t>
      </w:r>
      <w:r>
        <w:rPr>
          <w:rFonts w:hint="eastAsia" w:ascii="仿宋_GB2312" w:eastAsia="仿宋_GB2312" w:cs="DengXian-Regular"/>
          <w:sz w:val="32"/>
          <w:szCs w:val="32"/>
        </w:rPr>
        <w:t>财政拨款</w:t>
      </w:r>
      <w:bookmarkStart w:id="0" w:name="_Hlk535130648"/>
      <w:r>
        <w:rPr>
          <w:rFonts w:hint="eastAsia" w:ascii="仿宋_GB2312" w:eastAsia="仿宋_GB2312" w:cs="DengXian-Regular"/>
          <w:sz w:val="32"/>
          <w:szCs w:val="32"/>
          <w:lang w:eastAsia="zh-CN"/>
        </w:rPr>
        <w:t>本年收入</w:t>
      </w:r>
      <w:bookmarkEnd w:id="0"/>
      <w:r>
        <w:rPr>
          <w:rFonts w:hint="eastAsia" w:ascii="仿宋_GB2312" w:eastAsia="仿宋_GB2312" w:cs="DengXian-Regular"/>
          <w:sz w:val="32"/>
          <w:szCs w:val="32"/>
          <w:lang w:eastAsia="zh-CN"/>
        </w:rPr>
        <w:t>较</w:t>
      </w:r>
      <w:r>
        <w:rPr>
          <w:rFonts w:hint="eastAsia" w:ascii="仿宋_GB2312" w:eastAsia="仿宋_GB2312" w:cs="DengXian-Regular"/>
          <w:sz w:val="32"/>
          <w:szCs w:val="32"/>
          <w:lang w:val="en-US" w:eastAsia="zh-CN"/>
        </w:rPr>
        <w:t>2017</w:t>
      </w:r>
      <w:r>
        <w:rPr>
          <w:rFonts w:hint="eastAsia" w:ascii="仿宋_GB2312" w:eastAsia="仿宋_GB2312" w:cs="DengXian-Regular"/>
          <w:sz w:val="32"/>
          <w:szCs w:val="32"/>
        </w:rPr>
        <w:t>年初预算减少130.75万元。主要原因是年初人员工资福利支出估算多</w:t>
      </w:r>
      <w:r>
        <w:rPr>
          <w:rFonts w:hint="eastAsia" w:ascii="仿宋_GB2312" w:eastAsia="仿宋_GB2312" w:cs="DengXian-Regular"/>
          <w:sz w:val="32"/>
          <w:szCs w:val="32"/>
          <w:lang w:eastAsia="zh-CN"/>
        </w:rPr>
        <w:t>。</w:t>
      </w:r>
    </w:p>
    <w:p>
      <w:pPr>
        <w:ind w:firstLine="645" w:firstLineChars="0"/>
        <w:rPr>
          <w:rFonts w:hint="eastAsia" w:ascii="仿宋_GB2312" w:eastAsia="仿宋_GB2312" w:cs="DengXian-Regular"/>
          <w:sz w:val="32"/>
          <w:szCs w:val="32"/>
          <w:lang w:eastAsia="zh-CN"/>
        </w:rPr>
      </w:pPr>
      <w:r>
        <w:rPr>
          <w:rFonts w:hint="eastAsia" w:ascii="仿宋_GB2312" w:eastAsia="仿宋_GB2312" w:cs="DengXian-Regular"/>
          <w:sz w:val="32"/>
          <w:szCs w:val="32"/>
        </w:rPr>
        <w:t>其中，本部门2017年度一般公共预算财政拨款本年收入较2017年初预算减少</w:t>
      </w:r>
      <w:r>
        <w:rPr>
          <w:rFonts w:hint="eastAsia" w:ascii="仿宋_GB2312" w:eastAsia="仿宋_GB2312" w:cs="DengXian-Regular"/>
          <w:sz w:val="32"/>
          <w:szCs w:val="32"/>
          <w:lang w:val="en-US" w:eastAsia="zh-CN"/>
        </w:rPr>
        <w:t>114.17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17.37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年初人员工资福利支出多导致估算多</w:t>
      </w:r>
      <w:r>
        <w:rPr>
          <w:rFonts w:hint="eastAsia" w:ascii="仿宋_GB2312" w:eastAsia="仿宋_GB2312" w:cs="DengXian-Regular"/>
          <w:sz w:val="32"/>
          <w:szCs w:val="32"/>
        </w:rPr>
        <w:t>；</w:t>
      </w:r>
      <w:r>
        <w:rPr>
          <w:rFonts w:hint="eastAsia" w:ascii="仿宋_GB2312" w:eastAsia="仿宋_GB2312" w:cs="DengXian-Regular"/>
          <w:sz w:val="32"/>
          <w:szCs w:val="32"/>
          <w:lang w:eastAsia="zh-CN"/>
        </w:rPr>
        <w:t>本年支出528.1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lang w:eastAsia="zh-CN"/>
        </w:rPr>
        <w:t>万元，与年初批复的预算数相比，减少130.75万元。主要原因是年初人员工资福利支出估算多。</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w:t>
      </w:r>
      <w:r>
        <w:rPr>
          <w:rFonts w:hint="eastAsia" w:ascii="仿宋_GB2312" w:eastAsia="仿宋_GB2312" w:cs="DengXian-Regular"/>
          <w:sz w:val="32"/>
          <w:szCs w:val="32"/>
          <w:lang w:val="en-US" w:eastAsia="zh-CN"/>
        </w:rPr>
        <w:t>1.7</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75.71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节省开支，正常减少</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3.65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68.22</w:t>
      </w:r>
      <w:r>
        <w:rPr>
          <w:rFonts w:hint="eastAsia" w:ascii="仿宋_GB2312" w:eastAsia="仿宋_GB2312" w:cs="DengXian-Regular"/>
          <w:sz w:val="32"/>
          <w:szCs w:val="32"/>
        </w:rPr>
        <w:t>%，主要是</w:t>
      </w:r>
      <w:r>
        <w:rPr>
          <w:rFonts w:hint="eastAsia" w:ascii="仿宋_GB2312" w:eastAsia="仿宋_GB2312" w:cs="DengXian-Regular"/>
          <w:sz w:val="32"/>
          <w:szCs w:val="32"/>
          <w:lang w:val="en-US" w:eastAsia="zh-CN"/>
        </w:rPr>
        <w:t>节省开支，</w:t>
      </w:r>
      <w:r>
        <w:rPr>
          <w:rFonts w:hint="eastAsia" w:ascii="仿宋_GB2312" w:eastAsia="仿宋_GB2312" w:cs="DengXian-Regular"/>
          <w:sz w:val="32"/>
          <w:szCs w:val="32"/>
          <w:lang w:eastAsia="zh-CN"/>
        </w:rPr>
        <w:t>正常减少</w:t>
      </w:r>
      <w:r>
        <w:rPr>
          <w:rFonts w:hint="eastAsia" w:ascii="仿宋_GB2312" w:eastAsia="仿宋_GB2312" w:cs="DengXian-Regular"/>
          <w:sz w:val="32"/>
          <w:szCs w:val="32"/>
        </w:rPr>
        <w:t>。具体情况如下：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本单位</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出国（境）团组。</w:t>
      </w:r>
      <w:r>
        <w:rPr>
          <w:rFonts w:hint="eastAsia" w:ascii="仿宋_GB2312" w:eastAsia="仿宋_GB2312" w:cs="DengXian-Regular"/>
          <w:sz w:val="32"/>
          <w:szCs w:val="32"/>
          <w:lang w:eastAsia="zh-CN"/>
        </w:rPr>
        <w:t>较年初预算无增减变化；较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1.7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本部门2017年度公务用车购置及运行维护费较年初预算减少</w:t>
      </w:r>
      <w:r>
        <w:rPr>
          <w:rFonts w:hint="eastAsia" w:ascii="仿宋_GB2312" w:eastAsia="仿宋_GB2312" w:cs="DengXian-Regular"/>
          <w:sz w:val="32"/>
          <w:szCs w:val="32"/>
          <w:lang w:val="en-US" w:eastAsia="zh-CN"/>
        </w:rPr>
        <w:t>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75.71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正常减少</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3.65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68.22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正常减少</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未</w:t>
      </w:r>
      <w:r>
        <w:rPr>
          <w:rFonts w:hint="eastAsia" w:ascii="仿宋_GB2312" w:eastAsia="仿宋_GB2312" w:cs="DengXian-Regular"/>
          <w:sz w:val="32"/>
          <w:szCs w:val="32"/>
        </w:rPr>
        <w:t>发生“公务用车购置”经费支出。公务用车购置费支出较年初预算</w:t>
      </w:r>
      <w:r>
        <w:rPr>
          <w:rFonts w:hint="eastAsia" w:ascii="仿宋_GB2312" w:eastAsia="仿宋_GB2312" w:cs="DengXian-Regular"/>
          <w:sz w:val="32"/>
          <w:szCs w:val="32"/>
          <w:lang w:eastAsia="zh-CN"/>
        </w:rPr>
        <w:t>无增减；较</w:t>
      </w:r>
      <w:r>
        <w:rPr>
          <w:rFonts w:hint="eastAsia" w:ascii="仿宋_GB2312" w:eastAsia="仿宋_GB2312" w:cs="DengXian-Regular"/>
          <w:sz w:val="32"/>
          <w:szCs w:val="32"/>
          <w:lang w:val="en-US" w:eastAsia="zh-CN"/>
        </w:rPr>
        <w:t>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辆。公车运行维护费支出较年初预算</w:t>
      </w:r>
      <w:r>
        <w:rPr>
          <w:rFonts w:hint="eastAsia" w:ascii="仿宋_GB2312" w:eastAsia="仿宋_GB2312" w:cs="DengXian-Regular"/>
          <w:sz w:val="32"/>
          <w:szCs w:val="32"/>
          <w:lang w:eastAsia="zh-CN"/>
        </w:rPr>
        <w:t>减少</w:t>
      </w:r>
      <w:r>
        <w:rPr>
          <w:rFonts w:hint="eastAsia" w:ascii="仿宋_GB2312" w:eastAsia="仿宋_GB2312" w:cs="DengXian-Regular"/>
          <w:sz w:val="32"/>
          <w:szCs w:val="32"/>
          <w:lang w:val="en-US" w:eastAsia="zh-CN"/>
        </w:rPr>
        <w:t>5.3</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75.71</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正常减少</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3.65</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68.22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正常减少</w:t>
      </w:r>
      <w:r>
        <w:rPr>
          <w:rFonts w:hint="eastAsia" w:ascii="仿宋_GB2312" w:eastAsia="仿宋_GB2312" w:cs="DengXian-Regular"/>
          <w:sz w:val="32"/>
          <w:szCs w:val="32"/>
        </w:rPr>
        <w:t>。</w:t>
      </w:r>
      <w:bookmarkStart w:id="1" w:name="_GoBack"/>
      <w:bookmarkEnd w:id="1"/>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0.37</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无需接待</w:t>
      </w:r>
      <w:r>
        <w:rPr>
          <w:rFonts w:hint="eastAsia" w:ascii="仿宋_GB2312" w:eastAsia="仿宋_GB2312" w:cs="DengXian-Regular"/>
          <w:sz w:val="32"/>
          <w:szCs w:val="32"/>
        </w:rPr>
        <w:t>。</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根据预算绩效管理要求，本单位组织对2017年度一般公共预算项目支出全面开展绩效自评</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涉及定魏线、无繁线和羊曲线战备路占地补偿项目，涉及资金36.66万元，考核为良好。</w:t>
      </w:r>
    </w:p>
    <w:p>
      <w:pPr>
        <w:numPr>
          <w:ilvl w:val="0"/>
          <w:numId w:val="1"/>
        </w:numPr>
        <w:adjustRightInd w:val="0"/>
        <w:snapToGrid w:val="0"/>
        <w:spacing w:after="0"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预算项目绩效自评选例</w:t>
      </w:r>
    </w:p>
    <w:p>
      <w:pPr>
        <w:widowControl w:val="0"/>
        <w:numPr>
          <w:ilvl w:val="0"/>
          <w:numId w:val="0"/>
        </w:numPr>
        <w:wordWrap/>
        <w:adjustRightInd w:val="0"/>
        <w:snapToGrid w:val="0"/>
        <w:spacing w:before="0" w:after="0" w:line="560" w:lineRule="exact"/>
        <w:ind w:left="0" w:leftChars="0" w:right="0" w:firstLine="640" w:firstLineChars="200"/>
        <w:jc w:val="both"/>
        <w:textAlignment w:val="auto"/>
        <w:outlineLvl w:val="9"/>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本单位定魏线、无繁线和羊曲线战备路占地补偿款项目绩效自评：根据年初设定的绩效目标，定魏线、无繁线和羊曲线战备路占地补偿款项目自评结果为良好。项目全年预算数为36.66万元。完成预算100%。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w:t>
      </w:r>
      <w:r>
        <w:rPr>
          <w:rFonts w:hint="eastAsia" w:ascii="仿宋_GB2312" w:eastAsia="仿宋_GB2312" w:cs="DengXian-Regular"/>
          <w:sz w:val="32"/>
          <w:szCs w:val="32"/>
          <w:lang w:val="en-US" w:eastAsia="zh-CN"/>
        </w:rPr>
        <w:t>119.17</w:t>
      </w:r>
      <w:r>
        <w:rPr>
          <w:rFonts w:hint="eastAsia" w:ascii="仿宋_GB2312" w:eastAsia="仿宋_GB2312" w:cs="DengXian-Regular"/>
          <w:sz w:val="32"/>
          <w:szCs w:val="32"/>
        </w:rPr>
        <w:t>万元，比2016年度增加</w:t>
      </w:r>
      <w:r>
        <w:rPr>
          <w:rFonts w:hint="eastAsia" w:ascii="仿宋_GB2312" w:eastAsia="仿宋_GB2312" w:cs="DengXian-Regular"/>
          <w:sz w:val="32"/>
          <w:szCs w:val="32"/>
          <w:lang w:val="en-US" w:eastAsia="zh-CN"/>
        </w:rPr>
        <w:t>24.52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20.58</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业务增多</w:t>
      </w:r>
      <w:r>
        <w:rPr>
          <w:rFonts w:hint="eastAsia" w:ascii="仿宋_GB2312" w:eastAsia="仿宋_GB2312" w:cs="DengXian-Regular"/>
          <w:sz w:val="32"/>
          <w:szCs w:val="32"/>
        </w:rPr>
        <w:t>。</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万元，其中：政府采购货物支出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万元、政府采购工程支出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万元、政府采购服务支出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辆，其中，市级领导干部用车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辆、一般公务用车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辆、一般执法执勤用车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辆、特种专业技术用车</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辆、其他用车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辆，其他用车主要是</w:t>
      </w:r>
      <w:r>
        <w:rPr>
          <w:rFonts w:hint="eastAsia" w:ascii="仿宋_GB2312" w:eastAsia="仿宋_GB2312" w:cs="DengXian-Regular"/>
          <w:sz w:val="32"/>
          <w:szCs w:val="32"/>
          <w:lang w:eastAsia="zh-CN"/>
        </w:rPr>
        <w:t>洒水车</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台。</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w:t>
      </w:r>
      <w:r>
        <w:rPr>
          <w:rFonts w:hint="eastAsia" w:ascii="仿宋_GB2312" w:eastAsia="仿宋_GB2312" w:cs="DengXian-Regular"/>
          <w:sz w:val="32"/>
          <w:szCs w:val="32"/>
          <w:lang w:eastAsia="zh-CN"/>
        </w:rPr>
        <w:t>政府性基金预算财政拨款收入支出决算表为空、国有资本经营预算财政拨款收入支出决算表为空、政府采购情况表为空</w:t>
      </w:r>
      <w:r>
        <w:rPr>
          <w:rFonts w:hint="eastAsia" w:ascii="仿宋_GB2312" w:eastAsia="仿宋_GB2312" w:cs="DengXian-Regular"/>
          <w:sz w:val="32"/>
          <w:szCs w:val="32"/>
        </w:rPr>
        <w:t>，故表以空表列示。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tentative="0">
      <w:start w:val="3"/>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27F2A"/>
    <w:rsid w:val="2E894DDE"/>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qFormat/>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6">
    <w:name w:val="footer"/>
    <w:basedOn w:val="1"/>
    <w:link w:val="16"/>
    <w:qFormat/>
    <w:uiPriority w:val="0"/>
    <w:pPr>
      <w:tabs>
        <w:tab w:val="center" w:pos="4153"/>
        <w:tab w:val="right" w:pos="8306"/>
      </w:tabs>
      <w:snapToGrid w:val="0"/>
      <w:jc w:val="left"/>
    </w:pPr>
    <w:rPr>
      <w:sz w:val="18"/>
      <w:szCs w:val="18"/>
    </w:rPr>
  </w:style>
  <w:style w:type="paragraph" w:styleId="7">
    <w:name w:val="header"/>
    <w:basedOn w:val="1"/>
    <w:link w:val="17"/>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8"/>
    <w:qFormat/>
    <w:uiPriority w:val="0"/>
    <w:pPr>
      <w:widowControl/>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19"/>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qFormat/>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qFormat/>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character" w:customStyle="1" w:styleId="16">
    <w:name w:val="页脚 Char"/>
    <w:basedOn w:val="11"/>
    <w:link w:val="6"/>
    <w:semiHidden/>
    <w:qFormat/>
    <w:uiPriority w:val="0"/>
    <w:rPr>
      <w:sz w:val="18"/>
      <w:szCs w:val="18"/>
    </w:rPr>
  </w:style>
  <w:style w:type="character" w:customStyle="1" w:styleId="17">
    <w:name w:val="页眉 Char"/>
    <w:basedOn w:val="11"/>
    <w:link w:val="7"/>
    <w:semiHidden/>
    <w:qFormat/>
    <w:uiPriority w:val="0"/>
    <w:rPr>
      <w:sz w:val="18"/>
      <w:szCs w:val="18"/>
    </w:rPr>
  </w:style>
  <w:style w:type="character" w:customStyle="1" w:styleId="18">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19">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0">
    <w:name w:val="批注框文本 Char Char"/>
    <w:basedOn w:val="1"/>
    <w:link w:val="22"/>
    <w:qFormat/>
    <w:uiPriority w:val="0"/>
    <w:rPr>
      <w:rFonts w:ascii="Times New Roman" w:hAnsi="Times New Roman" w:eastAsia="宋体" w:cs="Times New Roman"/>
      <w:sz w:val="18"/>
      <w:szCs w:val="18"/>
    </w:rPr>
  </w:style>
  <w:style w:type="paragraph" w:customStyle="1" w:styleId="21">
    <w:name w:val="No Spacing"/>
    <w:link w:val="23"/>
    <w:uiPriority w:val="0"/>
    <w:pPr>
      <w:spacing w:after="160" w:line="480" w:lineRule="auto"/>
    </w:pPr>
    <w:rPr>
      <w:rFonts w:ascii="Calibri" w:hAnsi="Calibri" w:eastAsia="宋体" w:cs="Calibri"/>
      <w:kern w:val="0"/>
      <w:sz w:val="22"/>
      <w:lang w:val="en-US" w:eastAsia="zh-CN" w:bidi="ar-SA"/>
    </w:rPr>
  </w:style>
  <w:style w:type="character" w:customStyle="1" w:styleId="22">
    <w:name w:val="批注框文本 Char Char Char"/>
    <w:basedOn w:val="11"/>
    <w:link w:val="20"/>
    <w:semiHidden/>
    <w:qFormat/>
    <w:uiPriority w:val="0"/>
    <w:rPr>
      <w:rFonts w:ascii="Times New Roman" w:hAnsi="Times New Roman" w:eastAsia="宋体" w:cs="Times New Roman"/>
      <w:sz w:val="18"/>
      <w:szCs w:val="18"/>
    </w:rPr>
  </w:style>
  <w:style w:type="character" w:customStyle="1" w:styleId="23">
    <w:name w:val="无间隔 Char"/>
    <w:basedOn w:val="11"/>
    <w:link w:val="21"/>
    <w:semiHidden/>
    <w:qFormat/>
    <w:uiPriority w:val="0"/>
    <w:rPr>
      <w:kern w:val="0"/>
      <w:sz w:val="22"/>
    </w:rPr>
  </w:style>
  <w:style w:type="character" w:customStyle="1" w:styleId="24">
    <w:name w:val="Style1"/>
    <w:basedOn w:val="11"/>
    <w:uiPriority w:val="0"/>
    <w:rPr>
      <w:rFonts w:ascii="Cambria" w:hAnsi="黑体" w:eastAsia="黑体" w:cs="黑体"/>
      <w:sz w:val="22"/>
      <w:szCs w:val="22"/>
      <w:lang w:eastAsia="zh-CN"/>
    </w:rPr>
  </w:style>
  <w:style w:type="character" w:customStyle="1" w:styleId="25">
    <w:name w:val="Style2"/>
    <w:basedOn w:val="11"/>
    <w:qFormat/>
    <w:uiPriority w:val="0"/>
    <w:rPr>
      <w:rFonts w:ascii="Cambria" w:hAnsi="黑体" w:eastAsia="黑体" w:cs="黑体"/>
      <w:sz w:val="22"/>
      <w:szCs w:val="22"/>
      <w:lang w:eastAsia="zh-CN"/>
    </w:rPr>
  </w:style>
  <w:style w:type="character" w:customStyle="1" w:styleId="26">
    <w:name w:val="Style3"/>
    <w:basedOn w:val="11"/>
    <w:qFormat/>
    <w:uiPriority w:val="0"/>
    <w:rPr>
      <w:rFonts w:ascii="Cambria" w:hAnsi="黑体" w:eastAsia="黑体" w:cs="黑体"/>
      <w:szCs w:val="22"/>
      <w:lang w:eastAsia="zh-CN"/>
    </w:rPr>
  </w:style>
  <w:style w:type="character" w:customStyle="1" w:styleId="27">
    <w:name w:val="Style4"/>
    <w:basedOn w:val="11"/>
    <w:uiPriority w:val="0"/>
    <w:rPr>
      <w:rFonts w:ascii="Cambria" w:hAnsi="黑体" w:eastAsia="黑体" w:cs="黑体"/>
      <w:szCs w:val="22"/>
      <w:lang w:eastAsia="zh-CN"/>
    </w:rPr>
  </w:style>
  <w:style w:type="character" w:customStyle="1" w:styleId="28">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819</Words>
  <Characters>4669</Characters>
  <Lines>38</Lines>
  <Paragraphs>10</Paragraphs>
  <TotalTime>15</TotalTime>
  <ScaleCrop>false</ScaleCrop>
  <LinksUpToDate>false</LinksUpToDate>
  <CharactersWithSpaces>0</CharactersWithSpaces>
  <Application>WPS Office_11.1.0.8527_F1E327BC-269C-435d-A152-05C5408002CA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2018-08-30T00:38:00Z</dcterms:created>
  <dc:creator>User</dc:creator>
  <cp:lastModifiedBy>Administrator</cp:lastModifiedBy>
  <dcterms:modified xsi:type="dcterms:W3CDTF">2019-03-18T01:19:17Z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2052-11.1.0.8527</vt:lpwstr>
  </property>
</Properties>
</file>