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hint="eastAsia" w:ascii="宋体" w:hAnsi="宋体"/>
          <w:b/>
          <w:sz w:val="44"/>
          <w:szCs w:val="44"/>
          <w:lang w:eastAsia="zh-CN"/>
        </w:rPr>
      </w:pPr>
      <w:r>
        <w:rPr>
          <w:rFonts w:hint="eastAsia" w:ascii="宋体" w:hAnsi="宋体"/>
          <w:b/>
          <w:sz w:val="44"/>
          <w:szCs w:val="44"/>
          <w:lang w:eastAsia="zh-CN"/>
        </w:rPr>
        <w:t>无极县人大办</w:t>
      </w:r>
    </w:p>
    <w:p>
      <w:pPr>
        <w:widowControl/>
        <w:jc w:val="center"/>
        <w:rPr>
          <w:rFonts w:ascii="宋体" w:hAnsi="宋体"/>
          <w:b/>
          <w:sz w:val="44"/>
          <w:szCs w:val="44"/>
        </w:rPr>
      </w:pPr>
      <w:r>
        <w:rPr>
          <w:rFonts w:hint="eastAsia" w:ascii="宋体" w:hAnsi="宋体"/>
          <w:b/>
          <w:sz w:val="44"/>
          <w:szCs w:val="44"/>
        </w:rPr>
        <w:t>2018年9月18日</w:t>
      </w:r>
    </w:p>
    <w:p>
      <w:pPr>
        <w:widowControl/>
        <w:shd w:val="clear" w:color="040000" w:fill="FFFFFF"/>
        <w:spacing w:before="0" w:beforeAutospacing="0" w:after="160" w:afterAutospacing="0" w:line="580" w:lineRule="atLeast"/>
        <w:ind w:left="0" w:right="0" w:firstLine="640"/>
        <w:jc w:val="both"/>
        <w:rPr>
          <w:rFonts w:ascii="黑体" w:hAnsi="Times New Roman" w:eastAsia="黑体" w:cs="黑体"/>
          <w:b w:val="0"/>
          <w:i w:val="0"/>
          <w:caps w:val="0"/>
          <w:color w:val="000000"/>
          <w:spacing w:val="0"/>
          <w:kern w:val="0"/>
          <w:sz w:val="32"/>
          <w:szCs w:val="32"/>
          <w:shd w:val="clear" w:color="090000" w:fill="FFFFFF"/>
          <w:lang w:val="en-US" w:eastAsia="zh-CN"/>
        </w:rPr>
      </w:pPr>
    </w:p>
    <w:p>
      <w:pPr>
        <w:widowControl/>
        <w:shd w:val="clear" w:color="040000" w:fill="FFFFFF"/>
        <w:spacing w:before="0" w:beforeAutospacing="0" w:after="160" w:afterAutospacing="0" w:line="580" w:lineRule="atLeast"/>
        <w:ind w:left="0" w:right="0" w:firstLine="640"/>
        <w:jc w:val="both"/>
        <w:rPr>
          <w:rFonts w:hint="eastAsia" w:ascii="宋体" w:hAnsi="宋体" w:eastAsia="宋体" w:cs="宋体"/>
          <w:b/>
          <w:bCs/>
          <w:i w:val="0"/>
          <w:caps w:val="0"/>
          <w:color w:val="000000"/>
          <w:spacing w:val="0"/>
          <w:sz w:val="32"/>
          <w:szCs w:val="32"/>
        </w:rPr>
      </w:pPr>
      <w:r>
        <w:rPr>
          <w:rFonts w:hint="eastAsia" w:ascii="宋体" w:hAnsi="宋体" w:eastAsia="宋体" w:cs="宋体"/>
          <w:b/>
          <w:bCs/>
          <w:i w:val="0"/>
          <w:caps w:val="0"/>
          <w:color w:val="000000"/>
          <w:spacing w:val="0"/>
          <w:kern w:val="0"/>
          <w:sz w:val="32"/>
          <w:szCs w:val="32"/>
          <w:shd w:val="clear" w:color="0A0000" w:fill="FFFFFF"/>
          <w:lang w:val="en-US" w:eastAsia="zh-CN"/>
        </w:rPr>
        <w:t>第一部分   无极县人大办部门概况  </w:t>
      </w:r>
    </w:p>
    <w:p>
      <w:pPr>
        <w:widowControl/>
        <w:shd w:val="clear" w:color="040000" w:fill="FFFFFF"/>
        <w:spacing w:before="0" w:beforeAutospacing="0" w:after="160" w:afterAutospacing="0" w:line="580" w:lineRule="atLeast"/>
        <w:ind w:left="0" w:right="0" w:firstLine="640"/>
        <w:jc w:val="both"/>
        <w:rPr>
          <w:rFonts w:hint="default" w:ascii="Times New Roman" w:hAnsi="Times New Roman" w:cs="Times New Roman"/>
          <w:b w:val="0"/>
          <w:i w:val="0"/>
          <w:caps w:val="0"/>
          <w:color w:val="000000"/>
          <w:spacing w:val="0"/>
          <w:sz w:val="32"/>
          <w:szCs w:val="32"/>
        </w:rPr>
      </w:pPr>
      <w:r>
        <w:rPr>
          <w:rFonts w:ascii="仿宋_GB2312" w:hAnsi="Times New Roman" w:eastAsia="仿宋_GB2312" w:cs="仿宋_GB2312"/>
          <w:b w:val="0"/>
          <w:i w:val="0"/>
          <w:caps w:val="0"/>
          <w:color w:val="000000"/>
          <w:spacing w:val="0"/>
          <w:kern w:val="0"/>
          <w:sz w:val="32"/>
          <w:szCs w:val="32"/>
          <w:shd w:val="clear" w:color="090000" w:fill="FFFFFF"/>
          <w:lang w:val="en-US" w:eastAsia="zh-CN"/>
        </w:rPr>
        <w:t>一、部门</w:t>
      </w: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职责</w:t>
      </w:r>
    </w:p>
    <w:p>
      <w:pPr>
        <w:widowControl/>
        <w:shd w:val="clear" w:color="040000" w:fill="FFFFFF"/>
        <w:spacing w:before="0" w:beforeAutospacing="0" w:after="160" w:afterAutospacing="0" w:line="580" w:lineRule="atLeast"/>
        <w:ind w:left="0" w:right="0" w:firstLine="64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二、部门决算单位构成</w:t>
      </w:r>
    </w:p>
    <w:p>
      <w:pPr>
        <w:widowControl/>
        <w:shd w:val="clear" w:color="040000" w:fill="FFFFFF"/>
        <w:spacing w:before="0" w:beforeAutospacing="0" w:after="160" w:afterAutospacing="0" w:line="580" w:lineRule="atLeast"/>
        <w:ind w:left="0" w:right="0" w:firstLine="640"/>
        <w:jc w:val="both"/>
        <w:rPr>
          <w:rFonts w:hint="eastAsia" w:ascii="宋体" w:hAnsi="宋体" w:eastAsia="宋体" w:cs="宋体"/>
          <w:b/>
          <w:bCs/>
          <w:i w:val="0"/>
          <w:caps w:val="0"/>
          <w:color w:val="000000"/>
          <w:spacing w:val="0"/>
          <w:sz w:val="32"/>
          <w:szCs w:val="32"/>
        </w:rPr>
      </w:pPr>
      <w:r>
        <w:rPr>
          <w:rFonts w:hint="eastAsia" w:ascii="宋体" w:hAnsi="宋体" w:eastAsia="宋体" w:cs="宋体"/>
          <w:b/>
          <w:bCs/>
          <w:i w:val="0"/>
          <w:caps w:val="0"/>
          <w:color w:val="000000"/>
          <w:spacing w:val="0"/>
          <w:kern w:val="0"/>
          <w:sz w:val="32"/>
          <w:szCs w:val="32"/>
          <w:shd w:val="clear" w:color="0A0000" w:fill="FFFFFF"/>
          <w:lang w:val="en-US" w:eastAsia="zh-CN"/>
        </w:rPr>
        <w:t>第二部分 无极县人大办部门2017年度部门决算报表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一、收入支出决算总表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二、收入决算表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三、支出决算表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四、财政拨款收入支出决算总表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五、一般公共预算财政拨款收入支出决算表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六、一般公共预算财政拨款基本支出决算经济分类表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七、政府性基金预算财政拨款收入支出决算表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八、国有资本经营预算财政拨款收入支出决算表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九、“三公”经费等相关信息统计表</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十、政府采购情况表</w:t>
      </w:r>
    </w:p>
    <w:p>
      <w:pPr>
        <w:widowControl/>
        <w:shd w:val="clear" w:color="040000" w:fill="FFFFFF"/>
        <w:spacing w:before="0" w:beforeAutospacing="0" w:after="160" w:afterAutospacing="0" w:line="580" w:lineRule="atLeast"/>
        <w:ind w:left="0" w:right="0" w:firstLine="640"/>
        <w:jc w:val="both"/>
        <w:rPr>
          <w:rFonts w:hint="eastAsia" w:ascii="黑体" w:hAnsi="Times New Roman" w:eastAsia="黑体" w:cs="黑体"/>
          <w:b w:val="0"/>
          <w:i w:val="0"/>
          <w:caps w:val="0"/>
          <w:color w:val="000000"/>
          <w:spacing w:val="0"/>
          <w:kern w:val="0"/>
          <w:sz w:val="32"/>
          <w:szCs w:val="32"/>
          <w:shd w:val="clear" w:color="090000" w:fill="FFFFFF"/>
          <w:lang w:val="en-US" w:eastAsia="zh-CN"/>
        </w:rPr>
      </w:pPr>
    </w:p>
    <w:p>
      <w:pPr>
        <w:widowControl/>
        <w:shd w:val="clear" w:color="040000" w:fill="FFFFFF"/>
        <w:spacing w:before="0" w:beforeAutospacing="0" w:after="160" w:afterAutospacing="0" w:line="580" w:lineRule="atLeast"/>
        <w:ind w:left="0" w:right="0" w:firstLine="640"/>
        <w:jc w:val="both"/>
        <w:rPr>
          <w:rFonts w:hint="eastAsia" w:ascii="黑体" w:hAnsi="Times New Roman" w:eastAsia="黑体" w:cs="黑体"/>
          <w:b w:val="0"/>
          <w:i w:val="0"/>
          <w:caps w:val="0"/>
          <w:color w:val="000000"/>
          <w:spacing w:val="0"/>
          <w:kern w:val="0"/>
          <w:sz w:val="32"/>
          <w:szCs w:val="32"/>
          <w:shd w:val="clear" w:color="090000" w:fill="FFFFFF"/>
          <w:lang w:val="en-US" w:eastAsia="zh-CN"/>
        </w:rPr>
      </w:pPr>
    </w:p>
    <w:p>
      <w:pPr>
        <w:widowControl/>
        <w:shd w:val="clear" w:color="040000" w:fill="FFFFFF"/>
        <w:spacing w:before="0" w:beforeAutospacing="0" w:after="160" w:afterAutospacing="0" w:line="580" w:lineRule="atLeast"/>
        <w:ind w:left="0" w:right="0" w:firstLine="640"/>
        <w:jc w:val="both"/>
        <w:rPr>
          <w:rFonts w:hint="eastAsia" w:ascii="宋体" w:hAnsi="宋体" w:eastAsia="宋体" w:cs="宋体"/>
          <w:b/>
          <w:bCs/>
          <w:i w:val="0"/>
          <w:caps w:val="0"/>
          <w:color w:val="000000"/>
          <w:spacing w:val="0"/>
          <w:sz w:val="32"/>
          <w:szCs w:val="32"/>
        </w:rPr>
      </w:pPr>
      <w:r>
        <w:rPr>
          <w:rFonts w:hint="eastAsia" w:ascii="宋体" w:hAnsi="宋体" w:eastAsia="宋体" w:cs="宋体"/>
          <w:b/>
          <w:bCs/>
          <w:i w:val="0"/>
          <w:caps w:val="0"/>
          <w:color w:val="000000"/>
          <w:spacing w:val="0"/>
          <w:kern w:val="0"/>
          <w:sz w:val="32"/>
          <w:szCs w:val="32"/>
          <w:shd w:val="clear" w:color="0A0000" w:fill="FFFFFF"/>
          <w:lang w:val="en-US" w:eastAsia="zh-CN"/>
        </w:rPr>
        <w:t>第三部分  无极县人大办部门2017年部门决算情况说明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一、收入支出决算总体情况说明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二、收入决算情况说明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三、支出决算情况说明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四、财政拨款收入支出决算总体情况说明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五、“三公”经费支出决算情况说明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六、预算绩效管理工作开展情况说明</w:t>
      </w:r>
    </w:p>
    <w:p>
      <w:pPr>
        <w:widowControl/>
        <w:shd w:val="clear" w:color="040000" w:fill="FFFFFF"/>
        <w:spacing w:before="0" w:beforeAutospacing="0" w:after="160" w:afterAutospacing="0" w:line="580" w:lineRule="atLeast"/>
        <w:ind w:right="0" w:firstLine="640" w:firstLineChars="200"/>
        <w:jc w:val="both"/>
        <w:rPr>
          <w:rFonts w:hint="default" w:ascii="Times New Roman" w:hAnsi="Times New Roman" w:cs="Times New Roman"/>
          <w:b w:val="0"/>
          <w:i w:val="0"/>
          <w:caps w:val="0"/>
          <w:color w:val="000000"/>
          <w:spacing w:val="0"/>
          <w:sz w:val="32"/>
          <w:szCs w:val="32"/>
        </w:rPr>
      </w:pPr>
      <w:r>
        <w:rPr>
          <w:rFonts w:hint="eastAsia" w:ascii="仿宋_GB2312" w:hAnsi="Times New Roman" w:eastAsia="仿宋_GB2312" w:cs="仿宋_GB2312"/>
          <w:b w:val="0"/>
          <w:i w:val="0"/>
          <w:caps w:val="0"/>
          <w:color w:val="000000"/>
          <w:spacing w:val="0"/>
          <w:kern w:val="0"/>
          <w:sz w:val="32"/>
          <w:szCs w:val="32"/>
          <w:shd w:val="clear" w:color="090000" w:fill="FFFFFF"/>
          <w:lang w:val="en-US" w:eastAsia="zh-CN"/>
        </w:rPr>
        <w:t>七、其他重要事项的说明</w:t>
      </w:r>
    </w:p>
    <w:p>
      <w:pPr>
        <w:widowControl/>
        <w:shd w:val="clear" w:color="040000" w:fill="FFFFFF"/>
        <w:spacing w:before="0" w:beforeAutospacing="0" w:after="160" w:afterAutospacing="0" w:line="580" w:lineRule="atLeast"/>
        <w:ind w:right="0" w:firstLine="640" w:firstLineChars="200"/>
        <w:jc w:val="both"/>
        <w:rPr>
          <w:rFonts w:hint="eastAsia" w:ascii="仿宋_GB2312" w:hAnsi="仿宋_GB2312" w:eastAsia="仿宋_GB2312" w:cs="仿宋_GB2312"/>
          <w:b w:val="0"/>
          <w:i w:val="0"/>
          <w:caps w:val="0"/>
          <w:color w:val="000000"/>
          <w:spacing w:val="0"/>
          <w:sz w:val="32"/>
          <w:szCs w:val="32"/>
        </w:rPr>
      </w:pPr>
      <w:r>
        <w:rPr>
          <w:rFonts w:hint="eastAsia" w:ascii="仿宋_GB2312" w:hAnsi="仿宋_GB2312" w:eastAsia="仿宋_GB2312" w:cs="仿宋_GB2312"/>
          <w:b w:val="0"/>
          <w:i w:val="0"/>
          <w:caps w:val="0"/>
          <w:color w:val="000000"/>
          <w:spacing w:val="0"/>
          <w:kern w:val="0"/>
          <w:sz w:val="32"/>
          <w:szCs w:val="32"/>
          <w:shd w:val="clear" w:color="090000" w:fill="FFFFFF"/>
          <w:lang w:val="en-US" w:eastAsia="zh-CN"/>
        </w:rPr>
        <w:t>1.机关运行经费情况</w:t>
      </w:r>
    </w:p>
    <w:p>
      <w:pPr>
        <w:widowControl/>
        <w:shd w:val="clear" w:color="040000" w:fill="FFFFFF"/>
        <w:spacing w:before="0" w:beforeAutospacing="0" w:after="160" w:afterAutospacing="0" w:line="580" w:lineRule="atLeast"/>
        <w:ind w:right="0" w:firstLine="640" w:firstLineChars="200"/>
        <w:jc w:val="both"/>
        <w:rPr>
          <w:rFonts w:hint="eastAsia" w:ascii="仿宋_GB2312" w:hAnsi="仿宋_GB2312" w:eastAsia="仿宋_GB2312" w:cs="仿宋_GB2312"/>
          <w:b w:val="0"/>
          <w:i w:val="0"/>
          <w:caps w:val="0"/>
          <w:color w:val="000000"/>
          <w:spacing w:val="0"/>
          <w:sz w:val="32"/>
          <w:szCs w:val="32"/>
        </w:rPr>
      </w:pPr>
      <w:r>
        <w:rPr>
          <w:rFonts w:hint="eastAsia" w:ascii="仿宋_GB2312" w:hAnsi="仿宋_GB2312" w:eastAsia="仿宋_GB2312" w:cs="仿宋_GB2312"/>
          <w:b w:val="0"/>
          <w:i w:val="0"/>
          <w:caps w:val="0"/>
          <w:color w:val="000000"/>
          <w:spacing w:val="0"/>
          <w:kern w:val="0"/>
          <w:sz w:val="32"/>
          <w:szCs w:val="32"/>
          <w:shd w:val="clear" w:color="090000" w:fill="FFFFFF"/>
          <w:lang w:val="en-US" w:eastAsia="zh-CN"/>
        </w:rPr>
        <w:t>2.政府采购情况</w:t>
      </w:r>
    </w:p>
    <w:p>
      <w:pPr>
        <w:widowControl/>
        <w:shd w:val="clear" w:color="040000" w:fill="FFFFFF"/>
        <w:spacing w:before="0" w:beforeAutospacing="0" w:after="160" w:afterAutospacing="0" w:line="580" w:lineRule="atLeast"/>
        <w:ind w:right="0" w:firstLine="640" w:firstLineChars="200"/>
        <w:jc w:val="both"/>
        <w:rPr>
          <w:rFonts w:hint="eastAsia" w:ascii="仿宋_GB2312" w:hAnsi="仿宋_GB2312" w:eastAsia="仿宋_GB2312" w:cs="仿宋_GB2312"/>
          <w:b w:val="0"/>
          <w:i w:val="0"/>
          <w:caps w:val="0"/>
          <w:color w:val="000000"/>
          <w:spacing w:val="0"/>
          <w:sz w:val="32"/>
          <w:szCs w:val="32"/>
        </w:rPr>
      </w:pPr>
      <w:r>
        <w:rPr>
          <w:rFonts w:hint="eastAsia" w:ascii="仿宋_GB2312" w:hAnsi="仿宋_GB2312" w:eastAsia="仿宋_GB2312" w:cs="仿宋_GB2312"/>
          <w:b w:val="0"/>
          <w:i w:val="0"/>
          <w:caps w:val="0"/>
          <w:color w:val="000000"/>
          <w:spacing w:val="0"/>
          <w:kern w:val="0"/>
          <w:sz w:val="32"/>
          <w:szCs w:val="32"/>
          <w:shd w:val="clear" w:color="090000" w:fill="FFFFFF"/>
          <w:lang w:val="en-US" w:eastAsia="zh-CN"/>
        </w:rPr>
        <w:t>3.国有资产占用情况</w:t>
      </w:r>
    </w:p>
    <w:p>
      <w:pPr>
        <w:widowControl/>
        <w:shd w:val="clear" w:color="040000" w:fill="FFFFFF"/>
        <w:spacing w:before="0" w:beforeAutospacing="0" w:after="160" w:afterAutospacing="0" w:line="580" w:lineRule="atLeast"/>
        <w:ind w:right="0" w:firstLine="640" w:firstLineChars="200"/>
        <w:jc w:val="both"/>
        <w:rPr>
          <w:rFonts w:hint="eastAsia" w:ascii="仿宋_GB2312" w:hAnsi="仿宋_GB2312" w:eastAsia="仿宋_GB2312" w:cs="仿宋_GB2312"/>
          <w:b w:val="0"/>
          <w:i w:val="0"/>
          <w:caps w:val="0"/>
          <w:color w:val="000000"/>
          <w:spacing w:val="0"/>
          <w:sz w:val="32"/>
          <w:szCs w:val="32"/>
        </w:rPr>
      </w:pPr>
      <w:r>
        <w:rPr>
          <w:rFonts w:hint="eastAsia" w:ascii="仿宋_GB2312" w:hAnsi="仿宋_GB2312" w:eastAsia="仿宋_GB2312" w:cs="仿宋_GB2312"/>
          <w:b w:val="0"/>
          <w:i w:val="0"/>
          <w:caps w:val="0"/>
          <w:color w:val="000000"/>
          <w:spacing w:val="0"/>
          <w:kern w:val="0"/>
          <w:sz w:val="32"/>
          <w:szCs w:val="32"/>
          <w:shd w:val="clear" w:color="090000" w:fill="FFFFFF"/>
          <w:lang w:val="en-US" w:eastAsia="zh-CN"/>
        </w:rPr>
        <w:t>4.其他需要说明的情况</w:t>
      </w:r>
    </w:p>
    <w:p>
      <w:pPr>
        <w:widowControl/>
        <w:shd w:val="clear" w:color="040000" w:fill="FFFFFF"/>
        <w:spacing w:before="0" w:beforeAutospacing="0" w:after="160" w:afterAutospacing="0" w:line="580" w:lineRule="atLeast"/>
        <w:ind w:left="0" w:right="0" w:firstLine="640"/>
        <w:jc w:val="both"/>
        <w:rPr>
          <w:rFonts w:hint="eastAsia" w:ascii="仿宋_GB2312" w:hAnsi="仿宋_GB2312" w:eastAsia="仿宋_GB2312" w:cs="仿宋_GB2312"/>
          <w:b/>
          <w:bCs/>
          <w:i w:val="0"/>
          <w:caps w:val="0"/>
          <w:color w:val="000000"/>
          <w:spacing w:val="0"/>
          <w:sz w:val="21"/>
          <w:szCs w:val="21"/>
        </w:rPr>
      </w:pPr>
      <w:r>
        <w:rPr>
          <w:rFonts w:hint="eastAsia" w:ascii="仿宋_GB2312" w:hAnsi="仿宋_GB2312" w:eastAsia="仿宋_GB2312" w:cs="仿宋_GB2312"/>
          <w:b/>
          <w:bCs/>
          <w:i w:val="0"/>
          <w:caps w:val="0"/>
          <w:color w:val="000000"/>
          <w:spacing w:val="0"/>
          <w:kern w:val="0"/>
          <w:sz w:val="32"/>
          <w:szCs w:val="32"/>
          <w:shd w:val="clear" w:color="0A0000" w:fill="FFFFFF"/>
          <w:lang w:val="en-US" w:eastAsia="zh-CN"/>
        </w:rPr>
        <w:t>第四部分  名词解释</w:t>
      </w:r>
    </w:p>
    <w:p>
      <w:pPr>
        <w:widowControl/>
        <w:spacing w:line="580" w:lineRule="exact"/>
        <w:jc w:val="center"/>
        <w:rPr>
          <w:rFonts w:eastAsia="方正小标宋_GBK"/>
          <w:sz w:val="44"/>
          <w:szCs w:val="44"/>
        </w:rPr>
      </w:pPr>
    </w:p>
    <w:p>
      <w:pPr>
        <w:widowControl/>
        <w:spacing w:line="580" w:lineRule="exact"/>
        <w:jc w:val="both"/>
        <w:rPr>
          <w:rFonts w:hint="eastAsia" w:ascii="黑体" w:eastAsia="黑体"/>
          <w:sz w:val="44"/>
          <w:szCs w:val="44"/>
        </w:rPr>
      </w:pPr>
    </w:p>
    <w:p>
      <w:pPr>
        <w:widowControl/>
        <w:spacing w:line="580" w:lineRule="exact"/>
        <w:jc w:val="center"/>
        <w:rPr>
          <w:rFonts w:hint="eastAsia" w:ascii="黑体" w:eastAsia="黑体"/>
          <w:sz w:val="44"/>
          <w:szCs w:val="44"/>
        </w:rPr>
      </w:pPr>
    </w:p>
    <w:p>
      <w:pPr>
        <w:widowControl/>
        <w:spacing w:line="580" w:lineRule="exact"/>
        <w:jc w:val="center"/>
        <w:rPr>
          <w:rFonts w:ascii="黑体" w:eastAsia="黑体"/>
          <w:sz w:val="44"/>
          <w:szCs w:val="44"/>
          <w:lang w:val="en-US"/>
        </w:rPr>
      </w:pPr>
      <w:r>
        <w:rPr>
          <w:rFonts w:hint="eastAsia" w:ascii="黑体" w:eastAsia="黑体"/>
          <w:sz w:val="44"/>
          <w:szCs w:val="44"/>
        </w:rPr>
        <w:t>部门</w:t>
      </w:r>
      <w:r>
        <w:rPr>
          <w:rFonts w:hint="eastAsia" w:ascii="黑体" w:eastAsia="黑体"/>
          <w:sz w:val="44"/>
          <w:szCs w:val="44"/>
          <w:lang w:val="en-US" w:eastAsia="zh-CN"/>
        </w:rPr>
        <w:t>概括</w:t>
      </w:r>
    </w:p>
    <w:p>
      <w:pPr>
        <w:widowControl/>
        <w:spacing w:line="580" w:lineRule="exact"/>
        <w:ind w:firstLine="640" w:firstLineChars="200"/>
        <w:rPr>
          <w:rFonts w:eastAsia="黑体"/>
          <w:sz w:val="32"/>
          <w:szCs w:val="32"/>
        </w:rPr>
      </w:pPr>
    </w:p>
    <w:p>
      <w:pPr>
        <w:ind w:firstLine="630" w:firstLineChars="196"/>
        <w:jc w:val="left"/>
        <w:outlineLvl w:val="0"/>
        <w:rPr>
          <w:rFonts w:hint="eastAsia" w:ascii="黑体" w:hAnsi="黑体" w:eastAsia="黑体" w:cs="黑体"/>
          <w:b/>
          <w:sz w:val="32"/>
          <w:szCs w:val="32"/>
        </w:rPr>
      </w:pPr>
      <w:r>
        <w:rPr>
          <w:rFonts w:hint="eastAsia" w:ascii="黑体" w:hAnsi="黑体" w:eastAsia="黑体" w:cs="黑体"/>
          <w:b/>
          <w:sz w:val="32"/>
          <w:szCs w:val="32"/>
        </w:rPr>
        <w:t>一、部门主要职责</w:t>
      </w:r>
    </w:p>
    <w:p>
      <w:pPr>
        <w:ind w:firstLine="640" w:firstLineChars="200"/>
        <w:rPr>
          <w:rFonts w:ascii="??" w:hAnsi="??" w:cs="仿宋_GB2312"/>
          <w:sz w:val="32"/>
          <w:szCs w:val="32"/>
        </w:rPr>
      </w:pPr>
      <w:r>
        <w:rPr>
          <w:rFonts w:hint="eastAsia" w:ascii="仿宋" w:hAnsi="仿宋" w:eastAsia="仿宋" w:cs="宋体"/>
          <w:sz w:val="32"/>
          <w:szCs w:val="32"/>
        </w:rP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ind w:firstLine="630" w:firstLineChars="196"/>
        <w:rPr>
          <w:rFonts w:hint="eastAsia" w:ascii="黑体" w:hAnsi="黑体" w:eastAsia="黑体" w:cs="黑体"/>
          <w:b/>
          <w:sz w:val="32"/>
          <w:szCs w:val="32"/>
        </w:rPr>
      </w:pPr>
      <w:r>
        <w:rPr>
          <w:rFonts w:hint="eastAsia" w:ascii="黑体" w:hAnsi="黑体" w:eastAsia="黑体" w:cs="黑体"/>
          <w:b/>
          <w:sz w:val="32"/>
          <w:szCs w:val="32"/>
        </w:rPr>
        <w:t>二、部门决算单位构成</w:t>
      </w:r>
    </w:p>
    <w:p>
      <w:pPr>
        <w:ind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2017年度，纳入本部门决算汇编范围的独立核算单位（以下简称“单位”）共1个，是无极县</w:t>
      </w:r>
      <w:r>
        <w:rPr>
          <w:rFonts w:hint="eastAsia" w:ascii="仿宋" w:hAnsi="仿宋" w:eastAsia="仿宋" w:cs="宋体"/>
          <w:sz w:val="32"/>
          <w:szCs w:val="32"/>
          <w:lang w:eastAsia="zh-CN"/>
        </w:rPr>
        <w:t>人民代表大会常务委员会办公室</w:t>
      </w:r>
      <w:r>
        <w:rPr>
          <w:rFonts w:hint="eastAsia" w:ascii="仿宋" w:hAnsi="仿宋" w:eastAsia="仿宋" w:cs="宋体"/>
          <w:sz w:val="32"/>
          <w:szCs w:val="32"/>
        </w:rPr>
        <w:t>，单位基本性质为行政单位，预算管理级次为</w:t>
      </w:r>
      <w:r>
        <w:rPr>
          <w:rFonts w:hint="eastAsia" w:ascii="仿宋" w:hAnsi="仿宋" w:eastAsia="仿宋" w:cs="宋体"/>
          <w:sz w:val="32"/>
          <w:szCs w:val="32"/>
          <w:lang w:val="en-US" w:eastAsia="zh-CN"/>
        </w:rPr>
        <w:t>一</w:t>
      </w:r>
      <w:r>
        <w:rPr>
          <w:rFonts w:hint="eastAsia" w:ascii="仿宋" w:hAnsi="仿宋" w:eastAsia="仿宋" w:cs="宋体"/>
          <w:sz w:val="32"/>
          <w:szCs w:val="32"/>
        </w:rPr>
        <w:t>级预算单位，执行</w:t>
      </w:r>
      <w:r>
        <w:rPr>
          <w:rFonts w:hint="eastAsia" w:ascii="仿宋" w:hAnsi="仿宋" w:eastAsia="仿宋" w:cs="宋体"/>
          <w:sz w:val="32"/>
          <w:szCs w:val="32"/>
          <w:lang w:val="en-US" w:eastAsia="zh-CN"/>
        </w:rPr>
        <w:t>行政</w:t>
      </w:r>
      <w:r>
        <w:rPr>
          <w:rFonts w:hint="eastAsia" w:ascii="仿宋" w:hAnsi="仿宋" w:eastAsia="仿宋" w:cs="宋体"/>
          <w:sz w:val="32"/>
          <w:szCs w:val="32"/>
        </w:rPr>
        <w:t>会计制度，较上年无增减变化</w:t>
      </w:r>
    </w:p>
    <w:p>
      <w:pPr>
        <w:widowControl/>
        <w:numPr>
          <w:ilvl w:val="0"/>
          <w:numId w:val="0"/>
        </w:numPr>
        <w:spacing w:line="580" w:lineRule="exact"/>
        <w:jc w:val="center"/>
        <w:rPr>
          <w:rFonts w:hint="eastAsia" w:ascii="仿宋_GB2312" w:hAnsi="仿宋_GB2312" w:eastAsia="仿宋_GB2312" w:cs="仿宋_GB2312"/>
          <w:b/>
          <w:bCs/>
          <w:sz w:val="36"/>
          <w:szCs w:val="36"/>
          <w:lang w:eastAsia="zh-CN"/>
        </w:rPr>
      </w:pPr>
    </w:p>
    <w:p>
      <w:pPr>
        <w:widowControl/>
        <w:numPr>
          <w:ilvl w:val="0"/>
          <w:numId w:val="0"/>
        </w:numPr>
        <w:spacing w:line="580" w:lineRule="exact"/>
        <w:jc w:val="center"/>
        <w:rPr>
          <w:rFonts w:hint="eastAsia" w:ascii="宋体" w:hAnsi="宋体" w:eastAsia="宋体" w:cs="宋体"/>
          <w:b/>
          <w:bCs/>
          <w:sz w:val="36"/>
          <w:szCs w:val="36"/>
        </w:rPr>
      </w:pPr>
      <w:r>
        <w:rPr>
          <w:rFonts w:hint="eastAsia" w:ascii="宋体" w:hAnsi="宋体" w:eastAsia="宋体" w:cs="宋体"/>
          <w:b/>
          <w:bCs/>
          <w:sz w:val="36"/>
          <w:szCs w:val="36"/>
          <w:lang w:eastAsia="zh-CN"/>
        </w:rPr>
        <w:t>第二部分</w:t>
      </w:r>
      <w:r>
        <w:rPr>
          <w:rFonts w:hint="eastAsia" w:ascii="宋体" w:hAnsi="宋体" w:eastAsia="宋体" w:cs="宋体"/>
          <w:b/>
          <w:bCs/>
          <w:sz w:val="36"/>
          <w:szCs w:val="36"/>
        </w:rPr>
        <w:t xml:space="preserve">  </w:t>
      </w:r>
      <w:r>
        <w:rPr>
          <w:rFonts w:hint="eastAsia" w:ascii="宋体" w:hAnsi="宋体" w:eastAsia="宋体" w:cs="宋体"/>
          <w:b/>
          <w:bCs/>
          <w:sz w:val="36"/>
          <w:szCs w:val="36"/>
          <w:lang w:eastAsia="zh-CN"/>
        </w:rPr>
        <w:t>人大办</w:t>
      </w:r>
      <w:r>
        <w:rPr>
          <w:rFonts w:hint="eastAsia" w:ascii="宋体" w:hAnsi="宋体" w:eastAsia="宋体" w:cs="宋体"/>
          <w:b/>
          <w:bCs/>
          <w:sz w:val="36"/>
          <w:szCs w:val="36"/>
        </w:rPr>
        <w:t>部门2017年度部门决算报表</w:t>
      </w:r>
    </w:p>
    <w:p>
      <w:pPr>
        <w:ind w:firstLine="640" w:firstLineChars="200"/>
        <w:rPr>
          <w:rFonts w:hint="eastAsia" w:ascii="仿宋" w:hAnsi="仿宋" w:eastAsia="仿宋" w:cs="宋体"/>
          <w:sz w:val="32"/>
          <w:szCs w:val="32"/>
          <w:lang w:val="en-US" w:eastAsia="zh-CN"/>
        </w:rPr>
      </w:pPr>
      <w:r>
        <w:rPr>
          <w:rFonts w:hint="eastAsia" w:eastAsia="黑体"/>
          <w:sz w:val="32"/>
          <w:szCs w:val="32"/>
          <w:lang w:val="en-US" w:eastAsia="zh-CN"/>
        </w:rPr>
        <w:t xml:space="preserve">      </w:t>
      </w:r>
      <w:r>
        <w:rPr>
          <w:rFonts w:hint="eastAsia" w:ascii="仿宋" w:hAnsi="仿宋" w:eastAsia="仿宋" w:cs="宋体"/>
          <w:sz w:val="32"/>
          <w:szCs w:val="32"/>
          <w:lang w:val="en-US" w:eastAsia="zh-CN"/>
        </w:rPr>
        <w:t xml:space="preserve">                （详见附件）</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一、收入支出决算总表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二、收入决算表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三、支出决算表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四、财政拨款收入支出决算总表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五、一般公共预算财政拨款收入支出决算表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六、一般公共预算财政拨款基本支出决算经济分类表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七、政府性基金预算财政拨款收入支出决算表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八、国有资本经营预算财政拨款收入支出决算表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九、“三公”经费等相关信息统计表</w:t>
      </w:r>
    </w:p>
    <w:p>
      <w:pPr>
        <w:ind w:firstLine="640" w:firstLineChars="200"/>
        <w:rPr>
          <w:rFonts w:hint="eastAsia" w:ascii="仿宋" w:hAnsi="仿宋" w:eastAsia="仿宋" w:cs="宋体"/>
          <w:sz w:val="32"/>
          <w:szCs w:val="32"/>
        </w:rPr>
      </w:pPr>
      <w:r>
        <w:rPr>
          <w:rFonts w:hint="eastAsia" w:ascii="仿宋" w:hAnsi="仿宋" w:eastAsia="仿宋" w:cs="宋体"/>
          <w:sz w:val="32"/>
          <w:szCs w:val="32"/>
        </w:rPr>
        <w:t>十、政府采购情况表</w:t>
      </w:r>
    </w:p>
    <w:p>
      <w:pPr>
        <w:widowControl/>
        <w:spacing w:line="580" w:lineRule="exact"/>
        <w:ind w:firstLine="643" w:firstLineChars="200"/>
        <w:rPr>
          <w:rFonts w:hint="eastAsia" w:ascii="仿宋_GB2312" w:hAnsi="仿宋_GB2312" w:eastAsia="仿宋_GB2312" w:cs="仿宋_GB2312"/>
          <w:b/>
          <w:bCs/>
          <w:sz w:val="32"/>
          <w:szCs w:val="32"/>
        </w:rPr>
      </w:pPr>
    </w:p>
    <w:p>
      <w:pPr>
        <w:widowControl/>
        <w:spacing w:line="580" w:lineRule="exact"/>
        <w:ind w:firstLine="643" w:firstLineChars="200"/>
        <w:rPr>
          <w:rFonts w:hint="eastAsia" w:ascii="仿宋_GB2312" w:hAnsi="仿宋_GB2312" w:eastAsia="仿宋_GB2312" w:cs="仿宋_GB2312"/>
          <w:b/>
          <w:bCs/>
          <w:sz w:val="32"/>
          <w:szCs w:val="32"/>
        </w:rPr>
      </w:pPr>
    </w:p>
    <w:p>
      <w:pPr>
        <w:widowControl/>
        <w:spacing w:line="580" w:lineRule="exact"/>
        <w:ind w:firstLine="643" w:firstLineChars="200"/>
        <w:rPr>
          <w:rFonts w:hint="eastAsia" w:ascii="仿宋_GB2312" w:hAnsi="仿宋_GB2312" w:eastAsia="仿宋_GB2312" w:cs="仿宋_GB2312"/>
          <w:b/>
          <w:bCs/>
          <w:sz w:val="32"/>
          <w:szCs w:val="32"/>
        </w:rPr>
      </w:pPr>
    </w:p>
    <w:p>
      <w:pPr>
        <w:widowControl/>
        <w:spacing w:line="580" w:lineRule="exact"/>
        <w:ind w:firstLine="643" w:firstLineChars="200"/>
        <w:rPr>
          <w:rFonts w:hint="eastAsia" w:ascii="仿宋_GB2312" w:hAnsi="仿宋_GB2312" w:eastAsia="仿宋_GB2312" w:cs="仿宋_GB2312"/>
          <w:b/>
          <w:bCs/>
          <w:sz w:val="32"/>
          <w:szCs w:val="32"/>
        </w:rPr>
      </w:pPr>
    </w:p>
    <w:p>
      <w:pPr>
        <w:widowControl/>
        <w:spacing w:line="580" w:lineRule="exact"/>
        <w:ind w:firstLine="643" w:firstLineChars="200"/>
        <w:rPr>
          <w:rFonts w:hint="eastAsia" w:ascii="仿宋_GB2312" w:hAnsi="仿宋_GB2312" w:eastAsia="仿宋_GB2312" w:cs="仿宋_GB2312"/>
          <w:b/>
          <w:bCs/>
          <w:sz w:val="32"/>
          <w:szCs w:val="32"/>
        </w:rPr>
      </w:pPr>
    </w:p>
    <w:p>
      <w:pPr>
        <w:widowControl/>
        <w:spacing w:line="580" w:lineRule="exact"/>
        <w:ind w:firstLine="723" w:firstLineChars="200"/>
        <w:rPr>
          <w:rFonts w:hint="eastAsia" w:ascii="宋体" w:hAnsi="宋体" w:eastAsia="宋体" w:cs="宋体"/>
          <w:b/>
          <w:bCs/>
          <w:sz w:val="36"/>
          <w:szCs w:val="36"/>
        </w:rPr>
      </w:pPr>
      <w:r>
        <w:rPr>
          <w:rFonts w:hint="eastAsia" w:ascii="宋体" w:hAnsi="宋体" w:eastAsia="宋体" w:cs="宋体"/>
          <w:b/>
          <w:bCs/>
          <w:sz w:val="36"/>
          <w:szCs w:val="36"/>
        </w:rPr>
        <w:t xml:space="preserve">第三部分  </w:t>
      </w:r>
      <w:r>
        <w:rPr>
          <w:rFonts w:hint="eastAsia" w:ascii="宋体" w:hAnsi="宋体" w:eastAsia="宋体" w:cs="宋体"/>
          <w:b/>
          <w:bCs/>
          <w:sz w:val="36"/>
          <w:szCs w:val="36"/>
          <w:lang w:eastAsia="zh-CN"/>
        </w:rPr>
        <w:t>人大办</w:t>
      </w:r>
      <w:r>
        <w:rPr>
          <w:rFonts w:hint="eastAsia" w:ascii="宋体" w:hAnsi="宋体" w:eastAsia="宋体" w:cs="宋体"/>
          <w:b/>
          <w:bCs/>
          <w:sz w:val="36"/>
          <w:szCs w:val="36"/>
        </w:rPr>
        <w:t>部门2017年部门决算情况说明</w:t>
      </w:r>
    </w:p>
    <w:p>
      <w:pPr>
        <w:widowControl/>
        <w:spacing w:line="580" w:lineRule="exact"/>
        <w:ind w:firstLine="643" w:firstLineChars="200"/>
        <w:rPr>
          <w:rFonts w:hint="eastAsia" w:ascii="黑体" w:hAnsi="黑体" w:eastAsia="黑体" w:cs="黑体"/>
          <w:b/>
          <w:bCs/>
          <w:sz w:val="32"/>
          <w:szCs w:val="32"/>
        </w:rPr>
      </w:pPr>
      <w:r>
        <w:rPr>
          <w:rFonts w:hint="eastAsia" w:ascii="黑体" w:hAnsi="黑体" w:eastAsia="黑体" w:cs="黑体"/>
          <w:b/>
          <w:bCs/>
          <w:sz w:val="32"/>
          <w:szCs w:val="32"/>
        </w:rPr>
        <w:t>一、收入支出决算总体情况说明</w:t>
      </w:r>
    </w:p>
    <w:p>
      <w:pPr>
        <w:ind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本部门2017年度年初结转和结余</w:t>
      </w:r>
      <w:r>
        <w:rPr>
          <w:rFonts w:hint="eastAsia" w:ascii="仿宋" w:hAnsi="仿宋" w:eastAsia="仿宋" w:cs="宋体"/>
          <w:sz w:val="32"/>
          <w:szCs w:val="32"/>
          <w:lang w:val="en-US" w:eastAsia="zh-CN"/>
        </w:rPr>
        <w:t>0</w:t>
      </w:r>
      <w:r>
        <w:rPr>
          <w:rFonts w:hint="eastAsia" w:ascii="仿宋" w:hAnsi="仿宋" w:eastAsia="仿宋" w:cs="宋体"/>
          <w:sz w:val="32"/>
          <w:szCs w:val="32"/>
        </w:rPr>
        <w:t>万元，本年收入</w:t>
      </w:r>
      <w:r>
        <w:rPr>
          <w:rFonts w:hint="eastAsia" w:ascii="仿宋" w:hAnsi="仿宋" w:eastAsia="仿宋" w:cs="宋体"/>
          <w:sz w:val="32"/>
          <w:szCs w:val="32"/>
          <w:lang w:val="en-US" w:eastAsia="zh-CN"/>
        </w:rPr>
        <w:t>434.85</w:t>
      </w:r>
      <w:r>
        <w:rPr>
          <w:rFonts w:hint="eastAsia" w:ascii="仿宋" w:hAnsi="仿宋" w:eastAsia="仿宋" w:cs="宋体"/>
          <w:sz w:val="32"/>
          <w:szCs w:val="32"/>
        </w:rPr>
        <w:t>万元；本年支出</w:t>
      </w:r>
      <w:r>
        <w:rPr>
          <w:rFonts w:hint="eastAsia" w:ascii="仿宋" w:hAnsi="仿宋" w:eastAsia="仿宋" w:cs="宋体"/>
          <w:sz w:val="32"/>
          <w:szCs w:val="32"/>
          <w:lang w:val="en-US" w:eastAsia="zh-CN"/>
        </w:rPr>
        <w:t>413.75</w:t>
      </w:r>
      <w:r>
        <w:rPr>
          <w:rFonts w:hint="eastAsia" w:ascii="仿宋" w:hAnsi="仿宋" w:eastAsia="仿宋" w:cs="宋体"/>
          <w:sz w:val="32"/>
          <w:szCs w:val="32"/>
        </w:rPr>
        <w:t>万元、年末结转和结余</w:t>
      </w:r>
      <w:r>
        <w:rPr>
          <w:rFonts w:hint="eastAsia" w:ascii="仿宋" w:hAnsi="仿宋" w:eastAsia="仿宋" w:cs="宋体"/>
          <w:sz w:val="32"/>
          <w:szCs w:val="32"/>
          <w:lang w:val="en-US" w:eastAsia="zh-CN"/>
        </w:rPr>
        <w:t>21.1</w:t>
      </w:r>
      <w:r>
        <w:rPr>
          <w:rFonts w:hint="eastAsia" w:ascii="仿宋" w:hAnsi="仿宋" w:eastAsia="仿宋" w:cs="宋体"/>
          <w:sz w:val="32"/>
          <w:szCs w:val="32"/>
        </w:rPr>
        <w:t>万元。与2016年度决算相比，本年收入增加</w:t>
      </w:r>
      <w:r>
        <w:rPr>
          <w:rFonts w:hint="eastAsia" w:ascii="仿宋" w:hAnsi="仿宋" w:eastAsia="仿宋" w:cs="宋体"/>
          <w:sz w:val="32"/>
          <w:szCs w:val="32"/>
          <w:lang w:val="en-US" w:eastAsia="zh-CN"/>
        </w:rPr>
        <w:t>42.11</w:t>
      </w:r>
      <w:r>
        <w:rPr>
          <w:rFonts w:hint="eastAsia" w:ascii="仿宋" w:hAnsi="仿宋" w:eastAsia="仿宋" w:cs="宋体"/>
          <w:sz w:val="32"/>
          <w:szCs w:val="32"/>
        </w:rPr>
        <w:t>万元，增长</w:t>
      </w:r>
      <w:r>
        <w:rPr>
          <w:rFonts w:hint="eastAsia" w:ascii="仿宋" w:hAnsi="仿宋" w:eastAsia="仿宋" w:cs="宋体"/>
          <w:sz w:val="32"/>
          <w:szCs w:val="32"/>
          <w:lang w:val="en-US" w:eastAsia="zh-CN"/>
        </w:rPr>
        <w:t>9</w:t>
      </w:r>
      <w:r>
        <w:rPr>
          <w:rFonts w:hint="eastAsia" w:ascii="仿宋" w:hAnsi="仿宋" w:eastAsia="仿宋" w:cs="宋体"/>
          <w:sz w:val="32"/>
          <w:szCs w:val="32"/>
        </w:rPr>
        <w:t>%，主要是</w:t>
      </w:r>
      <w:r>
        <w:rPr>
          <w:rFonts w:hint="eastAsia" w:ascii="仿宋" w:hAnsi="仿宋" w:eastAsia="仿宋" w:cs="宋体"/>
          <w:sz w:val="32"/>
          <w:szCs w:val="32"/>
          <w:lang w:eastAsia="zh-CN"/>
        </w:rPr>
        <w:t>人员工资调资</w:t>
      </w:r>
      <w:r>
        <w:rPr>
          <w:rFonts w:hint="eastAsia" w:ascii="仿宋" w:hAnsi="仿宋" w:eastAsia="仿宋" w:cs="宋体"/>
          <w:sz w:val="32"/>
          <w:szCs w:val="32"/>
        </w:rPr>
        <w:t>；本年支出增加</w:t>
      </w:r>
      <w:r>
        <w:rPr>
          <w:rFonts w:hint="eastAsia" w:ascii="仿宋" w:hAnsi="仿宋" w:eastAsia="仿宋" w:cs="宋体"/>
          <w:sz w:val="32"/>
          <w:szCs w:val="32"/>
          <w:lang w:val="en-US" w:eastAsia="zh-CN"/>
        </w:rPr>
        <w:t>11.11</w:t>
      </w:r>
      <w:r>
        <w:rPr>
          <w:rFonts w:hint="eastAsia" w:ascii="仿宋" w:hAnsi="仿宋" w:eastAsia="仿宋" w:cs="宋体"/>
          <w:sz w:val="32"/>
          <w:szCs w:val="32"/>
        </w:rPr>
        <w:t>万元，增长</w:t>
      </w:r>
      <w:r>
        <w:rPr>
          <w:rFonts w:hint="eastAsia" w:ascii="仿宋" w:hAnsi="仿宋" w:eastAsia="仿宋" w:cs="宋体"/>
          <w:sz w:val="32"/>
          <w:szCs w:val="32"/>
          <w:lang w:val="en-US" w:eastAsia="zh-CN"/>
        </w:rPr>
        <w:t>3</w:t>
      </w:r>
      <w:r>
        <w:rPr>
          <w:rFonts w:hint="eastAsia" w:ascii="仿宋" w:hAnsi="仿宋" w:eastAsia="仿宋" w:cs="宋体"/>
          <w:sz w:val="32"/>
          <w:szCs w:val="32"/>
        </w:rPr>
        <w:t>%，主要是</w:t>
      </w:r>
      <w:r>
        <w:rPr>
          <w:rFonts w:hint="eastAsia" w:ascii="仿宋" w:hAnsi="仿宋" w:eastAsia="仿宋" w:cs="宋体"/>
          <w:sz w:val="32"/>
          <w:szCs w:val="32"/>
          <w:lang w:eastAsia="zh-CN"/>
        </w:rPr>
        <w:t>人员工资调整</w:t>
      </w:r>
      <w:r>
        <w:rPr>
          <w:rFonts w:hint="eastAsia" w:ascii="仿宋" w:hAnsi="仿宋" w:eastAsia="仿宋" w:cs="宋体"/>
          <w:sz w:val="32"/>
          <w:szCs w:val="32"/>
        </w:rPr>
        <w:t>。</w:t>
      </w:r>
    </w:p>
    <w:p>
      <w:pPr>
        <w:widowControl/>
        <w:numPr>
          <w:ilvl w:val="0"/>
          <w:numId w:val="0"/>
        </w:numPr>
        <w:spacing w:line="580" w:lineRule="exact"/>
        <w:ind w:leftChars="200"/>
        <w:rPr>
          <w:rFonts w:hint="eastAsia" w:ascii="黑体" w:hAnsi="黑体" w:eastAsia="黑体" w:cs="黑体"/>
          <w:b/>
          <w:bCs/>
          <w:sz w:val="32"/>
          <w:szCs w:val="32"/>
        </w:rPr>
      </w:pPr>
      <w:r>
        <w:rPr>
          <w:rFonts w:hint="eastAsia" w:ascii="黑体" w:hAnsi="黑体" w:eastAsia="黑体" w:cs="黑体"/>
          <w:b/>
          <w:bCs/>
          <w:sz w:val="32"/>
          <w:szCs w:val="32"/>
          <w:lang w:val="en-US" w:eastAsia="zh-CN"/>
        </w:rPr>
        <w:t>二、</w:t>
      </w:r>
      <w:r>
        <w:rPr>
          <w:rFonts w:hint="eastAsia" w:ascii="黑体" w:hAnsi="黑体" w:eastAsia="黑体" w:cs="黑体"/>
          <w:b/>
          <w:bCs/>
          <w:sz w:val="32"/>
          <w:szCs w:val="32"/>
        </w:rPr>
        <w:t>收入决算情况说明</w:t>
      </w:r>
    </w:p>
    <w:p>
      <w:pPr>
        <w:ind w:firstLine="640" w:firstLineChars="200"/>
        <w:rPr>
          <w:rFonts w:hint="eastAsia" w:ascii="仿宋" w:hAnsi="仿宋" w:eastAsia="仿宋" w:cs="仿宋"/>
          <w:sz w:val="28"/>
          <w:szCs w:val="28"/>
          <w:lang w:eastAsia="zh-CN"/>
        </w:rPr>
      </w:pPr>
      <w:r>
        <w:rPr>
          <w:rFonts w:hint="eastAsia" w:ascii="仿宋" w:hAnsi="仿宋" w:eastAsia="仿宋" w:cs="宋体"/>
          <w:sz w:val="32"/>
          <w:szCs w:val="32"/>
        </w:rPr>
        <w:t>201</w:t>
      </w:r>
      <w:r>
        <w:rPr>
          <w:rFonts w:hint="eastAsia" w:ascii="仿宋" w:hAnsi="仿宋" w:eastAsia="仿宋" w:cs="宋体"/>
          <w:sz w:val="32"/>
          <w:szCs w:val="32"/>
          <w:lang w:val="en-US" w:eastAsia="zh-CN"/>
        </w:rPr>
        <w:t>7</w:t>
      </w:r>
      <w:r>
        <w:rPr>
          <w:rFonts w:hint="eastAsia" w:ascii="仿宋" w:hAnsi="仿宋" w:eastAsia="仿宋" w:cs="宋体"/>
          <w:sz w:val="32"/>
          <w:szCs w:val="32"/>
        </w:rPr>
        <w:t>年部门决算收入</w:t>
      </w:r>
      <w:r>
        <w:rPr>
          <w:rFonts w:hint="eastAsia" w:ascii="仿宋" w:hAnsi="仿宋" w:eastAsia="仿宋" w:cs="宋体"/>
          <w:sz w:val="32"/>
          <w:szCs w:val="32"/>
          <w:lang w:val="en-US" w:eastAsia="zh-CN"/>
        </w:rPr>
        <w:t>413.75</w:t>
      </w:r>
      <w:r>
        <w:rPr>
          <w:rFonts w:hint="eastAsia" w:ascii="仿宋" w:hAnsi="仿宋" w:eastAsia="仿宋" w:cs="宋体"/>
          <w:sz w:val="32"/>
          <w:szCs w:val="32"/>
        </w:rPr>
        <w:t>万元，其中：财政拨款收入</w:t>
      </w:r>
      <w:r>
        <w:rPr>
          <w:rFonts w:hint="eastAsia" w:ascii="仿宋" w:hAnsi="仿宋" w:eastAsia="仿宋" w:cs="宋体"/>
          <w:sz w:val="32"/>
          <w:szCs w:val="32"/>
          <w:lang w:val="en-US" w:eastAsia="zh-CN"/>
        </w:rPr>
        <w:t>413.75</w:t>
      </w:r>
      <w:r>
        <w:rPr>
          <w:rFonts w:hint="eastAsia" w:ascii="仿宋" w:hAnsi="仿宋" w:eastAsia="仿宋" w:cs="宋体"/>
          <w:sz w:val="32"/>
          <w:szCs w:val="32"/>
        </w:rPr>
        <w:t>万元</w:t>
      </w:r>
      <w:r>
        <w:rPr>
          <w:rFonts w:hint="eastAsia" w:ascii="仿宋" w:hAnsi="仿宋" w:eastAsia="仿宋" w:cs="宋体"/>
          <w:sz w:val="32"/>
          <w:szCs w:val="32"/>
          <w:lang w:eastAsia="zh-CN"/>
        </w:rPr>
        <w:t>，占</w:t>
      </w:r>
      <w:r>
        <w:rPr>
          <w:rFonts w:hint="eastAsia" w:ascii="仿宋" w:hAnsi="仿宋" w:eastAsia="仿宋" w:cs="宋体"/>
          <w:sz w:val="32"/>
          <w:szCs w:val="32"/>
          <w:lang w:val="en-US" w:eastAsia="zh-CN"/>
        </w:rPr>
        <w:t>100%</w:t>
      </w:r>
      <w:r>
        <w:rPr>
          <w:rFonts w:hint="eastAsia" w:ascii="仿宋" w:hAnsi="仿宋" w:eastAsia="仿宋" w:cs="宋体"/>
          <w:sz w:val="32"/>
          <w:szCs w:val="32"/>
        </w:rPr>
        <w:t>；上级补助收入0万元；事业收入0万元；其他收入0万元。</w:t>
      </w:r>
      <w:r>
        <w:rPr>
          <w:rFonts w:hint="eastAsia" w:ascii="仿宋" w:hAnsi="仿宋" w:eastAsia="仿宋" w:cs="仿宋"/>
          <w:sz w:val="28"/>
          <w:szCs w:val="28"/>
          <w:lang w:eastAsia="zh-CN"/>
        </w:rPr>
        <w:t>如图所示：</w:t>
      </w:r>
    </w:p>
    <w:p>
      <w:pPr>
        <w:ind w:firstLine="560" w:firstLineChars="200"/>
        <w:rPr>
          <w:rFonts w:hint="eastAsia" w:ascii="仿宋" w:hAnsi="仿宋" w:eastAsia="仿宋" w:cs="仿宋"/>
          <w:sz w:val="28"/>
          <w:szCs w:val="28"/>
          <w:lang w:eastAsia="zh-CN"/>
        </w:rPr>
      </w:pPr>
      <w:r>
        <w:rPr>
          <w:rFonts w:ascii="Times New Roman" w:hAnsi="Times New Roman" w:eastAsia="宋体" w:cs="仿宋_GB2312"/>
          <w:color w:val="000000"/>
          <w:kern w:val="2"/>
          <w:sz w:val="28"/>
          <w:szCs w:val="32"/>
          <w:lang w:val="en-US" w:eastAsia="zh-CN" w:bidi="ar-SA"/>
        </w:rPr>
        <w:pict>
          <v:shape id="_x0000_i1025" o:spt="75" type="#_x0000_t75" style="height:217.95pt;width:361.95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numPr>
          <w:ilvl w:val="0"/>
          <w:numId w:val="0"/>
        </w:numPr>
        <w:tabs>
          <w:tab w:val="left" w:pos="1068"/>
        </w:tabs>
        <w:ind w:leftChars="200"/>
        <w:rPr>
          <w:rFonts w:hint="eastAsia" w:ascii="黑体" w:hAnsi="黑体" w:eastAsia="黑体" w:cs="黑体"/>
          <w:b/>
          <w:bCs/>
          <w:sz w:val="32"/>
          <w:szCs w:val="32"/>
        </w:rPr>
      </w:pPr>
      <w:r>
        <w:rPr>
          <w:rFonts w:hint="eastAsia" w:ascii="黑体" w:hAnsi="黑体" w:eastAsia="黑体" w:cs="黑体"/>
          <w:b/>
          <w:bCs/>
          <w:sz w:val="32"/>
          <w:szCs w:val="32"/>
          <w:lang w:val="en-US" w:eastAsia="zh-CN"/>
        </w:rPr>
        <w:t>三、</w:t>
      </w:r>
      <w:r>
        <w:rPr>
          <w:rFonts w:hint="eastAsia" w:ascii="黑体" w:hAnsi="黑体" w:eastAsia="黑体" w:cs="黑体"/>
          <w:b/>
          <w:bCs/>
          <w:sz w:val="32"/>
          <w:szCs w:val="32"/>
        </w:rPr>
        <w:t>支出决算情况说明</w:t>
      </w:r>
    </w:p>
    <w:p>
      <w:pPr>
        <w:ind w:firstLine="640" w:firstLineChars="200"/>
        <w:rPr>
          <w:rFonts w:hint="eastAsia" w:ascii="仿宋" w:hAnsi="仿宋" w:eastAsia="仿宋" w:cs="宋体"/>
          <w:sz w:val="32"/>
          <w:szCs w:val="32"/>
          <w:lang w:val="en-US" w:eastAsia="zh-CN"/>
        </w:rPr>
      </w:pPr>
      <w:r>
        <w:rPr>
          <w:rFonts w:hint="eastAsia" w:ascii="仿宋" w:hAnsi="仿宋" w:eastAsia="仿宋" w:cs="宋体"/>
          <w:sz w:val="32"/>
          <w:szCs w:val="32"/>
        </w:rPr>
        <w:t>201</w:t>
      </w:r>
      <w:r>
        <w:rPr>
          <w:rFonts w:hint="eastAsia" w:ascii="仿宋" w:hAnsi="仿宋" w:eastAsia="仿宋" w:cs="宋体"/>
          <w:sz w:val="32"/>
          <w:szCs w:val="32"/>
          <w:lang w:val="en-US" w:eastAsia="zh-CN"/>
        </w:rPr>
        <w:t>7</w:t>
      </w:r>
      <w:r>
        <w:rPr>
          <w:rFonts w:hint="eastAsia" w:ascii="仿宋" w:hAnsi="仿宋" w:eastAsia="仿宋" w:cs="宋体"/>
          <w:sz w:val="32"/>
          <w:szCs w:val="32"/>
        </w:rPr>
        <w:t>年部门决算支出</w:t>
      </w:r>
      <w:r>
        <w:rPr>
          <w:rFonts w:hint="eastAsia" w:ascii="仿宋" w:hAnsi="仿宋" w:eastAsia="仿宋" w:cs="宋体"/>
          <w:sz w:val="32"/>
          <w:szCs w:val="32"/>
          <w:lang w:val="en-US" w:eastAsia="zh-CN"/>
        </w:rPr>
        <w:t>413.75</w:t>
      </w:r>
      <w:r>
        <w:rPr>
          <w:rFonts w:hint="eastAsia" w:ascii="仿宋" w:hAnsi="仿宋" w:eastAsia="仿宋" w:cs="宋体"/>
          <w:sz w:val="32"/>
          <w:szCs w:val="32"/>
        </w:rPr>
        <w:t>万元，其中：基本支出</w:t>
      </w:r>
      <w:r>
        <w:rPr>
          <w:rFonts w:hint="eastAsia" w:ascii="仿宋" w:hAnsi="仿宋" w:eastAsia="仿宋" w:cs="宋体"/>
          <w:sz w:val="32"/>
          <w:szCs w:val="32"/>
          <w:lang w:val="en-US" w:eastAsia="zh-CN"/>
        </w:rPr>
        <w:t>361.94</w:t>
      </w:r>
      <w:r>
        <w:rPr>
          <w:rFonts w:hint="eastAsia" w:ascii="仿宋" w:hAnsi="仿宋" w:eastAsia="仿宋" w:cs="宋体"/>
          <w:sz w:val="32"/>
          <w:szCs w:val="32"/>
        </w:rPr>
        <w:t>万元</w:t>
      </w:r>
      <w:r>
        <w:rPr>
          <w:rFonts w:hint="eastAsia" w:ascii="仿宋" w:hAnsi="仿宋" w:eastAsia="仿宋" w:cs="宋体"/>
          <w:sz w:val="32"/>
          <w:szCs w:val="32"/>
          <w:lang w:eastAsia="zh-CN"/>
        </w:rPr>
        <w:t>。占</w:t>
      </w:r>
      <w:r>
        <w:rPr>
          <w:rFonts w:hint="eastAsia" w:ascii="仿宋" w:hAnsi="仿宋" w:eastAsia="仿宋" w:cs="宋体"/>
          <w:sz w:val="32"/>
          <w:szCs w:val="32"/>
          <w:lang w:val="en-US" w:eastAsia="zh-CN"/>
        </w:rPr>
        <w:t>87%；</w:t>
      </w:r>
      <w:r>
        <w:rPr>
          <w:rFonts w:hint="eastAsia" w:ascii="仿宋" w:hAnsi="仿宋" w:eastAsia="仿宋" w:cs="宋体"/>
          <w:sz w:val="32"/>
          <w:szCs w:val="32"/>
          <w:lang w:eastAsia="zh-CN"/>
        </w:rPr>
        <w:t>项目支出</w:t>
      </w:r>
      <w:r>
        <w:rPr>
          <w:rFonts w:hint="eastAsia" w:ascii="仿宋" w:hAnsi="仿宋" w:eastAsia="仿宋" w:cs="宋体"/>
          <w:sz w:val="32"/>
          <w:szCs w:val="32"/>
          <w:lang w:val="en-US" w:eastAsia="zh-CN"/>
        </w:rPr>
        <w:t>51.81万元，占13%。如图所示：</w:t>
      </w:r>
    </w:p>
    <w:p>
      <w:pPr>
        <w:ind w:firstLine="560" w:firstLineChars="200"/>
        <w:rPr>
          <w:rFonts w:hint="eastAsia" w:ascii="仿宋" w:hAnsi="仿宋" w:eastAsia="仿宋" w:cs="宋体"/>
          <w:sz w:val="32"/>
          <w:szCs w:val="32"/>
          <w:lang w:val="en-US" w:eastAsia="zh-CN"/>
        </w:rPr>
      </w:pPr>
      <w:r>
        <w:rPr>
          <w:rFonts w:ascii="Times New Roman" w:hAnsi="Times New Roman" w:eastAsia="宋体" w:cs="仿宋_GB2312"/>
          <w:color w:val="000000"/>
          <w:kern w:val="2"/>
          <w:sz w:val="28"/>
          <w:szCs w:val="32"/>
          <w:lang w:val="en-US" w:eastAsia="zh-CN" w:bidi="ar-SA"/>
        </w:rPr>
        <w:pict>
          <v:shape id="_x0000_i1026" o:spt="75" type="#_x0000_t75" style="height:217.95pt;width:361.95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widowControl/>
        <w:numPr>
          <w:ilvl w:val="0"/>
          <w:numId w:val="0"/>
        </w:numPr>
        <w:spacing w:line="580" w:lineRule="exact"/>
        <w:ind w:leftChars="200"/>
        <w:jc w:val="left"/>
        <w:rPr>
          <w:rFonts w:hint="eastAsia" w:ascii="黑体" w:hAnsi="黑体" w:eastAsia="黑体" w:cs="黑体"/>
          <w:b/>
          <w:bCs/>
          <w:sz w:val="32"/>
          <w:szCs w:val="32"/>
        </w:rPr>
      </w:pPr>
      <w:r>
        <w:rPr>
          <w:rFonts w:hint="eastAsia" w:ascii="黑体" w:hAnsi="黑体" w:eastAsia="黑体" w:cs="黑体"/>
          <w:b/>
          <w:bCs/>
          <w:sz w:val="32"/>
          <w:szCs w:val="32"/>
          <w:lang w:val="en-US" w:eastAsia="zh-CN"/>
        </w:rPr>
        <w:t>四、</w:t>
      </w:r>
      <w:r>
        <w:rPr>
          <w:rFonts w:hint="eastAsia" w:ascii="黑体" w:hAnsi="黑体" w:eastAsia="黑体" w:cs="黑体"/>
          <w:b/>
          <w:bCs/>
          <w:sz w:val="32"/>
          <w:szCs w:val="32"/>
        </w:rPr>
        <w:t>财政拨款收入支出决算总体情况说明</w:t>
      </w:r>
    </w:p>
    <w:p>
      <w:pPr>
        <w:spacing w:after="0" w:line="560" w:lineRule="exact"/>
        <w:ind w:firstLine="643" w:firstLineChars="200"/>
        <w:rPr>
          <w:rFonts w:hint="eastAsia" w:ascii="楷体" w:hAnsi="楷体" w:eastAsia="楷体" w:cs="楷体"/>
          <w:b/>
          <w:bCs/>
          <w:sz w:val="32"/>
          <w:szCs w:val="32"/>
        </w:rPr>
      </w:pPr>
      <w:r>
        <w:rPr>
          <w:rFonts w:hint="eastAsia" w:ascii="楷体" w:hAnsi="楷体" w:eastAsia="楷体" w:cs="楷体"/>
          <w:b/>
          <w:bCs/>
          <w:sz w:val="32"/>
          <w:szCs w:val="32"/>
        </w:rPr>
        <w:t>（一）财政拨款收支与2016 年度决算对比情况</w:t>
      </w:r>
    </w:p>
    <w:p>
      <w:pPr>
        <w:ind w:firstLine="640" w:firstLineChars="200"/>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本部门2017年度财政拨款收支全部为一般公共预算财政拨款收支。一般公共预算财政拨款年初结转和结余0万元、本年收入434.85万元；本年支出413.75万元、年末结转和结余21.1万元。与2016年度决算相比，一般公共预算财政拨款本年收入增加42.11万元，增长9%，主要是人员工资调整；本年支出增加11.11万元，增长3%，主要是人员工资调整。</w:t>
      </w:r>
    </w:p>
    <w:p>
      <w:pPr>
        <w:ind w:firstLine="630" w:firstLineChars="196"/>
        <w:rPr>
          <w:rFonts w:hint="eastAsia" w:ascii="楷体" w:hAnsi="楷体" w:eastAsia="楷体" w:cs="楷体"/>
          <w:b/>
          <w:bCs/>
          <w:sz w:val="32"/>
          <w:szCs w:val="32"/>
        </w:rPr>
      </w:pPr>
      <w:r>
        <w:rPr>
          <w:rFonts w:hint="eastAsia" w:ascii="楷体" w:hAnsi="楷体" w:eastAsia="楷体" w:cs="楷体"/>
          <w:b/>
          <w:bCs/>
          <w:sz w:val="32"/>
          <w:szCs w:val="32"/>
        </w:rPr>
        <w:t>（二）财政拨款收支与年初预算数对比情况</w:t>
      </w:r>
    </w:p>
    <w:p>
      <w:pPr>
        <w:adjustRightInd w:val="0"/>
        <w:snapToGrid w:val="0"/>
        <w:spacing w:after="0"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本部门2017年度一般公共预算财政拨款本年收入较2017年初预算增加</w:t>
      </w:r>
      <w:r>
        <w:rPr>
          <w:rFonts w:hint="eastAsia" w:ascii="仿宋_GB2312" w:hAnsi="仿宋_GB2312" w:eastAsia="仿宋_GB2312" w:cs="仿宋_GB2312"/>
          <w:sz w:val="32"/>
          <w:szCs w:val="32"/>
          <w:lang w:val="en-US" w:eastAsia="zh-CN"/>
        </w:rPr>
        <w:t>44.47</w:t>
      </w:r>
      <w:r>
        <w:rPr>
          <w:rFonts w:hint="eastAsia" w:ascii="仿宋_GB2312" w:hAnsi="仿宋_GB2312" w:eastAsia="仿宋_GB2312" w:cs="仿宋_GB2312"/>
          <w:sz w:val="32"/>
          <w:szCs w:val="32"/>
        </w:rPr>
        <w:t>万元，增长1</w:t>
      </w:r>
      <w:r>
        <w:rPr>
          <w:rFonts w:hint="eastAsia" w:ascii="仿宋_GB2312" w:hAnsi="仿宋_GB2312" w:eastAsia="仿宋_GB2312" w:cs="仿宋_GB2312"/>
          <w:sz w:val="32"/>
          <w:szCs w:val="32"/>
          <w:lang w:val="en-US" w:eastAsia="zh-CN"/>
        </w:rPr>
        <w:t>0.22</w:t>
      </w:r>
      <w:r>
        <w:rPr>
          <w:rFonts w:hint="eastAsia" w:ascii="仿宋_GB2312" w:hAnsi="仿宋_GB2312" w:eastAsia="仿宋_GB2312" w:cs="仿宋_GB2312"/>
          <w:sz w:val="32"/>
          <w:szCs w:val="32"/>
        </w:rPr>
        <w:t>%，主要是工资调整；2017年支出增加</w:t>
      </w:r>
      <w:r>
        <w:rPr>
          <w:rFonts w:hint="eastAsia" w:ascii="仿宋_GB2312" w:hAnsi="仿宋_GB2312" w:eastAsia="仿宋_GB2312" w:cs="仿宋_GB2312"/>
          <w:sz w:val="32"/>
          <w:szCs w:val="32"/>
          <w:lang w:val="en-US" w:eastAsia="zh-CN"/>
        </w:rPr>
        <w:t>11.11</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%，主要是工资调整。</w:t>
      </w:r>
    </w:p>
    <w:p>
      <w:pPr>
        <w:widowControl/>
        <w:numPr>
          <w:ilvl w:val="0"/>
          <w:numId w:val="0"/>
        </w:numPr>
        <w:spacing w:line="580" w:lineRule="exact"/>
        <w:ind w:leftChars="200"/>
        <w:rPr>
          <w:rFonts w:hint="eastAsia" w:ascii="黑体" w:hAnsi="黑体" w:eastAsia="黑体" w:cs="黑体"/>
          <w:b/>
          <w:bCs/>
          <w:sz w:val="32"/>
          <w:szCs w:val="32"/>
        </w:rPr>
      </w:pPr>
      <w:r>
        <w:rPr>
          <w:rFonts w:hint="eastAsia" w:ascii="黑体" w:hAnsi="黑体" w:eastAsia="黑体" w:cs="黑体"/>
          <w:b/>
          <w:bCs/>
          <w:sz w:val="32"/>
          <w:szCs w:val="32"/>
          <w:lang w:val="en-US" w:eastAsia="zh-CN"/>
        </w:rPr>
        <w:t>五、</w:t>
      </w:r>
      <w:r>
        <w:rPr>
          <w:rFonts w:hint="eastAsia" w:ascii="黑体" w:hAnsi="黑体" w:eastAsia="黑体" w:cs="黑体"/>
          <w:b/>
          <w:bCs/>
          <w:sz w:val="32"/>
          <w:szCs w:val="32"/>
        </w:rPr>
        <w:t>“三公”经费支出决算情况说明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14.21</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1.79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12.60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主要是</w:t>
      </w:r>
      <w:r>
        <w:rPr>
          <w:rFonts w:hint="eastAsia" w:ascii="仿宋_GB2312" w:hAnsi="仿宋_GB2312" w:eastAsia="仿宋_GB2312" w:cs="仿宋_GB2312"/>
          <w:sz w:val="32"/>
          <w:szCs w:val="32"/>
          <w:lang w:val="en-US" w:eastAsia="zh-CN"/>
        </w:rPr>
        <w:t>2017年公务用车运行维护费12月份未及时报账</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减少3.71万元，降低26.99%，主要是压缩开支。</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出国（境）团组。</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14.21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本部门2017年度公务用车购置及运行维护费较年初预算减少</w:t>
      </w:r>
      <w:r>
        <w:rPr>
          <w:rFonts w:hint="eastAsia" w:ascii="仿宋_GB2312" w:eastAsia="仿宋_GB2312" w:cs="DengXian-Regular"/>
          <w:sz w:val="32"/>
          <w:szCs w:val="32"/>
          <w:lang w:val="en-US" w:eastAsia="zh-CN"/>
        </w:rPr>
        <w:t>1.79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12.60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主要是</w:t>
      </w:r>
      <w:r>
        <w:rPr>
          <w:rFonts w:hint="eastAsia" w:ascii="仿宋_GB2312" w:hAnsi="仿宋_GB2312" w:eastAsia="仿宋_GB2312" w:cs="仿宋_GB2312"/>
          <w:sz w:val="32"/>
          <w:szCs w:val="32"/>
          <w:lang w:val="en-US" w:eastAsia="zh-CN"/>
        </w:rPr>
        <w:t>2017年公务用车运行维护费12月份未及时报账</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3.71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26.99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w:t>
      </w:r>
      <w:r>
        <w:rPr>
          <w:rFonts w:hint="eastAsia" w:ascii="仿宋_GB2312" w:eastAsia="仿宋_GB2312" w:cs="DengXian-Regular"/>
          <w:sz w:val="32"/>
          <w:szCs w:val="32"/>
          <w:lang w:val="en-US" w:eastAsia="zh-CN"/>
        </w:rPr>
        <w:t>压缩开支</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发生“公务用车购置”经费支出。公务用车购置费支出较年初预算</w:t>
      </w:r>
      <w:r>
        <w:rPr>
          <w:rFonts w:hint="eastAsia" w:ascii="仿宋_GB2312" w:eastAsia="仿宋_GB2312" w:cs="DengXian-Regular"/>
          <w:sz w:val="32"/>
          <w:szCs w:val="32"/>
          <w:lang w:eastAsia="zh-CN"/>
        </w:rPr>
        <w:t>无增减；较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1.79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12.60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主要是</w:t>
      </w:r>
      <w:r>
        <w:rPr>
          <w:rFonts w:hint="eastAsia" w:ascii="仿宋_GB2312" w:hAnsi="仿宋_GB2312" w:eastAsia="仿宋_GB2312" w:cs="仿宋_GB2312"/>
          <w:sz w:val="32"/>
          <w:szCs w:val="32"/>
          <w:lang w:val="en-US" w:eastAsia="zh-CN"/>
        </w:rPr>
        <w:t>2017年公务用车运行维护费12月份未及时报账</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3.71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26.99</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压缩开支</w:t>
      </w:r>
      <w:r>
        <w:rPr>
          <w:rFonts w:hint="eastAsia" w:ascii="仿宋_GB2312" w:eastAsia="仿宋_GB2312" w:cs="DengXian-Regular"/>
          <w:sz w:val="32"/>
          <w:szCs w:val="32"/>
        </w:rPr>
        <w:t>。</w:t>
      </w:r>
    </w:p>
    <w:p>
      <w:pPr>
        <w:adjustRightInd w:val="0"/>
        <w:snapToGrid w:val="0"/>
        <w:spacing w:after="0" w:line="560" w:lineRule="exact"/>
        <w:ind w:firstLine="643" w:firstLineChars="200"/>
        <w:rPr>
          <w:rFonts w:hint="eastAsia" w:ascii="仿宋_GB2312" w:hAnsi="仿宋_GB2312" w:eastAsia="仿宋_GB2312" w:cs="仿宋_GB2312"/>
          <w:b/>
          <w:bCs/>
          <w:sz w:val="32"/>
          <w:szCs w:val="32"/>
          <w:lang w:val="en-US"/>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p>
    <w:p>
      <w:pPr>
        <w:widowControl/>
        <w:numPr>
          <w:ilvl w:val="0"/>
          <w:numId w:val="0"/>
        </w:numPr>
        <w:spacing w:line="580" w:lineRule="exact"/>
        <w:ind w:leftChars="200"/>
        <w:rPr>
          <w:rFonts w:hint="eastAsia" w:ascii="黑体" w:hAnsi="黑体" w:eastAsia="黑体" w:cs="黑体"/>
          <w:b/>
          <w:bCs/>
          <w:sz w:val="32"/>
          <w:szCs w:val="32"/>
        </w:rPr>
      </w:pPr>
      <w:r>
        <w:rPr>
          <w:rFonts w:hint="eastAsia" w:ascii="黑体" w:hAnsi="黑体" w:eastAsia="黑体" w:cs="黑体"/>
          <w:b/>
          <w:bCs/>
          <w:sz w:val="32"/>
          <w:szCs w:val="32"/>
          <w:lang w:val="en-US" w:eastAsia="zh-CN"/>
        </w:rPr>
        <w:t>六、</w:t>
      </w:r>
      <w:r>
        <w:rPr>
          <w:rFonts w:hint="eastAsia" w:ascii="黑体" w:hAnsi="黑体" w:eastAsia="黑体" w:cs="黑体"/>
          <w:b/>
          <w:bCs/>
          <w:sz w:val="32"/>
          <w:szCs w:val="32"/>
        </w:rPr>
        <w:t>预算绩效管理工作开展情况说明</w:t>
      </w:r>
    </w:p>
    <w:p>
      <w:pPr>
        <w:widowControl/>
        <w:numPr>
          <w:ilvl w:val="0"/>
          <w:numId w:val="1"/>
        </w:numPr>
        <w:wordWrap/>
        <w:adjustRightInd/>
        <w:snapToGrid/>
        <w:spacing w:before="0" w:after="160" w:line="580" w:lineRule="exact"/>
        <w:ind w:left="0" w:leftChars="0" w:right="0" w:firstLine="640" w:firstLineChars="200"/>
        <w:jc w:val="both"/>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绩效管理工作开展情况。</w:t>
      </w:r>
    </w:p>
    <w:p>
      <w:pPr>
        <w:widowControl/>
        <w:numPr>
          <w:ilvl w:val="0"/>
          <w:numId w:val="0"/>
        </w:numPr>
        <w:spacing w:line="58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widowControl/>
        <w:numPr>
          <w:ilvl w:val="0"/>
          <w:numId w:val="1"/>
        </w:numPr>
        <w:wordWrap/>
        <w:adjustRightInd/>
        <w:snapToGrid/>
        <w:spacing w:before="0" w:after="160" w:line="580" w:lineRule="exact"/>
        <w:ind w:left="0" w:leftChars="0" w:right="0" w:firstLine="640" w:firstLineChars="200"/>
        <w:jc w:val="both"/>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预算项目绩效评价开展情况</w:t>
      </w:r>
    </w:p>
    <w:p>
      <w:pPr>
        <w:widowControl/>
        <w:numPr>
          <w:ilvl w:val="0"/>
          <w:numId w:val="0"/>
        </w:numPr>
        <w:spacing w:line="580" w:lineRule="exact"/>
        <w:ind w:leftChars="0"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根据预算绩效管理要求，本单位组织对2017年度一般公共预算项目支出全面开展绩效自评，涉及人大会议、人大代表活动</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个项目，涉及资金</w:t>
      </w:r>
      <w:r>
        <w:rPr>
          <w:rFonts w:hint="eastAsia" w:ascii="仿宋" w:hAnsi="仿宋" w:eastAsia="仿宋" w:cs="仿宋"/>
          <w:b w:val="0"/>
          <w:bCs w:val="0"/>
          <w:sz w:val="32"/>
          <w:szCs w:val="32"/>
          <w:lang w:val="en-US" w:eastAsia="zh-CN"/>
        </w:rPr>
        <w:t>51.81</w:t>
      </w:r>
      <w:r>
        <w:rPr>
          <w:rFonts w:hint="eastAsia" w:ascii="仿宋" w:hAnsi="仿宋" w:eastAsia="仿宋" w:cs="仿宋"/>
          <w:b w:val="0"/>
          <w:bCs w:val="0"/>
          <w:sz w:val="32"/>
          <w:szCs w:val="32"/>
          <w:lang w:eastAsia="zh-CN"/>
        </w:rPr>
        <w:t>万元。从评价情况看，评价结果为优秀的项目有</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lang w:eastAsia="zh-CN"/>
        </w:rPr>
        <w:t>个，良好的项目有</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个，一般的项目有</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lang w:eastAsia="zh-CN"/>
        </w:rPr>
        <w:t>个。</w:t>
      </w:r>
    </w:p>
    <w:p>
      <w:pPr>
        <w:widowControl/>
        <w:numPr>
          <w:ilvl w:val="0"/>
          <w:numId w:val="0"/>
        </w:numPr>
        <w:wordWrap/>
        <w:adjustRightInd/>
        <w:snapToGrid/>
        <w:spacing w:before="0" w:after="160" w:line="580" w:lineRule="exact"/>
        <w:ind w:left="0" w:leftChars="0" w:right="0" w:firstLine="640" w:firstLineChars="200"/>
        <w:jc w:val="both"/>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（三）预算项目绩效自评选例</w:t>
      </w:r>
    </w:p>
    <w:p>
      <w:pPr>
        <w:widowControl/>
        <w:numPr>
          <w:ilvl w:val="0"/>
          <w:numId w:val="0"/>
        </w:numPr>
        <w:spacing w:line="58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本单位人大会议、项目绩效自评：根据年初设定的绩效目标，人大会议项目绩效自评结果为良好项目全年预算数为</w:t>
      </w:r>
      <w:r>
        <w:rPr>
          <w:rFonts w:hint="eastAsia" w:ascii="仿宋" w:hAnsi="仿宋" w:eastAsia="仿宋" w:cs="仿宋"/>
          <w:b w:val="0"/>
          <w:bCs w:val="0"/>
          <w:sz w:val="32"/>
          <w:szCs w:val="32"/>
          <w:lang w:val="en-US" w:eastAsia="zh-CN"/>
        </w:rPr>
        <w:t>35</w:t>
      </w:r>
      <w:r>
        <w:rPr>
          <w:rFonts w:hint="eastAsia" w:ascii="仿宋" w:hAnsi="仿宋" w:eastAsia="仿宋" w:cs="仿宋"/>
          <w:b w:val="0"/>
          <w:bCs w:val="0"/>
          <w:sz w:val="32"/>
          <w:szCs w:val="32"/>
          <w:lang w:eastAsia="zh-CN"/>
        </w:rPr>
        <w:t>万元，执行数为</w:t>
      </w:r>
      <w:r>
        <w:rPr>
          <w:rFonts w:hint="eastAsia" w:ascii="仿宋" w:hAnsi="仿宋" w:eastAsia="仿宋" w:cs="仿宋"/>
          <w:b w:val="0"/>
          <w:bCs w:val="0"/>
          <w:sz w:val="32"/>
          <w:szCs w:val="32"/>
          <w:lang w:val="en-US" w:eastAsia="zh-CN"/>
        </w:rPr>
        <w:t>33.43</w:t>
      </w:r>
      <w:r>
        <w:rPr>
          <w:rFonts w:hint="eastAsia" w:ascii="仿宋" w:hAnsi="仿宋" w:eastAsia="仿宋" w:cs="仿宋"/>
          <w:b w:val="0"/>
          <w:bCs w:val="0"/>
          <w:sz w:val="32"/>
          <w:szCs w:val="32"/>
          <w:lang w:eastAsia="zh-CN"/>
        </w:rPr>
        <w:t>万元，完成预算的</w:t>
      </w:r>
      <w:r>
        <w:rPr>
          <w:rFonts w:hint="eastAsia" w:ascii="仿宋" w:hAnsi="仿宋" w:eastAsia="仿宋" w:cs="仿宋"/>
          <w:b w:val="0"/>
          <w:bCs w:val="0"/>
          <w:sz w:val="32"/>
          <w:szCs w:val="32"/>
          <w:lang w:val="en-US" w:eastAsia="zh-CN"/>
        </w:rPr>
        <w:t>95</w:t>
      </w:r>
      <w:r>
        <w:rPr>
          <w:rFonts w:hint="eastAsia" w:ascii="仿宋" w:hAnsi="仿宋" w:eastAsia="仿宋" w:cs="仿宋"/>
          <w:b w:val="0"/>
          <w:bCs w:val="0"/>
          <w:sz w:val="32"/>
          <w:szCs w:val="32"/>
          <w:lang w:eastAsia="zh-CN"/>
        </w:rPr>
        <w:t>%。主要产出和效果是人民代表大会的圆满开展。发现问题及原因是后期付款不及时。下一步改进措施是对会议产生的款项进行及时支付。</w:t>
      </w:r>
    </w:p>
    <w:p>
      <w:pPr>
        <w:widowControl/>
        <w:numPr>
          <w:ilvl w:val="0"/>
          <w:numId w:val="0"/>
        </w:numPr>
        <w:spacing w:line="580" w:lineRule="exact"/>
        <w:ind w:firstLine="640" w:firstLineChars="200"/>
        <w:rPr>
          <w:rFonts w:hint="eastAsia" w:ascii="仿宋" w:hAnsi="仿宋" w:eastAsia="仿宋" w:cs="仿宋"/>
          <w:b/>
          <w:bCs/>
          <w:sz w:val="32"/>
          <w:szCs w:val="32"/>
        </w:rPr>
      </w:pPr>
      <w:r>
        <w:rPr>
          <w:rFonts w:hint="eastAsia" w:ascii="仿宋" w:hAnsi="仿宋" w:eastAsia="仿宋" w:cs="仿宋"/>
          <w:b w:val="0"/>
          <w:bCs w:val="0"/>
          <w:sz w:val="32"/>
          <w:szCs w:val="32"/>
          <w:lang w:eastAsia="zh-CN"/>
        </w:rPr>
        <w:t>本单位人大代表活动、项目绩效自评：根据年初设定的绩效目标，人大代表活动项目绩效自评结果为良好项目全年预算数为</w:t>
      </w:r>
      <w:r>
        <w:rPr>
          <w:rFonts w:hint="eastAsia" w:ascii="仿宋" w:hAnsi="仿宋" w:eastAsia="仿宋" w:cs="仿宋"/>
          <w:b w:val="0"/>
          <w:bCs w:val="0"/>
          <w:sz w:val="32"/>
          <w:szCs w:val="32"/>
          <w:lang w:val="en-US" w:eastAsia="zh-CN"/>
        </w:rPr>
        <w:t>20</w:t>
      </w:r>
      <w:r>
        <w:rPr>
          <w:rFonts w:hint="eastAsia" w:ascii="仿宋" w:hAnsi="仿宋" w:eastAsia="仿宋" w:cs="仿宋"/>
          <w:b w:val="0"/>
          <w:bCs w:val="0"/>
          <w:sz w:val="32"/>
          <w:szCs w:val="32"/>
          <w:lang w:eastAsia="zh-CN"/>
        </w:rPr>
        <w:t>万元，执行数为</w:t>
      </w:r>
      <w:r>
        <w:rPr>
          <w:rFonts w:hint="eastAsia" w:ascii="仿宋" w:hAnsi="仿宋" w:eastAsia="仿宋" w:cs="仿宋"/>
          <w:b w:val="0"/>
          <w:bCs w:val="0"/>
          <w:sz w:val="32"/>
          <w:szCs w:val="32"/>
          <w:lang w:val="en-US" w:eastAsia="zh-CN"/>
        </w:rPr>
        <w:t>18.39</w:t>
      </w:r>
      <w:r>
        <w:rPr>
          <w:rFonts w:hint="eastAsia" w:ascii="仿宋" w:hAnsi="仿宋" w:eastAsia="仿宋" w:cs="仿宋"/>
          <w:b w:val="0"/>
          <w:bCs w:val="0"/>
          <w:sz w:val="32"/>
          <w:szCs w:val="32"/>
          <w:lang w:eastAsia="zh-CN"/>
        </w:rPr>
        <w:t>万元，完成预算的</w:t>
      </w:r>
      <w:r>
        <w:rPr>
          <w:rFonts w:hint="eastAsia" w:ascii="仿宋" w:hAnsi="仿宋" w:eastAsia="仿宋" w:cs="仿宋"/>
          <w:b w:val="0"/>
          <w:bCs w:val="0"/>
          <w:sz w:val="32"/>
          <w:szCs w:val="32"/>
          <w:lang w:val="en-US" w:eastAsia="zh-CN"/>
        </w:rPr>
        <w:t>91</w:t>
      </w:r>
      <w:r>
        <w:rPr>
          <w:rFonts w:hint="eastAsia" w:ascii="仿宋" w:hAnsi="仿宋" w:eastAsia="仿宋" w:cs="仿宋"/>
          <w:b w:val="0"/>
          <w:bCs w:val="0"/>
          <w:sz w:val="32"/>
          <w:szCs w:val="32"/>
          <w:lang w:eastAsia="zh-CN"/>
        </w:rPr>
        <w:t>%。主要产出和效果是人大代表活动的不定时开展。发现问题及原因是人大代表活动开展后期付款不及时。下一步改进措施是对代表活动产生的款项进行及时支付。</w:t>
      </w:r>
    </w:p>
    <w:p>
      <w:pPr>
        <w:widowControl/>
        <w:spacing w:line="580" w:lineRule="exact"/>
        <w:ind w:left="640" w:firstLine="643" w:firstLineChars="200"/>
        <w:rPr>
          <w:rFonts w:hint="eastAsia" w:ascii="黑体" w:hAnsi="黑体" w:eastAsia="黑体" w:cs="黑体"/>
          <w:b/>
          <w:bCs/>
          <w:sz w:val="32"/>
          <w:szCs w:val="32"/>
        </w:rPr>
      </w:pPr>
      <w:r>
        <w:rPr>
          <w:rFonts w:hint="eastAsia" w:ascii="黑体" w:hAnsi="黑体" w:eastAsia="黑体" w:cs="黑体"/>
          <w:b/>
          <w:bCs/>
          <w:sz w:val="32"/>
          <w:szCs w:val="32"/>
        </w:rPr>
        <w:t>七、其他重要事项的说明</w:t>
      </w:r>
    </w:p>
    <w:p>
      <w:pPr>
        <w:widowControl/>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1.机关运行经费情况</w:t>
      </w:r>
    </w:p>
    <w:p>
      <w:pPr>
        <w:ind w:firstLine="627" w:firstLineChars="196"/>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年机关运行经费支出</w:t>
      </w:r>
      <w:r>
        <w:rPr>
          <w:rFonts w:hint="eastAsia" w:ascii="仿宋_GB2312" w:hAnsi="仿宋_GB2312" w:eastAsia="仿宋_GB2312" w:cs="仿宋_GB2312"/>
          <w:sz w:val="32"/>
          <w:szCs w:val="32"/>
          <w:lang w:val="en-US" w:eastAsia="zh-CN"/>
        </w:rPr>
        <w:t>56.73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相比降低，主要原因是人民代表大会会议费、人大代表活动经费列为项目支出。</w:t>
      </w:r>
    </w:p>
    <w:p>
      <w:pPr>
        <w:ind w:firstLine="627" w:firstLineChars="19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除三公经费外，主要有办公及印刷费</w:t>
      </w:r>
      <w:r>
        <w:rPr>
          <w:rFonts w:hint="eastAsia" w:ascii="仿宋_GB2312" w:hAnsi="仿宋_GB2312" w:eastAsia="仿宋_GB2312" w:cs="仿宋_GB2312"/>
          <w:sz w:val="32"/>
          <w:szCs w:val="32"/>
          <w:lang w:val="en-US" w:eastAsia="zh-CN"/>
        </w:rPr>
        <w:t>3.13</w:t>
      </w:r>
      <w:r>
        <w:rPr>
          <w:rFonts w:hint="eastAsia" w:ascii="仿宋_GB2312" w:hAnsi="仿宋_GB2312" w:eastAsia="仿宋_GB2312" w:cs="仿宋_GB2312"/>
          <w:sz w:val="32"/>
          <w:szCs w:val="32"/>
        </w:rPr>
        <w:t>万元，邮电费</w:t>
      </w:r>
      <w:r>
        <w:rPr>
          <w:rFonts w:hint="eastAsia" w:ascii="仿宋_GB2312" w:hAnsi="仿宋_GB2312" w:eastAsia="仿宋_GB2312" w:cs="仿宋_GB2312"/>
          <w:sz w:val="32"/>
          <w:szCs w:val="32"/>
          <w:lang w:val="en-US" w:eastAsia="zh-CN"/>
        </w:rPr>
        <w:t>1.64</w:t>
      </w:r>
      <w:r>
        <w:rPr>
          <w:rFonts w:hint="eastAsia" w:ascii="仿宋_GB2312" w:hAnsi="仿宋_GB2312" w:eastAsia="仿宋_GB2312" w:cs="仿宋_GB2312"/>
          <w:sz w:val="32"/>
          <w:szCs w:val="32"/>
        </w:rPr>
        <w:t>万元，差旅费</w:t>
      </w:r>
      <w:r>
        <w:rPr>
          <w:rFonts w:hint="eastAsia" w:ascii="仿宋_GB2312" w:hAnsi="仿宋_GB2312" w:eastAsia="仿宋_GB2312" w:cs="仿宋_GB2312"/>
          <w:sz w:val="32"/>
          <w:szCs w:val="32"/>
          <w:lang w:val="en-US" w:eastAsia="zh-CN"/>
        </w:rPr>
        <w:t>2.95</w:t>
      </w:r>
      <w:r>
        <w:rPr>
          <w:rFonts w:hint="eastAsia" w:ascii="仿宋_GB2312" w:hAnsi="仿宋_GB2312" w:eastAsia="仿宋_GB2312" w:cs="仿宋_GB2312"/>
          <w:sz w:val="32"/>
          <w:szCs w:val="32"/>
        </w:rPr>
        <w:t>万元，会议费</w:t>
      </w:r>
      <w:r>
        <w:rPr>
          <w:rFonts w:hint="eastAsia" w:ascii="仿宋_GB2312" w:hAnsi="仿宋_GB2312" w:eastAsia="仿宋_GB2312" w:cs="仿宋_GB2312"/>
          <w:sz w:val="32"/>
          <w:szCs w:val="32"/>
          <w:lang w:val="en-US" w:eastAsia="zh-CN"/>
        </w:rPr>
        <w:t>3.82</w:t>
      </w:r>
      <w:r>
        <w:rPr>
          <w:rFonts w:hint="eastAsia" w:ascii="仿宋_GB2312" w:hAnsi="仿宋_GB2312" w:eastAsia="仿宋_GB2312" w:cs="仿宋_GB2312"/>
          <w:sz w:val="32"/>
          <w:szCs w:val="32"/>
        </w:rPr>
        <w:t>万元，福利费0万元，日常维修费</w:t>
      </w:r>
      <w:r>
        <w:rPr>
          <w:rFonts w:hint="eastAsia" w:ascii="仿宋_GB2312" w:hAnsi="仿宋_GB2312" w:eastAsia="仿宋_GB2312" w:cs="仿宋_GB2312"/>
          <w:sz w:val="32"/>
          <w:szCs w:val="32"/>
          <w:lang w:val="en-US" w:eastAsia="zh-CN"/>
        </w:rPr>
        <w:t>3.02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工会经费</w:t>
      </w:r>
      <w:r>
        <w:rPr>
          <w:rFonts w:hint="eastAsia" w:ascii="仿宋_GB2312" w:hAnsi="仿宋_GB2312" w:eastAsia="仿宋_GB2312" w:cs="仿宋_GB2312"/>
          <w:sz w:val="32"/>
          <w:szCs w:val="32"/>
          <w:lang w:val="en-US" w:eastAsia="zh-CN"/>
        </w:rPr>
        <w:t>3.32万元，</w:t>
      </w:r>
      <w:r>
        <w:rPr>
          <w:rFonts w:hint="eastAsia" w:ascii="仿宋_GB2312" w:hAnsi="仿宋_GB2312" w:eastAsia="仿宋_GB2312" w:cs="仿宋_GB2312"/>
          <w:sz w:val="32"/>
          <w:szCs w:val="32"/>
        </w:rPr>
        <w:t>专用材料及一般设备购置费0万元，水电费0万元，取暖费0万元，其他费用</w:t>
      </w:r>
      <w:r>
        <w:rPr>
          <w:rFonts w:hint="eastAsia" w:ascii="仿宋_GB2312" w:hAnsi="仿宋_GB2312" w:eastAsia="仿宋_GB2312" w:cs="仿宋_GB2312"/>
          <w:sz w:val="32"/>
          <w:szCs w:val="32"/>
          <w:lang w:val="en-US" w:eastAsia="zh-CN"/>
        </w:rPr>
        <w:t>24.64</w:t>
      </w:r>
      <w:r>
        <w:rPr>
          <w:rFonts w:hint="eastAsia" w:ascii="仿宋_GB2312" w:hAnsi="仿宋_GB2312" w:eastAsia="仿宋_GB2312" w:cs="仿宋_GB2312"/>
          <w:sz w:val="32"/>
          <w:szCs w:val="32"/>
        </w:rPr>
        <w:t xml:space="preserve">万元。 </w:t>
      </w:r>
    </w:p>
    <w:p>
      <w:pPr>
        <w:widowControl/>
        <w:numPr>
          <w:ilvl w:val="0"/>
          <w:numId w:val="0"/>
        </w:numPr>
        <w:spacing w:line="580" w:lineRule="exact"/>
        <w:ind w:firstLine="643" w:firstLineChars="200"/>
        <w:jc w:val="left"/>
        <w:rPr>
          <w:rFonts w:hint="eastAsia" w:ascii="仿宋_GB2312" w:hAnsi="仿宋_GB2312" w:eastAsia="仿宋_GB2312" w:cs="仿宋_GB2312"/>
          <w:b/>
          <w:bCs/>
          <w:sz w:val="32"/>
          <w:szCs w:val="32"/>
          <w:lang w:val="en-US" w:eastAsia="zh-CN"/>
        </w:rPr>
      </w:pPr>
    </w:p>
    <w:p>
      <w:pPr>
        <w:widowControl/>
        <w:numPr>
          <w:ilvl w:val="0"/>
          <w:numId w:val="0"/>
        </w:numPr>
        <w:spacing w:line="580" w:lineRule="exact"/>
        <w:ind w:firstLine="643" w:firstLineChars="200"/>
        <w:jc w:val="left"/>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政府采购情况</w:t>
      </w:r>
    </w:p>
    <w:p>
      <w:pPr>
        <w:widowControl/>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年本部门政府采购支出总额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万元，其中：货物采购支出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万元，工程采购支出0万元，服务采购支出0万元</w:t>
      </w:r>
    </w:p>
    <w:p>
      <w:pPr>
        <w:widowControl/>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3.国有资产占用情况</w:t>
      </w:r>
    </w:p>
    <w:p>
      <w:pPr>
        <w:spacing w:line="580" w:lineRule="exact"/>
        <w:ind w:firstLine="66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截至201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年12月31日，本部门共有车辆</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辆，其中：一般公务用车</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辆；一般执法执勤用车0辆；特种专业技术用车0辆；其他用车0辆。单位价值50万元以上通用设备0台（套），单价100万元以上专用设备0台（套）。</w:t>
      </w:r>
    </w:p>
    <w:p>
      <w:pPr>
        <w:pStyle w:val="4"/>
        <w:spacing w:before="0" w:after="0"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其他需要说明的情况</w:t>
      </w:r>
    </w:p>
    <w:p>
      <w:pPr>
        <w:adjustRightInd w:val="0"/>
        <w:snapToGrid w:val="0"/>
        <w:spacing w:after="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1、本部门2017年度政府性基金预算财政拨款收入支出决算表为空，国有资本经营预算财政款收入支出决算表为空、政府采购情况表为空。故以空表列示。</w:t>
      </w:r>
    </w:p>
    <w:p>
      <w:pPr>
        <w:adjustRightInd w:val="0"/>
        <w:snapToGrid w:val="0"/>
        <w:spacing w:after="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（二）事业收入：指事业单位开展专业业务活动及辅助活动所取得的收入。</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（三）其他收入：指除上述“财政拨款收入”、“事业收入”、“经营收入”等以外的收入。</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（十四）公务用车购置：填列单位公务用车车辆购置支出（含车辆购置税）。</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十六）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rPr>
          <w:rFonts w:hint="eastAsia" w:ascii="仿宋" w:hAnsi="仿宋" w:eastAsia="仿宋" w:cs="仿宋"/>
          <w:color w:val="000000"/>
          <w:kern w:val="0"/>
          <w:sz w:val="32"/>
          <w:szCs w:val="32"/>
        </w:rPr>
      </w:pP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Wingdings 2"/>
    <w:panose1 w:val="05000000000000000000"/>
    <w:charset w:val="02"/>
    <w:family w:val="auto"/>
    <w:pitch w:val="default"/>
    <w:sig w:usb0="00000000" w:usb1="00000000" w:usb2="00000000" w:usb3="00000000" w:csb0="80000000" w:csb1="00000000"/>
  </w:font>
  <w:font w:name="Arial">
    <w:altName w:val="Arial Narrow"/>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Times New Roman"/>
    <w:panose1 w:val="02070309020205020404"/>
    <w:charset w:val="01"/>
    <w:family w:val="modern"/>
    <w:pitch w:val="default"/>
    <w:sig w:usb0="E0002AFF" w:usb1="C0007843" w:usb2="00000009" w:usb3="00000000" w:csb0="400001FF" w:csb1="FFFF0000"/>
  </w:font>
  <w:font w:name="Symbol">
    <w:altName w:val="Bookshelf Symbol 7"/>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Arial Narrow">
    <w:panose1 w:val="020B0606020202030204"/>
    <w:charset w:val="00"/>
    <w:family w:val="auto"/>
    <w:pitch w:val="default"/>
    <w:sig w:usb0="00000287" w:usb1="00000800" w:usb2="00000000" w:usb3="00000000" w:csb0="2000009F" w:csb1="DFD70000"/>
  </w:font>
  <w:font w:name="Bookshelf Symbol 7">
    <w:panose1 w:val="05010101010101010101"/>
    <w:charset w:val="00"/>
    <w:family w:val="auto"/>
    <w:pitch w:val="default"/>
    <w:sig w:usb0="00000000" w:usb1="00000000" w:usb2="00000000" w:usb3="00000000" w:csb0="80000000" w:csb1="00000000"/>
  </w:font>
  <w:font w:name="Cambria">
    <w:panose1 w:val="02040503050406030204"/>
    <w:charset w:val="00"/>
    <w:family w:val="auto"/>
    <w:pitch w:val="default"/>
    <w:sig w:usb0="A00002EF" w:usb1="4000004B" w:usb2="00000000" w:usb3="00000000" w:csb0="2000009F" w:csb1="00000000"/>
  </w:font>
  <w:font w:name="方正小标宋_GBK">
    <w:altName w:val="宋体"/>
    <w:panose1 w:val="00000000000000000000"/>
    <w:charset w:val="86"/>
    <w:family w:val="auto"/>
    <w:pitch w:val="default"/>
    <w:sig w:usb0="00000000" w:usb1="00000000" w:usb2="00000010" w:usb3="00000000" w:csb0="00040000" w:csb1="00000000"/>
  </w:font>
  <w:font w:name="??">
    <w:altName w:val="Times New Roman"/>
    <w:panose1 w:val="00000000000000000000"/>
    <w:charset w:val="00"/>
    <w:family w:val="auto"/>
    <w:pitch w:val="default"/>
    <w:sig w:usb0="00000000" w:usb1="00000000" w:usb2="00000000" w:usb3="00000000" w:csb0="00000001" w:csb1="00000000"/>
  </w:font>
  <w:font w:name="仿宋">
    <w:altName w:val="宋体"/>
    <w:panose1 w:val="02010609060101010101"/>
    <w:charset w:val="86"/>
    <w:family w:val="auto"/>
    <w:pitch w:val="default"/>
    <w:sig w:usb0="00000000" w:usb1="00000000" w:usb2="00000016" w:usb3="00000000" w:csb0="00040001" w:csb1="00000000"/>
  </w:font>
  <w:font w:name="楷体">
    <w:altName w:val="楷体_GB2312"/>
    <w:panose1 w:val="02010609060101010101"/>
    <w:charset w:val="86"/>
    <w:family w:val="auto"/>
    <w:pitch w:val="default"/>
    <w:sig w:usb0="00000000" w:usb1="00000000"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SimSun,Bold">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singleLevel"/>
    <w:tmpl w:val="0000000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7A01FC8"/>
    <w:rsid w:val="1AD24853"/>
    <w:rsid w:val="23FF751A"/>
    <w:rsid w:val="4FBE43A8"/>
    <w:rsid w:val="599D10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仿宋_GB2312"/>
      <w:color w:val="000000"/>
      <w:kern w:val="2"/>
      <w:sz w:val="28"/>
      <w:szCs w:val="32"/>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qForma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6"/>
    <w:uiPriority w:val="0"/>
    <w:pPr>
      <w:tabs>
        <w:tab w:val="center" w:pos="4153"/>
        <w:tab w:val="right" w:pos="8306"/>
      </w:tabs>
      <w:snapToGrid w:val="0"/>
      <w:jc w:val="left"/>
    </w:pPr>
    <w:rPr>
      <w:sz w:val="18"/>
      <w:szCs w:val="18"/>
    </w:rPr>
  </w:style>
  <w:style w:type="paragraph" w:styleId="7">
    <w:name w:val="header"/>
    <w:basedOn w:val="1"/>
    <w:link w:val="17"/>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character" w:customStyle="1" w:styleId="16">
    <w:name w:val="页脚 Char"/>
    <w:basedOn w:val="11"/>
    <w:link w:val="6"/>
    <w:semiHidden/>
    <w:qFormat/>
    <w:uiPriority w:val="0"/>
    <w:rPr>
      <w:sz w:val="18"/>
      <w:szCs w:val="18"/>
    </w:rPr>
  </w:style>
  <w:style w:type="character" w:customStyle="1" w:styleId="17">
    <w:name w:val="页眉 Char"/>
    <w:basedOn w:val="11"/>
    <w:link w:val="7"/>
    <w:semiHidden/>
    <w:uiPriority w:val="0"/>
    <w:rPr>
      <w:sz w:val="18"/>
      <w:szCs w:val="18"/>
    </w:rPr>
  </w:style>
  <w:style w:type="character" w:customStyle="1" w:styleId="18">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19">
    <w:name w:val="标题 Char"/>
    <w:basedOn w:val="11"/>
    <w:link w:val="9"/>
    <w:semiHidden/>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rFonts w:ascii="Times New Roman" w:hAnsi="Times New Roman" w:eastAsia="宋体" w:cs="Times New Roman"/>
      <w:sz w:val="18"/>
      <w:szCs w:val="18"/>
    </w:rPr>
  </w:style>
  <w:style w:type="paragraph" w:customStyle="1" w:styleId="21">
    <w:name w:val="No Spacing"/>
    <w:link w:val="23"/>
    <w:qFormat/>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2">
    <w:name w:val="批注框文本 Char Char Char Char"/>
    <w:basedOn w:val="11"/>
    <w:link w:val="20"/>
    <w:semiHidden/>
    <w:qFormat/>
    <w:uiPriority w:val="0"/>
    <w:rPr>
      <w:rFonts w:ascii="Times New Roman" w:hAnsi="Times New Roman" w:eastAsia="宋体" w:cs="Times New Roman"/>
      <w:sz w:val="18"/>
      <w:szCs w:val="18"/>
    </w:rPr>
  </w:style>
  <w:style w:type="character" w:customStyle="1" w:styleId="23">
    <w:name w:val="无间隔 Char"/>
    <w:basedOn w:val="11"/>
    <w:link w:val="21"/>
    <w:semiHidden/>
    <w:qFormat/>
    <w:uiPriority w:val="0"/>
    <w:rPr>
      <w:kern w:val="0"/>
      <w:sz w:val="22"/>
    </w:rPr>
  </w:style>
  <w:style w:type="character" w:customStyle="1" w:styleId="24">
    <w:name w:val="Style1"/>
    <w:basedOn w:val="11"/>
    <w:qFormat/>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qFormat/>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cp:lastModifiedBy>守护天使1372319468</cp:lastModifiedBy>
  <dcterms:modified xsi:type="dcterms:W3CDTF">2019-03-18T02:01:50Z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