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Default ContentType="image/png" Extension="png"/>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sz w:val="72"/>
          <w:szCs w:val="72"/>
        </w:rPr>
      </w:pPr>
    </w:p>
    <w:p>
      <w:pPr>
        <w:widowControl/>
        <w:jc w:val="center"/>
        <w:rPr>
          <w:rFonts w:ascii="黑体" w:hAnsi="宋体" w:eastAsia="黑体"/>
          <w:color w:val="002060"/>
          <w:sz w:val="84"/>
          <w:szCs w:val="84"/>
        </w:rPr>
      </w:pPr>
      <w:r>
        <w:rPr>
          <w:rFonts w:hint="eastAsia" w:ascii="黑体" w:hAnsi="宋体" w:eastAsia="黑体"/>
          <w:color w:val="002060"/>
          <w:sz w:val="84"/>
          <w:szCs w:val="84"/>
        </w:rPr>
        <w:t>2017年度部门决算公开</w:t>
      </w: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jc w:val="center"/>
        <w:rPr>
          <w:rFonts w:ascii="宋体" w:hAnsi="宋体" w:cs="黑体"/>
          <w:b/>
          <w:sz w:val="48"/>
          <w:szCs w:val="48"/>
        </w:rPr>
      </w:pPr>
      <w:r>
        <w:rPr>
          <w:rFonts w:hint="eastAsia" w:ascii="宋体" w:hAnsi="宋体" w:cs="黑体"/>
          <w:b/>
          <w:sz w:val="48"/>
          <w:szCs w:val="48"/>
        </w:rPr>
        <w:t>农村工作委员会</w:t>
      </w:r>
    </w:p>
    <w:p>
      <w:pPr>
        <w:widowControl/>
        <w:jc w:val="center"/>
        <w:rPr>
          <w:rFonts w:ascii="黑体" w:hAnsi="黑体" w:eastAsia="黑体"/>
          <w:b/>
          <w:sz w:val="72"/>
          <w:szCs w:val="72"/>
        </w:rPr>
      </w:pPr>
    </w:p>
    <w:p>
      <w:pPr>
        <w:widowControl/>
        <w:jc w:val="center"/>
        <w:rPr>
          <w:rFonts w:ascii="宋体" w:hAnsi="宋体"/>
          <w:b/>
          <w:sz w:val="44"/>
          <w:szCs w:val="44"/>
        </w:rPr>
      </w:pPr>
      <w:r>
        <w:rPr>
          <w:rFonts w:hint="eastAsia" w:ascii="宋体" w:hAnsi="宋体"/>
          <w:b/>
          <w:sz w:val="44"/>
          <w:szCs w:val="44"/>
        </w:rPr>
        <w:t>2018年9月18日</w:t>
      </w:r>
    </w:p>
    <w:p>
      <w:pPr>
        <w:widowControl/>
        <w:spacing w:line="580" w:lineRule="exact"/>
        <w:jc w:val="center"/>
        <w:rPr>
          <w:rFonts w:eastAsia="方正小标宋_GBK"/>
          <w:sz w:val="44"/>
          <w:szCs w:val="44"/>
        </w:rPr>
      </w:pPr>
    </w:p>
    <w:p>
      <w:pPr>
        <w:widowControl/>
        <w:spacing w:line="580" w:lineRule="exact"/>
        <w:jc w:val="center"/>
        <w:rPr>
          <w:rFonts w:ascii="黑体" w:eastAsia="黑体"/>
          <w:sz w:val="44"/>
          <w:szCs w:val="44"/>
        </w:rPr>
      </w:pPr>
      <w:r>
        <w:rPr>
          <w:rFonts w:hint="eastAsia" w:ascii="黑体" w:eastAsia="黑体"/>
          <w:sz w:val="44"/>
          <w:szCs w:val="44"/>
        </w:rPr>
        <w:t>部门决算公开目录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 xml:space="preserve">第一部分   </w:t>
      </w:r>
      <w:r>
        <w:rPr>
          <w:rFonts w:hint="eastAsia" w:ascii="黑体" w:hAnsi="宋体" w:eastAsia="黑体" w:cs="黑体"/>
          <w:b/>
          <w:sz w:val="32"/>
          <w:szCs w:val="32"/>
        </w:rPr>
        <w:t>农村工作委员会概况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二、部门决算单位构成</w:t>
      </w:r>
    </w:p>
    <w:p>
      <w:pPr>
        <w:widowControl/>
        <w:spacing w:line="580" w:lineRule="exact"/>
        <w:ind w:firstLine="640" w:firstLineChars="200"/>
        <w:rPr>
          <w:rFonts w:eastAsia="仿宋_GB2312"/>
          <w:sz w:val="20"/>
          <w:szCs w:val="32"/>
        </w:rPr>
      </w:pPr>
      <w:r>
        <w:rPr>
          <w:rFonts w:eastAsia="黑体"/>
          <w:sz w:val="32"/>
          <w:szCs w:val="32"/>
        </w:rPr>
        <w:t xml:space="preserve">第二部分  </w:t>
      </w:r>
      <w:r>
        <w:rPr>
          <w:rFonts w:hint="eastAsia" w:ascii="黑体" w:hAnsi="黑体" w:eastAsia="黑体" w:cs="黑体"/>
          <w:b/>
          <w:sz w:val="32"/>
          <w:szCs w:val="32"/>
        </w:rPr>
        <w:t>农村工作委员会</w:t>
      </w:r>
      <w:r>
        <w:rPr>
          <w:rFonts w:hint="eastAsia" w:ascii="黑体" w:hAnsi="黑体" w:eastAsia="黑体" w:cs="黑体"/>
          <w:sz w:val="32"/>
          <w:szCs w:val="32"/>
        </w:rPr>
        <w:t>2017年度部门决算报表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六、一般公共预算财政拨款基本支出决算经济分类表</w:t>
      </w:r>
    </w:p>
    <w:p>
      <w:pPr>
        <w:widowControl/>
        <w:spacing w:line="580" w:lineRule="exact"/>
        <w:ind w:left="640" w:firstLine="640" w:firstLineChars="200"/>
        <w:rPr>
          <w:rFonts w:eastAsia="仿宋_GB2312"/>
          <w:sz w:val="32"/>
          <w:szCs w:val="32"/>
        </w:rPr>
      </w:pPr>
      <w:r>
        <w:rPr>
          <w:rFonts w:eastAsia="仿宋_GB2312"/>
          <w:sz w:val="32"/>
          <w:szCs w:val="32"/>
        </w:rPr>
        <w:t>七、政府性基金预算财政拨款收入支出决算表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八、国有资本经营预算财政拨款收入支出决算表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九、“三公”经费等相关信息统计表</w:t>
      </w:r>
    </w:p>
    <w:p>
      <w:pPr>
        <w:widowControl/>
        <w:spacing w:line="580" w:lineRule="exact"/>
        <w:ind w:left="640" w:firstLine="640" w:firstLineChars="200"/>
        <w:rPr>
          <w:rFonts w:eastAsia="仿宋_GB2312"/>
          <w:sz w:val="32"/>
          <w:szCs w:val="32"/>
        </w:rPr>
      </w:pPr>
      <w:r>
        <w:rPr>
          <w:rFonts w:eastAsia="仿宋_GB2312"/>
          <w:sz w:val="32"/>
          <w:szCs w:val="32"/>
        </w:rPr>
        <w:t>十、政府采购情况表</w:t>
      </w: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ascii="黑体" w:hAnsi="宋体" w:eastAsia="黑体" w:cs="黑体"/>
          <w:b/>
          <w:sz w:val="32"/>
          <w:szCs w:val="32"/>
        </w:rPr>
        <w:t>农村工作委员会</w:t>
      </w:r>
      <w:r>
        <w:rPr>
          <w:rFonts w:eastAsia="黑体"/>
          <w:sz w:val="32"/>
          <w:szCs w:val="32"/>
        </w:rPr>
        <w:t>2017年部门决算情况说明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五、“三公”经费支出决算情况说明</w:t>
      </w:r>
    </w:p>
    <w:p>
      <w:pPr>
        <w:widowControl/>
        <w:spacing w:line="580" w:lineRule="exact"/>
        <w:ind w:left="640" w:firstLine="640" w:firstLineChars="200"/>
        <w:rPr>
          <w:rFonts w:eastAsia="仿宋_GB2312"/>
          <w:sz w:val="32"/>
          <w:szCs w:val="32"/>
        </w:rPr>
      </w:pPr>
      <w:r>
        <w:rPr>
          <w:rFonts w:eastAsia="仿宋_GB2312"/>
          <w:sz w:val="32"/>
          <w:szCs w:val="32"/>
        </w:rPr>
        <w:t>六、预算绩效管理工作开展情况说明</w:t>
      </w:r>
    </w:p>
    <w:p>
      <w:pPr>
        <w:widowControl/>
        <w:spacing w:line="580" w:lineRule="exact"/>
        <w:ind w:left="640" w:firstLine="640" w:firstLineChars="200"/>
        <w:rPr>
          <w:rFonts w:eastAsia="仿宋_GB2312"/>
          <w:sz w:val="32"/>
          <w:szCs w:val="32"/>
        </w:rPr>
      </w:pPr>
      <w:r>
        <w:rPr>
          <w:rFonts w:eastAsia="仿宋_GB2312"/>
          <w:sz w:val="32"/>
          <w:szCs w:val="32"/>
        </w:rPr>
        <w:t>七、其他重要事项的说明</w:t>
      </w:r>
    </w:p>
    <w:p>
      <w:pPr>
        <w:widowControl/>
        <w:spacing w:line="580" w:lineRule="exact"/>
        <w:ind w:left="640" w:firstLine="1344" w:firstLineChars="420"/>
        <w:rPr>
          <w:rFonts w:eastAsia="仿宋_GB2312"/>
          <w:sz w:val="32"/>
          <w:szCs w:val="32"/>
        </w:rPr>
      </w:pPr>
      <w:r>
        <w:rPr>
          <w:rFonts w:eastAsia="仿宋_GB2312"/>
          <w:sz w:val="32"/>
          <w:szCs w:val="32"/>
        </w:rPr>
        <w:t>1.机关运行经费情况</w:t>
      </w:r>
    </w:p>
    <w:p>
      <w:pPr>
        <w:widowControl/>
        <w:spacing w:line="580" w:lineRule="exact"/>
        <w:ind w:left="640" w:firstLine="1344" w:firstLineChars="420"/>
        <w:rPr>
          <w:rFonts w:eastAsia="仿宋_GB2312"/>
          <w:sz w:val="32"/>
          <w:szCs w:val="32"/>
        </w:rPr>
      </w:pPr>
      <w:r>
        <w:rPr>
          <w:rFonts w:eastAsia="仿宋_GB2312"/>
          <w:sz w:val="32"/>
          <w:szCs w:val="32"/>
        </w:rPr>
        <w:t>2.政府采购情况</w:t>
      </w:r>
    </w:p>
    <w:p>
      <w:pPr>
        <w:widowControl/>
        <w:spacing w:line="580" w:lineRule="exact"/>
        <w:ind w:left="640" w:firstLine="1344" w:firstLineChars="420"/>
        <w:rPr>
          <w:rFonts w:eastAsia="仿宋_GB2312"/>
          <w:sz w:val="32"/>
          <w:szCs w:val="32"/>
        </w:rPr>
      </w:pPr>
      <w:r>
        <w:rPr>
          <w:rFonts w:eastAsia="仿宋_GB2312"/>
          <w:sz w:val="32"/>
          <w:szCs w:val="32"/>
        </w:rPr>
        <w:t>3.国有资产占用情况</w:t>
      </w:r>
    </w:p>
    <w:p>
      <w:pPr>
        <w:widowControl/>
        <w:spacing w:line="580" w:lineRule="exact"/>
        <w:ind w:left="640" w:firstLine="1344" w:firstLineChars="420"/>
        <w:rPr>
          <w:rFonts w:eastAsia="仿宋_GB2312"/>
          <w:sz w:val="32"/>
          <w:szCs w:val="32"/>
        </w:rPr>
      </w:pPr>
      <w:r>
        <w:rPr>
          <w:rFonts w:eastAsia="仿宋_GB2312"/>
          <w:sz w:val="32"/>
          <w:szCs w:val="32"/>
        </w:rPr>
        <w:t>4.其他需要说明的情况</w:t>
      </w:r>
    </w:p>
    <w:p>
      <w:pPr>
        <w:widowControl/>
        <w:spacing w:line="580" w:lineRule="exact"/>
        <w:ind w:firstLine="640" w:firstLineChars="200"/>
        <w:rPr>
          <w:rFonts w:eastAsia="黑体"/>
          <w:sz w:val="32"/>
          <w:szCs w:val="32"/>
        </w:rPr>
      </w:pPr>
      <w:r>
        <w:rPr>
          <w:rFonts w:eastAsia="黑体"/>
          <w:sz w:val="32"/>
          <w:szCs w:val="32"/>
        </w:rPr>
        <w:t>第四部分  名词解释</w:t>
      </w:r>
    </w:p>
    <w:p/>
    <w:p/>
    <w:p/>
    <w:p/>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第一部分 部门概况</w:t>
      </w:r>
    </w:p>
    <w:p>
      <w:pPr>
        <w:pStyle w:val="5"/>
        <w:spacing w:before="0" w:after="0" w:line="560" w:lineRule="exact"/>
        <w:ind w:firstLine="643" w:firstLineChars="200"/>
        <w:rPr>
          <w:rFonts w:ascii="黑体" w:hAnsi="Cambria" w:eastAsia="黑体"/>
          <w:kern w:val="0"/>
        </w:rPr>
      </w:pPr>
      <w:r>
        <w:rPr>
          <w:rFonts w:hint="eastAsia" w:ascii="黑体" w:hAnsi="Cambria" w:eastAsia="黑体"/>
          <w:kern w:val="0"/>
        </w:rPr>
        <w:t>一、部门职责</w:t>
      </w:r>
    </w:p>
    <w:p>
      <w:pPr>
        <w:ind w:firstLine="800" w:firstLineChars="250"/>
        <w:rPr>
          <w:rFonts w:ascii="仿宋_GB2312" w:eastAsia="仿宋_GB2312" w:cs="DengXian-Regular"/>
          <w:sz w:val="32"/>
          <w:szCs w:val="32"/>
        </w:rPr>
      </w:pPr>
      <w:r>
        <w:rPr>
          <w:rFonts w:hint="eastAsia" w:ascii="仿宋_GB2312" w:eastAsia="仿宋_GB2312" w:cs="DengXian-Regular"/>
          <w:sz w:val="32"/>
          <w:szCs w:val="32"/>
        </w:rPr>
        <w:t>1.贯彻执行党在农村的路线、方针、政策。</w:t>
      </w:r>
    </w:p>
    <w:p>
      <w:pPr>
        <w:ind w:firstLine="800" w:firstLineChars="250"/>
        <w:rPr>
          <w:rFonts w:ascii="仿宋_GB2312" w:eastAsia="仿宋_GB2312" w:cs="DengXian-Regular"/>
          <w:sz w:val="32"/>
          <w:szCs w:val="32"/>
        </w:rPr>
      </w:pPr>
      <w:r>
        <w:rPr>
          <w:rFonts w:hint="eastAsia" w:ascii="仿宋_GB2312" w:eastAsia="仿宋_GB2312" w:cs="DengXian-Regular"/>
          <w:sz w:val="32"/>
          <w:szCs w:val="32"/>
        </w:rPr>
        <w:t>2.负责全县农民负担的监督管理。</w:t>
      </w:r>
    </w:p>
    <w:p>
      <w:pPr>
        <w:ind w:firstLine="800" w:firstLineChars="250"/>
        <w:rPr>
          <w:rFonts w:ascii="仿宋_GB2312" w:eastAsia="仿宋_GB2312" w:cs="DengXian-Regular"/>
          <w:sz w:val="32"/>
          <w:szCs w:val="32"/>
        </w:rPr>
      </w:pPr>
      <w:r>
        <w:rPr>
          <w:rFonts w:hint="eastAsia" w:ascii="仿宋_GB2312" w:eastAsia="仿宋_GB2312" w:cs="DengXian-Regular"/>
          <w:sz w:val="32"/>
          <w:szCs w:val="32"/>
        </w:rPr>
        <w:t>3.负责农村产业化调整和农村经济的发展。</w:t>
      </w:r>
    </w:p>
    <w:p>
      <w:pPr>
        <w:ind w:firstLine="800" w:firstLineChars="250"/>
        <w:rPr>
          <w:rFonts w:ascii="仿宋_GB2312" w:eastAsia="仿宋_GB2312" w:cs="DengXian-Regular"/>
          <w:sz w:val="32"/>
          <w:szCs w:val="32"/>
        </w:rPr>
      </w:pPr>
      <w:r>
        <w:rPr>
          <w:rFonts w:hint="eastAsia" w:ascii="仿宋_GB2312" w:eastAsia="仿宋_GB2312" w:cs="DengXian-Regular"/>
          <w:sz w:val="32"/>
          <w:szCs w:val="32"/>
        </w:rPr>
        <w:t>4.负责农村财务的监督管理和审计。</w:t>
      </w:r>
    </w:p>
    <w:p>
      <w:pPr>
        <w:ind w:firstLine="800" w:firstLineChars="250"/>
        <w:rPr>
          <w:rFonts w:ascii="仿宋_GB2312" w:eastAsia="仿宋_GB2312" w:cs="DengXian-Regular"/>
          <w:sz w:val="32"/>
          <w:szCs w:val="32"/>
        </w:rPr>
      </w:pPr>
      <w:r>
        <w:rPr>
          <w:rFonts w:hint="eastAsia" w:ascii="仿宋_GB2312" w:eastAsia="仿宋_GB2312" w:cs="DengXian-Regular"/>
          <w:sz w:val="32"/>
          <w:szCs w:val="32"/>
        </w:rPr>
        <w:t>5.负责全县农村小康建设工作。</w:t>
      </w:r>
    </w:p>
    <w:p>
      <w:pPr>
        <w:pStyle w:val="5"/>
        <w:spacing w:before="0" w:after="0" w:line="560" w:lineRule="exact"/>
        <w:ind w:firstLine="643" w:firstLineChars="200"/>
        <w:rPr>
          <w:rFonts w:hint="eastAsia" w:ascii="黑体" w:hAnsi="Cambria" w:eastAsia="黑体"/>
          <w:kern w:val="0"/>
        </w:rPr>
      </w:pPr>
      <w:r>
        <w:rPr>
          <w:rFonts w:hint="eastAsia" w:ascii="黑体" w:hAnsi="Cambria" w:eastAsia="黑体"/>
          <w:kern w:val="0"/>
        </w:rPr>
        <w:t>二、部门决算单位构成</w:t>
      </w:r>
    </w:p>
    <w:p>
      <w:pPr>
        <w:autoSpaceDE w:val="0"/>
        <w:autoSpaceDN w:val="0"/>
        <w:adjustRightInd w:val="0"/>
        <w:spacing w:after="0" w:line="560" w:lineRule="exact"/>
        <w:ind w:firstLine="640" w:firstLineChars="200"/>
        <w:jc w:val="left"/>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2017 年度，纳入本部门决算汇编范围的独立核算单位</w:t>
      </w:r>
    </w:p>
    <w:p>
      <w:r>
        <w:rPr>
          <w:rFonts w:hint="eastAsia" w:ascii="仿宋_GB2312" w:hAnsi="Calibri" w:eastAsia="仿宋_GB2312" w:cs="ArialUnicodeMS"/>
          <w:kern w:val="0"/>
          <w:sz w:val="32"/>
          <w:szCs w:val="32"/>
        </w:rPr>
        <w:t>（以下简称“单位”）共 1个，分别是无极县机关事务管理局 ，单位基本性质为事业单位，预算管理级次为</w:t>
      </w:r>
      <w:r>
        <w:rPr>
          <w:rFonts w:hint="eastAsia" w:ascii="仿宋_GB2312" w:hAnsi="Calibri" w:eastAsia="仿宋_GB2312" w:cs="ArialUnicodeMS"/>
          <w:kern w:val="0"/>
          <w:sz w:val="32"/>
          <w:szCs w:val="32"/>
          <w:lang w:val="en-US" w:eastAsia="zh-CN"/>
        </w:rPr>
        <w:t>1</w:t>
      </w:r>
      <w:r>
        <w:rPr>
          <w:rFonts w:hint="eastAsia" w:ascii="仿宋_GB2312" w:hAnsi="Calibri" w:eastAsia="仿宋_GB2312" w:cs="ArialUnicodeMS"/>
          <w:kern w:val="0"/>
          <w:sz w:val="32"/>
          <w:szCs w:val="32"/>
        </w:rPr>
        <w:t>级预算单位，执行</w:t>
      </w:r>
      <w:r>
        <w:rPr>
          <w:rFonts w:hint="eastAsia" w:ascii="仿宋_GB2312" w:hAnsi="Calibri" w:eastAsia="仿宋_GB2312" w:cs="ArialUnicodeMS"/>
          <w:kern w:val="0"/>
          <w:sz w:val="32"/>
          <w:szCs w:val="32"/>
          <w:lang w:val="en-US" w:eastAsia="zh-CN"/>
        </w:rPr>
        <w:t>行政</w:t>
      </w:r>
      <w:r>
        <w:rPr>
          <w:rFonts w:hint="eastAsia" w:ascii="仿宋_GB2312" w:hAnsi="Calibri" w:eastAsia="仿宋_GB2312" w:cs="ArialUnicodeMS"/>
          <w:kern w:val="0"/>
          <w:sz w:val="32"/>
          <w:szCs w:val="32"/>
        </w:rPr>
        <w:t>单位会计制度，较上年无增减变化</w:t>
      </w:r>
      <w:r>
        <w:rPr>
          <w:rFonts w:hint="eastAsia" w:ascii="仿宋_GB2312" w:hAnsi="Calibri" w:eastAsia="仿宋_GB2312" w:cs="ArialUnicodeMS"/>
          <w:kern w:val="0"/>
          <w:sz w:val="32"/>
          <w:szCs w:val="32"/>
          <w:lang w:eastAsia="zh-CN"/>
        </w:rPr>
        <w:t>。</w:t>
      </w:r>
    </w:p>
    <w:tbl>
      <w:tblPr>
        <w:tblW w:w="85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27"/>
        <w:gridCol w:w="1134"/>
        <w:gridCol w:w="1276"/>
        <w:gridCol w:w="2353"/>
      </w:tblGrid>
      <w:tr>
        <w:trPr>
          <w:trHeight w:val="460" w:hRule="atLeast"/>
          <w:tblHeader/>
          <w:jc w:val="center"/>
        </w:trPr>
        <w:tc>
          <w:tcPr>
            <w:tcW w:w="3827" w:type="dxa"/>
            <w:vMerge w:val="restart"/>
            <w:vAlign w:val="center"/>
          </w:tcPr>
          <w:p>
            <w:pPr>
              <w:spacing w:line="300" w:lineRule="exact"/>
              <w:ind w:firstLine="643"/>
              <w:jc w:val="center"/>
              <w:rPr>
                <w:rFonts w:ascii="仿宋_GB2312" w:eastAsia="仿宋_GB2312" w:cs="仿宋_GB2312"/>
                <w:b/>
                <w:szCs w:val="32"/>
              </w:rPr>
            </w:pPr>
            <w:r>
              <w:rPr>
                <w:rFonts w:hint="eastAsia" w:ascii="仿宋_GB2312" w:hAnsi="仿宋_GB2312" w:cs="仿宋_GB2312"/>
                <w:b/>
                <w:szCs w:val="32"/>
              </w:rPr>
              <w:t>单位名称</w:t>
            </w:r>
          </w:p>
        </w:tc>
        <w:tc>
          <w:tcPr>
            <w:tcW w:w="1134" w:type="dxa"/>
            <w:vMerge w:val="restart"/>
            <w:vAlign w:val="center"/>
          </w:tcPr>
          <w:p>
            <w:pPr>
              <w:spacing w:line="300" w:lineRule="exact"/>
              <w:rPr>
                <w:rFonts w:ascii="仿宋_GB2312" w:eastAsia="仿宋_GB2312" w:cs="仿宋_GB2312"/>
                <w:b/>
                <w:szCs w:val="32"/>
              </w:rPr>
            </w:pPr>
            <w:r>
              <w:rPr>
                <w:rFonts w:hint="eastAsia" w:ascii="仿宋_GB2312" w:hAnsi="仿宋_GB2312" w:cs="仿宋_GB2312"/>
                <w:b/>
                <w:szCs w:val="32"/>
              </w:rPr>
              <w:t>单位性质</w:t>
            </w:r>
          </w:p>
        </w:tc>
        <w:tc>
          <w:tcPr>
            <w:tcW w:w="1276" w:type="dxa"/>
            <w:vMerge w:val="restart"/>
            <w:vAlign w:val="center"/>
          </w:tcPr>
          <w:p>
            <w:pPr>
              <w:spacing w:line="300" w:lineRule="exact"/>
              <w:rPr>
                <w:rFonts w:ascii="仿宋_GB2312" w:eastAsia="仿宋_GB2312" w:cs="仿宋_GB2312"/>
                <w:b/>
                <w:szCs w:val="32"/>
              </w:rPr>
            </w:pPr>
            <w:r>
              <w:rPr>
                <w:rFonts w:hint="eastAsia" w:ascii="仿宋_GB2312" w:hAnsi="仿宋_GB2312" w:cs="仿宋_GB2312"/>
                <w:b/>
                <w:szCs w:val="32"/>
              </w:rPr>
              <w:t>单位</w:t>
            </w:r>
            <w:r>
              <w:rPr>
                <w:rFonts w:ascii="仿宋_GB2312" w:hAnsi="仿宋_GB2312" w:cs="仿宋_GB2312"/>
                <w:b/>
                <w:szCs w:val="32"/>
              </w:rPr>
              <w:t xml:space="preserve"> </w:t>
            </w:r>
            <w:r>
              <w:rPr>
                <w:rFonts w:hint="eastAsia" w:ascii="仿宋_GB2312" w:hAnsi="仿宋_GB2312" w:cs="仿宋_GB2312"/>
                <w:b/>
                <w:szCs w:val="32"/>
              </w:rPr>
              <w:t>规格</w:t>
            </w:r>
          </w:p>
        </w:tc>
        <w:tc>
          <w:tcPr>
            <w:tcW w:w="2353" w:type="dxa"/>
            <w:vMerge w:val="restart"/>
            <w:vAlign w:val="center"/>
          </w:tcPr>
          <w:p>
            <w:pPr>
              <w:spacing w:line="300" w:lineRule="exact"/>
              <w:ind w:firstLine="643"/>
              <w:jc w:val="center"/>
              <w:rPr>
                <w:rFonts w:ascii="仿宋_GB2312" w:eastAsia="仿宋_GB2312" w:cs="仿宋_GB2312"/>
                <w:b/>
                <w:szCs w:val="32"/>
              </w:rPr>
            </w:pPr>
            <w:r>
              <w:rPr>
                <w:rFonts w:hint="eastAsia" w:ascii="仿宋_GB2312" w:hAnsi="仿宋_GB2312" w:cs="仿宋_GB2312"/>
                <w:b/>
                <w:szCs w:val="32"/>
              </w:rPr>
              <w:t>经费保障形式</w:t>
            </w:r>
          </w:p>
        </w:tc>
      </w:tr>
      <w:tr>
        <w:trPr>
          <w:trHeight w:val="460" w:hRule="atLeast"/>
          <w:tblHeader/>
          <w:jc w:val="center"/>
        </w:trPr>
        <w:tc>
          <w:tcPr>
            <w:tcW w:w="3827" w:type="dxa"/>
            <w:vMerge w:val="continue"/>
            <w:vAlign w:val="center"/>
          </w:tcPr>
          <w:p>
            <w:pPr>
              <w:spacing w:line="300" w:lineRule="exact"/>
              <w:ind w:firstLine="640"/>
              <w:jc w:val="left"/>
              <w:outlineLvl w:val="0"/>
              <w:rPr>
                <w:rFonts w:ascii="仿宋_GB2312" w:eastAsia="仿宋_GB2312" w:cs="仿宋_GB2312"/>
                <w:szCs w:val="32"/>
              </w:rPr>
            </w:pPr>
          </w:p>
        </w:tc>
        <w:tc>
          <w:tcPr>
            <w:tcW w:w="1134" w:type="dxa"/>
            <w:vMerge w:val="continue"/>
            <w:vAlign w:val="center"/>
          </w:tcPr>
          <w:p>
            <w:pPr>
              <w:spacing w:line="300" w:lineRule="exact"/>
              <w:ind w:firstLine="640"/>
              <w:jc w:val="left"/>
              <w:outlineLvl w:val="0"/>
              <w:rPr>
                <w:rFonts w:ascii="仿宋_GB2312" w:eastAsia="仿宋_GB2312" w:cs="仿宋_GB2312"/>
                <w:szCs w:val="32"/>
              </w:rPr>
            </w:pPr>
          </w:p>
        </w:tc>
        <w:tc>
          <w:tcPr>
            <w:tcW w:w="1276" w:type="dxa"/>
            <w:vMerge w:val="continue"/>
            <w:vAlign w:val="center"/>
          </w:tcPr>
          <w:p>
            <w:pPr>
              <w:spacing w:line="300" w:lineRule="exact"/>
              <w:ind w:firstLine="640"/>
              <w:jc w:val="left"/>
              <w:outlineLvl w:val="0"/>
              <w:rPr>
                <w:rFonts w:ascii="仿宋_GB2312" w:eastAsia="仿宋_GB2312" w:cs="仿宋_GB2312"/>
                <w:szCs w:val="32"/>
              </w:rPr>
            </w:pPr>
          </w:p>
        </w:tc>
        <w:tc>
          <w:tcPr>
            <w:tcW w:w="2353" w:type="dxa"/>
            <w:vMerge w:val="continue"/>
            <w:vAlign w:val="center"/>
          </w:tcPr>
          <w:p>
            <w:pPr>
              <w:spacing w:line="300" w:lineRule="exact"/>
              <w:ind w:firstLine="640"/>
              <w:jc w:val="left"/>
              <w:outlineLvl w:val="0"/>
              <w:rPr>
                <w:rFonts w:ascii="仿宋_GB2312" w:eastAsia="仿宋_GB2312" w:cs="仿宋_GB2312"/>
                <w:szCs w:val="32"/>
              </w:rPr>
            </w:pPr>
          </w:p>
        </w:tc>
      </w:tr>
      <w:tr>
        <w:trPr>
          <w:trHeight w:val="664" w:hRule="atLeast"/>
          <w:jc w:val="center"/>
        </w:trPr>
        <w:tc>
          <w:tcPr>
            <w:tcW w:w="3827" w:type="dxa"/>
            <w:vAlign w:val="center"/>
          </w:tcPr>
          <w:p>
            <w:pPr>
              <w:spacing w:line="300" w:lineRule="exact"/>
              <w:ind w:firstLine="640"/>
              <w:jc w:val="center"/>
              <w:rPr>
                <w:rFonts w:hint="eastAsia" w:ascii="仿宋" w:hAnsi="仿宋" w:eastAsia="仿宋"/>
                <w:szCs w:val="32"/>
                <w:lang w:eastAsia="zh-CN"/>
              </w:rPr>
            </w:pPr>
            <w:r>
              <w:rPr>
                <w:rFonts w:hint="eastAsia" w:ascii="仿宋" w:hAnsi="仿宋" w:eastAsia="仿宋"/>
                <w:szCs w:val="32"/>
                <w:lang w:val="en-US" w:eastAsia="zh-CN"/>
              </w:rPr>
              <w:t>无极县委农村工作委员会</w:t>
            </w:r>
          </w:p>
        </w:tc>
        <w:tc>
          <w:tcPr>
            <w:tcW w:w="1134" w:type="dxa"/>
            <w:vAlign w:val="center"/>
          </w:tcPr>
          <w:p>
            <w:pPr>
              <w:spacing w:line="300" w:lineRule="exact"/>
              <w:jc w:val="center"/>
              <w:rPr>
                <w:rFonts w:ascii="仿宋" w:hAnsi="仿宋" w:eastAsia="仿宋"/>
                <w:szCs w:val="32"/>
              </w:rPr>
            </w:pPr>
            <w:r>
              <w:rPr>
                <w:rFonts w:hint="eastAsia" w:ascii="仿宋" w:hAnsi="仿宋" w:eastAsia="仿宋"/>
                <w:szCs w:val="32"/>
              </w:rPr>
              <w:t>行政</w:t>
            </w:r>
          </w:p>
        </w:tc>
        <w:tc>
          <w:tcPr>
            <w:tcW w:w="1276" w:type="dxa"/>
            <w:vAlign w:val="center"/>
          </w:tcPr>
          <w:p>
            <w:pPr>
              <w:spacing w:line="300" w:lineRule="exact"/>
              <w:rPr>
                <w:rFonts w:ascii="仿宋" w:hAnsi="仿宋" w:eastAsia="仿宋"/>
                <w:szCs w:val="32"/>
              </w:rPr>
            </w:pPr>
            <w:r>
              <w:rPr>
                <w:rFonts w:hint="eastAsia" w:ascii="仿宋" w:hAnsi="仿宋" w:eastAsia="仿宋"/>
                <w:szCs w:val="32"/>
              </w:rPr>
              <w:t>正科级</w:t>
            </w:r>
          </w:p>
        </w:tc>
        <w:tc>
          <w:tcPr>
            <w:tcW w:w="2353" w:type="dxa"/>
            <w:vAlign w:val="center"/>
          </w:tcPr>
          <w:p>
            <w:pPr>
              <w:spacing w:line="300" w:lineRule="exact"/>
              <w:ind w:firstLine="640"/>
              <w:jc w:val="center"/>
              <w:rPr>
                <w:rFonts w:ascii="仿宋" w:hAnsi="仿宋" w:eastAsia="仿宋"/>
                <w:szCs w:val="32"/>
              </w:rPr>
            </w:pPr>
            <w:r>
              <w:rPr>
                <w:rFonts w:hint="eastAsia" w:ascii="仿宋" w:hAnsi="仿宋" w:eastAsia="仿宋"/>
                <w:szCs w:val="32"/>
              </w:rPr>
              <w:t>财政拨款</w:t>
            </w:r>
          </w:p>
        </w:tc>
      </w:tr>
    </w:tbl>
    <w:p>
      <w:pPr>
        <w:widowControl/>
        <w:spacing w:line="560" w:lineRule="exact"/>
        <w:jc w:val="center"/>
        <w:rPr>
          <w:rFonts w:ascii="黑体" w:hAnsi="Cambria" w:eastAsia="黑体" w:cs="MS-UIGothic,Bold"/>
          <w:bCs/>
          <w:kern w:val="0"/>
          <w:sz w:val="52"/>
          <w:szCs w:val="52"/>
        </w:rPr>
      </w:pPr>
    </w:p>
    <w:p>
      <w:pPr>
        <w:widowControl/>
        <w:spacing w:line="560" w:lineRule="exact"/>
        <w:jc w:val="both"/>
        <w:rPr>
          <w:rFonts w:ascii="黑体" w:hAnsi="Cambria" w:eastAsia="黑体" w:cs="MS-UIGothic,Bold"/>
          <w:bCs/>
          <w:kern w:val="0"/>
          <w:sz w:val="52"/>
          <w:szCs w:val="52"/>
        </w:rPr>
      </w:pPr>
    </w:p>
    <w:p>
      <w:pPr>
        <w:widowControl/>
        <w:spacing w:line="560" w:lineRule="exact"/>
        <w:jc w:val="center"/>
        <w:rPr>
          <w:rFonts w:ascii="黑体" w:hAnsi="Cambria" w:eastAsia="黑体" w:cs="MS-UIGothic,Bold"/>
          <w:bCs/>
          <w:kern w:val="0"/>
          <w:sz w:val="52"/>
          <w:szCs w:val="52"/>
        </w:rPr>
      </w:pPr>
    </w:p>
    <w:p>
      <w:pPr>
        <w:widowControl/>
        <w:spacing w:line="560" w:lineRule="exact"/>
        <w:jc w:val="center"/>
        <w:rPr>
          <w:rFonts w:ascii="黑体" w:hAnsi="Cambria" w:eastAsia="黑体" w:cs="MS-UIGothic,Bold"/>
          <w:bCs/>
          <w:kern w:val="0"/>
          <w:sz w:val="52"/>
          <w:szCs w:val="52"/>
        </w:rPr>
      </w:pPr>
    </w:p>
    <w:p>
      <w:pPr>
        <w:pStyle w:val="2"/>
        <w:spacing w:line="560" w:lineRule="exact"/>
        <w:jc w:val="center"/>
        <w:rPr>
          <w:rFonts w:ascii="宋体" w:hAnsi="宋体" w:cs="ArialUnicodeMS"/>
          <w:color w:val="000000"/>
          <w:kern w:val="0"/>
        </w:rPr>
      </w:pPr>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第二部分 2017年度部门决算报表</w:t>
      </w:r>
    </w:p>
    <w:p>
      <w:pPr>
        <w:widowControl/>
        <w:spacing w:after="0" w:line="560" w:lineRule="exact"/>
        <w:ind w:firstLine="643" w:firstLineChars="200"/>
        <w:jc w:val="center"/>
        <w:rPr>
          <w:rFonts w:ascii="宋体" w:hAnsi="宋体" w:cs="宋体"/>
          <w:b/>
          <w:sz w:val="32"/>
          <w:szCs w:val="32"/>
        </w:rPr>
      </w:pPr>
      <w:r>
        <w:rPr>
          <w:rFonts w:hint="eastAsia" w:ascii="宋体" w:hAnsi="宋体" w:cs="宋体"/>
          <w:b/>
          <w:sz w:val="32"/>
          <w:szCs w:val="32"/>
          <w:lang w:eastAsia="zh-CN"/>
        </w:rPr>
        <w:t>（</w:t>
      </w:r>
      <w:r>
        <w:rPr>
          <w:rFonts w:hint="eastAsia" w:ascii="宋体" w:hAnsi="宋体" w:cs="宋体"/>
          <w:b/>
          <w:sz w:val="32"/>
          <w:szCs w:val="32"/>
        </w:rPr>
        <w:t>详见附表</w:t>
      </w:r>
      <w:r>
        <w:rPr>
          <w:rFonts w:hint="eastAsia" w:ascii="宋体" w:hAnsi="宋体" w:cs="宋体"/>
          <w:b/>
          <w:sz w:val="32"/>
          <w:szCs w:val="32"/>
          <w:lang w:eastAsia="zh-CN"/>
        </w:rPr>
        <w:t>）</w:t>
      </w:r>
    </w:p>
    <w:p>
      <w:pPr>
        <w:ind w:firstLine="643"/>
        <w:jc w:val="left"/>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一、收入支出决算总表</w:t>
      </w:r>
    </w:p>
    <w:p>
      <w:pPr>
        <w:ind w:firstLine="643"/>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二、收入决算表</w:t>
      </w:r>
    </w:p>
    <w:p>
      <w:pPr>
        <w:ind w:firstLine="643"/>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 xml:space="preserve">三、支出决算表 </w:t>
      </w:r>
    </w:p>
    <w:p>
      <w:pPr>
        <w:ind w:firstLine="643"/>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四、财政拨款收入支出决算总表</w:t>
      </w:r>
    </w:p>
    <w:p>
      <w:pPr>
        <w:ind w:firstLine="643"/>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五、一般公共预算财政拨款支出决算表</w:t>
      </w:r>
    </w:p>
    <w:p>
      <w:pPr>
        <w:ind w:firstLine="622"/>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六、一般公共预算财政拨款基本支出决算表</w:t>
      </w:r>
    </w:p>
    <w:p>
      <w:pPr>
        <w:ind w:firstLine="622"/>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 xml:space="preserve">七、政府性基金预算财政拨款收入支出决算表 </w:t>
      </w:r>
    </w:p>
    <w:p>
      <w:pPr>
        <w:ind w:firstLine="643"/>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八、国有资本经营预算财政拨款收入支出决算表</w:t>
      </w:r>
    </w:p>
    <w:p>
      <w:pPr>
        <w:ind w:firstLine="643"/>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九、“三公”经费及相关信息统计表</w:t>
      </w:r>
    </w:p>
    <w:p>
      <w:pPr>
        <w:ind w:firstLine="643"/>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十、政府采购情况表</w:t>
      </w:r>
    </w:p>
    <w:p>
      <w:pPr>
        <w:widowControl/>
        <w:spacing w:after="0" w:line="560" w:lineRule="exact"/>
        <w:ind w:firstLine="420" w:firstLineChars="200"/>
        <w:jc w:val="left"/>
        <w:sectPr>
          <w:pgSz w:w="11906" w:h="16838"/>
          <w:pgMar w:top="2098" w:right="1474" w:bottom="1984" w:left="1588" w:header="851" w:footer="992" w:gutter="0"/>
          <w:cols w:space="720" w:num="1"/>
          <w:docGrid w:type="lines" w:linePitch="312"/>
        </w:sectPr>
      </w:pPr>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第三部分部门决算情况说明</w:t>
      </w:r>
    </w:p>
    <w:p>
      <w:pPr>
        <w:pStyle w:val="5"/>
        <w:spacing w:before="0" w:after="0" w:line="560" w:lineRule="exact"/>
        <w:ind w:firstLine="643" w:firstLineChars="200"/>
        <w:rPr>
          <w:rFonts w:ascii="黑体" w:eastAsia="黑体"/>
        </w:rPr>
      </w:pPr>
      <w:r>
        <w:rPr>
          <w:rFonts w:hint="eastAsia" w:ascii="黑体" w:eastAsia="黑体"/>
        </w:rPr>
        <w:t>一、收入</w:t>
      </w:r>
      <w:r>
        <w:rPr>
          <w:rFonts w:hint="eastAsia" w:ascii="黑体" w:hAnsi="Cambria" w:eastAsia="黑体"/>
          <w:kern w:val="0"/>
        </w:rPr>
        <w:t>支出</w:t>
      </w:r>
      <w:r>
        <w:rPr>
          <w:rFonts w:hint="eastAsia" w:ascii="黑体" w:eastAsia="黑体"/>
        </w:rPr>
        <w:t>决算总体情况说明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年初结转和结余97.14万元，本年收入187.65万元；本年支出278.03万元、年末结转和结余6.77万元。与2016年度决算相比，本年收入减少128.7万元，降低40.7%，主要是专款减少；本年支出增加22.34万元，增长8.7%，主要是结转减少。</w:t>
      </w:r>
    </w:p>
    <w:p>
      <w:pPr>
        <w:pStyle w:val="5"/>
        <w:spacing w:before="0" w:after="0" w:line="560" w:lineRule="exact"/>
        <w:ind w:firstLine="643" w:firstLineChars="200"/>
        <w:rPr>
          <w:rFonts w:ascii="黑体" w:eastAsia="黑体"/>
        </w:rPr>
      </w:pPr>
      <w:r>
        <w:rPr>
          <w:rFonts w:hint="eastAsia" w:ascii="黑体" w:eastAsia="黑体"/>
        </w:rPr>
        <w:t>二、收入决算情况说明</w:t>
      </w:r>
    </w:p>
    <w:p>
      <w:pPr>
        <w:adjustRightInd w:val="0"/>
        <w:snapToGrid w:val="0"/>
        <w:spacing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rPr>
        <w:t>本部门2017年度本年收入合计187.65万元，其中：财政拨款收入187.65万元，占100%；事业收入0万元；经营收入0万元；其他收入0万元。</w:t>
      </w:r>
      <w:r>
        <w:rPr>
          <w:rFonts w:hint="eastAsia" w:ascii="仿宋_GB2312" w:eastAsia="仿宋_GB2312" w:cs="DengXian-Regular"/>
          <w:sz w:val="32"/>
          <w:szCs w:val="32"/>
          <w:lang w:val="en-US" w:eastAsia="zh-CN"/>
        </w:rPr>
        <w:t>如图所示：</w:t>
      </w:r>
    </w:p>
    <w:p>
      <w:pPr>
        <w:adjustRightInd w:val="0"/>
        <w:snapToGrid w:val="0"/>
        <w:spacing w:line="560" w:lineRule="exact"/>
        <w:jc w:val="center"/>
        <w:rPr>
          <w:rFonts w:hint="eastAsia" w:ascii="仿宋_GB2312" w:eastAsia="仿宋_GB2312" w:cs="DengXian-Regular"/>
          <w:sz w:val="32"/>
          <w:szCs w:val="32"/>
          <w:lang w:val="en-US" w:eastAsia="zh-CN"/>
        </w:rPr>
      </w:pPr>
      <w:r>
        <w:rPr>
          <w:rFonts w:hint="eastAsia" w:ascii="仿宋_GB2312" w:eastAsia="仿宋_GB2312" w:cs="DengXian-Regular"/>
          <w:sz w:val="32"/>
          <w:szCs w:val="32"/>
          <w:lang w:val="en-US" w:eastAsia="zh-CN"/>
        </w:rPr>
        <w:t>图1：收入决算结构饼状图</w:t>
      </w:r>
    </w:p>
    <w:p>
      <w:pPr>
        <w:adjustRightInd w:val="0"/>
        <w:snapToGrid w:val="0"/>
        <w:spacing w:after="0" w:line="240" w:lineRule="auto"/>
        <w:ind w:firstLine="0" w:firstLineChars="0"/>
        <w:rPr>
          <w:rFonts w:hint="eastAsia" w:ascii="仿宋_GB2312" w:eastAsia="仿宋_GB2312" w:cs="DengXian-Regular"/>
          <w:sz w:val="32"/>
          <w:szCs w:val="32"/>
          <w:lang w:val="en-US" w:eastAsia="zh-CN"/>
        </w:rPr>
      </w:pPr>
      <w:r>
        <w:rPr>
          <w:rFonts w:ascii="Times New Roman" w:hAnsi="Times New Roman" w:eastAsia="宋体" w:cs="Times New Roman"/>
          <w:kern w:val="2"/>
          <w:sz w:val="21"/>
          <w:szCs w:val="24"/>
          <w:lang w:val="en-US" w:eastAsia="zh-CN" w:bidi="ar-SA"/>
        </w:rPr>
        <w:pict>
          <v:shape id="_x0000_i1025" o:spid="_x0000_s1025" type="#_x0000_t75" style="height:201.2pt;width:442.1pt;rotation:0f;" o:ole="f" fillcolor="#FFFFFF" filled="f" o:preferrelative="t" stroked="f" coordorigin="0,0" coordsize="21600,21600">
            <v:fill on="f" color2="#FFFFFF" focus="0%"/>
            <v:imagedata gain="65536f" blacklevel="0f" gamma="0" o:title="" r:id="rId5"/>
            <o:lock v:ext="edit" position="f" selection="f" grouping="f" rotation="f" cropping="f" text="f" aspectratio="t"/>
            <w10:wrap type="none"/>
            <w10:anchorlock/>
          </v:shape>
        </w:pict>
      </w:r>
    </w:p>
    <w:p>
      <w:pPr>
        <w:pStyle w:val="5"/>
        <w:spacing w:before="0" w:after="0" w:line="560" w:lineRule="exact"/>
        <w:ind w:firstLine="643" w:firstLineChars="200"/>
        <w:rPr>
          <w:rFonts w:ascii="黑体" w:eastAsia="黑体"/>
        </w:rPr>
      </w:pPr>
      <w:r>
        <w:rPr>
          <w:rFonts w:hint="eastAsia" w:ascii="黑体" w:eastAsia="黑体"/>
        </w:rPr>
        <w:t>三、支出决算情况说明</w:t>
      </w:r>
    </w:p>
    <w:p>
      <w:pPr>
        <w:adjustRightInd w:val="0"/>
        <w:snapToGrid w:val="0"/>
        <w:spacing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rPr>
        <w:t>本部门2017年度本年支出合计278.03万元，其中：基本支出71.41万元，占25.68%；项目支出206.62万元，占74.32%。</w:t>
      </w:r>
      <w:r>
        <w:rPr>
          <w:rFonts w:hint="eastAsia" w:ascii="仿宋_GB2312" w:eastAsia="仿宋_GB2312" w:cs="DengXian-Regular"/>
          <w:sz w:val="32"/>
          <w:szCs w:val="32"/>
          <w:lang w:val="en-US" w:eastAsia="zh-CN"/>
        </w:rPr>
        <w:t>如图所示：</w:t>
      </w:r>
    </w:p>
    <w:p>
      <w:pPr>
        <w:adjustRightInd w:val="0"/>
        <w:snapToGrid w:val="0"/>
        <w:spacing w:line="560" w:lineRule="exact"/>
        <w:jc w:val="center"/>
        <w:rPr>
          <w:rFonts w:hint="eastAsia" w:ascii="仿宋_GB2312" w:eastAsia="仿宋_GB2312" w:cs="DengXian-Regular"/>
          <w:sz w:val="32"/>
          <w:szCs w:val="32"/>
          <w:lang w:val="en-US" w:eastAsia="zh-CN"/>
        </w:rPr>
      </w:pPr>
      <w:r>
        <w:rPr>
          <w:rFonts w:hint="eastAsia" w:ascii="仿宋_GB2312" w:eastAsia="仿宋_GB2312" w:cs="DengXian-Regular"/>
          <w:sz w:val="32"/>
          <w:szCs w:val="32"/>
          <w:lang w:val="en-US" w:eastAsia="zh-CN"/>
        </w:rPr>
        <w:t>图2：支出决算结构饼状图</w:t>
      </w:r>
    </w:p>
    <w:p>
      <w:pPr>
        <w:adjustRightInd w:val="0"/>
        <w:snapToGrid w:val="0"/>
        <w:spacing w:after="0" w:line="240" w:lineRule="auto"/>
        <w:ind w:firstLine="0" w:firstLineChars="0"/>
        <w:rPr>
          <w:rFonts w:hint="eastAsia" w:ascii="仿宋_GB2312" w:eastAsia="仿宋_GB2312" w:cs="DengXian-Regular"/>
          <w:sz w:val="32"/>
          <w:szCs w:val="32"/>
          <w:lang w:val="en-US" w:eastAsia="zh-CN"/>
        </w:rPr>
      </w:pPr>
      <w:r>
        <w:rPr>
          <w:rFonts w:ascii="Times New Roman" w:hAnsi="Times New Roman" w:eastAsia="宋体" w:cs="Times New Roman"/>
          <w:kern w:val="2"/>
          <w:sz w:val="21"/>
          <w:szCs w:val="24"/>
          <w:lang w:val="en-US" w:eastAsia="zh-CN" w:bidi="ar-SA"/>
        </w:rPr>
        <w:pict>
          <v:shape id="_x0000_i1026" o:spid="_x0000_s1026" type="#_x0000_t75" style="height:201.2pt;width:442.1pt;rotation:0f;" o:ole="f" fillcolor="#FFFFFF" filled="f" o:preferrelative="t" stroked="f" coordorigin="0,0" coordsize="21600,21600">
            <v:fill on="f" color2="#FFFFFF" focus="0%"/>
            <v:imagedata gain="65536f" blacklevel="0f" gamma="0" o:title="" r:id="rId6"/>
            <o:lock v:ext="edit" position="f" selection="f" grouping="f" rotation="f" cropping="f" text="f" aspectratio="t"/>
            <w10:wrap type="none"/>
            <w10:anchorlock/>
          </v:shape>
        </w:pict>
      </w:r>
    </w:p>
    <w:p>
      <w:pPr>
        <w:pStyle w:val="5"/>
        <w:spacing w:before="0" w:after="0" w:line="560" w:lineRule="exact"/>
        <w:ind w:firstLine="643" w:firstLineChars="200"/>
        <w:rPr>
          <w:rFonts w:ascii="黑体" w:eastAsia="黑体"/>
        </w:rPr>
      </w:pPr>
      <w:r>
        <w:rPr>
          <w:rFonts w:hint="eastAsia" w:ascii="黑体" w:eastAsia="黑体"/>
        </w:rPr>
        <w:t>四、</w:t>
      </w:r>
      <w:r>
        <w:rPr>
          <w:rFonts w:hint="eastAsia" w:ascii="黑体" w:hAnsi="Cambria" w:eastAsia="黑体"/>
          <w:kern w:val="0"/>
        </w:rPr>
        <w:t>财政</w:t>
      </w:r>
      <w:r>
        <w:rPr>
          <w:rFonts w:hint="eastAsia" w:ascii="黑体" w:eastAsia="黑体"/>
        </w:rPr>
        <w:t>拨款收入支出决算总体情况说明</w:t>
      </w:r>
    </w:p>
    <w:p>
      <w:pPr>
        <w:spacing w:after="0" w:line="56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（一）财政拨款收支与2016 年度决算对比情况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财政拨款收支全部为一般公共预算财政拨款收支。一般公共预算财政拨款年初结转和结余97.14万元、本年收入187.65万元；本年支出278.03万元、年末结转和结余6.77万元。与2016年度决算相比，一般公共预算财政拨款本年收入减少128.7万元，降低40.7%，主要是专款减少；本年支出增加22.34万元，增长8.7%，主要是结转减少。</w:t>
      </w:r>
    </w:p>
    <w:p>
      <w:pPr>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本部门2017年度一般公共预算财政拨款本年收入较2017年初预算减少128.7万元，降低40.7%，主要是专款减少；本年支出增加22.34万元，增长8.7%，主要是结转减少。</w:t>
      </w:r>
    </w:p>
    <w:p>
      <w:pPr>
        <w:pStyle w:val="5"/>
        <w:spacing w:before="0" w:after="0" w:line="560" w:lineRule="exact"/>
        <w:ind w:firstLine="643" w:firstLineChars="200"/>
        <w:rPr>
          <w:rFonts w:ascii="黑体" w:eastAsia="黑体"/>
        </w:rPr>
      </w:pPr>
      <w:r>
        <w:rPr>
          <w:rFonts w:hint="eastAsia" w:ascii="黑体" w:eastAsia="黑体"/>
        </w:rPr>
        <w:t>五、“三公” 经费支出决算情况说明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本部门2017年度“三公”经费支出共计2.69万元，较年初预算减少0.31万元，降低11.5%；较2016年度决算增加1.91万元，增长245%，主要是下乡督导任务增加。具体情况如下：</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本部门2017年度参加其他单位组织的因公出国（境）团组0个、共0人/无本单位组织的出国（境）团组。因公出国（境）费支出较年初预算</w:t>
      </w:r>
      <w:r>
        <w:rPr>
          <w:rFonts w:hint="eastAsia" w:ascii="仿宋_GB2312" w:eastAsia="仿宋_GB2312" w:cs="DengXian-Regular"/>
          <w:sz w:val="32"/>
          <w:szCs w:val="32"/>
          <w:lang w:eastAsia="zh-CN"/>
        </w:rPr>
        <w:t>无增减变化</w:t>
      </w:r>
      <w:r>
        <w:rPr>
          <w:rFonts w:hint="eastAsia" w:ascii="仿宋_GB2312" w:eastAsia="仿宋_GB2312" w:cs="DengXian-Regular"/>
          <w:sz w:val="32"/>
          <w:szCs w:val="32"/>
        </w:rPr>
        <w:t>；较2016年度决算</w:t>
      </w:r>
      <w:r>
        <w:rPr>
          <w:rFonts w:hint="eastAsia" w:ascii="仿宋_GB2312" w:eastAsia="仿宋_GB2312" w:cs="DengXian-Regular"/>
          <w:sz w:val="32"/>
          <w:szCs w:val="32"/>
          <w:lang w:val="en-US" w:eastAsia="zh-CN"/>
        </w:rPr>
        <w:t>无增减变化</w:t>
      </w:r>
      <w:r>
        <w:rPr>
          <w:rFonts w:hint="eastAsia" w:ascii="仿宋_GB2312" w:eastAsia="仿宋_GB2312" w:cs="DengXian-Regular"/>
          <w:sz w:val="32"/>
          <w:szCs w:val="32"/>
        </w:rPr>
        <w:t>。</w:t>
      </w:r>
    </w:p>
    <w:p>
      <w:pPr>
        <w:adjustRightInd w:val="0"/>
        <w:snapToGrid w:val="0"/>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（二）公务用车购置及运行维护费支出2.69万元。</w:t>
      </w:r>
      <w:r>
        <w:rPr>
          <w:rFonts w:hint="eastAsia" w:ascii="仿宋_GB2312" w:eastAsia="仿宋_GB2312" w:cs="DengXian-Regular"/>
          <w:sz w:val="32"/>
          <w:szCs w:val="32"/>
        </w:rPr>
        <w:t>本部门2017年度公务用车购置及运行维护费较年初预算减少0.31万元，降低11.5%；较2016年度决算增加1.91万元，增加245%,主要是下乡督导增加。</w:t>
      </w:r>
      <w:r>
        <w:rPr>
          <w:rFonts w:hint="eastAsia" w:ascii="仿宋_GB2312" w:eastAsia="仿宋_GB2312" w:cs="DengXian-Bold"/>
          <w:b/>
          <w:bCs/>
          <w:sz w:val="32"/>
          <w:szCs w:val="32"/>
        </w:rPr>
        <w:t>其中：</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本部门2017年度公务用车购置量0辆，发生“公务用车购置”经费支出0万元。公务用车购置费支出较年初预算</w:t>
      </w:r>
      <w:r>
        <w:rPr>
          <w:rFonts w:hint="eastAsia" w:ascii="仿宋_GB2312" w:eastAsia="仿宋_GB2312" w:cs="DengXian-Regular"/>
          <w:sz w:val="32"/>
          <w:szCs w:val="32"/>
          <w:lang w:eastAsia="zh-CN"/>
        </w:rPr>
        <w:t>无增减变化</w:t>
      </w:r>
      <w:r>
        <w:rPr>
          <w:rFonts w:hint="eastAsia" w:ascii="仿宋_GB2312" w:eastAsia="仿宋_GB2312" w:cs="DengXian-Regular"/>
          <w:sz w:val="32"/>
          <w:szCs w:val="32"/>
        </w:rPr>
        <w:t>；较2016年度决算</w:t>
      </w:r>
      <w:r>
        <w:rPr>
          <w:rFonts w:hint="eastAsia" w:ascii="仿宋_GB2312" w:eastAsia="仿宋_GB2312" w:cs="DengXian-Regular"/>
          <w:sz w:val="32"/>
          <w:szCs w:val="32"/>
          <w:lang w:val="en-US" w:eastAsia="zh-CN"/>
        </w:rPr>
        <w:t>无增减变化</w:t>
      </w:r>
      <w:r>
        <w:rPr>
          <w:rFonts w:hint="eastAsia" w:ascii="仿宋_GB2312" w:eastAsia="仿宋_GB2312" w:cs="DengXian-Regular"/>
          <w:sz w:val="32"/>
          <w:szCs w:val="32"/>
        </w:rPr>
        <w:t>。</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本部门2017年度单位公务用车保有量1辆。公车运行维护费支出较年初预算减少0.31万元，降低11.5%；较2016年度决算增加1.91万元，增长245%，主要是下乡督导增加。</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（三）公务接待费支出0万元。</w:t>
      </w:r>
      <w:r>
        <w:rPr>
          <w:rFonts w:hint="eastAsia" w:ascii="仿宋_GB2312" w:eastAsia="仿宋_GB2312" w:cs="DengXian-Regular"/>
          <w:sz w:val="32"/>
          <w:szCs w:val="32"/>
        </w:rPr>
        <w:t>本部门2017年度公务接待共0批次、0人次。公务接待费支出较年初预算</w:t>
      </w:r>
      <w:r>
        <w:rPr>
          <w:rFonts w:hint="eastAsia" w:ascii="仿宋_GB2312" w:eastAsia="仿宋_GB2312" w:cs="DengXian-Regular"/>
          <w:sz w:val="32"/>
          <w:szCs w:val="32"/>
          <w:lang w:eastAsia="zh-CN"/>
        </w:rPr>
        <w:t>无增减变化</w:t>
      </w:r>
      <w:r>
        <w:rPr>
          <w:rFonts w:hint="eastAsia" w:ascii="仿宋_GB2312" w:eastAsia="仿宋_GB2312" w:cs="DengXian-Regular"/>
          <w:sz w:val="32"/>
          <w:szCs w:val="32"/>
        </w:rPr>
        <w:t>；较2016年度决算</w:t>
      </w:r>
      <w:r>
        <w:rPr>
          <w:rFonts w:hint="eastAsia" w:ascii="仿宋_GB2312" w:eastAsia="仿宋_GB2312" w:cs="DengXian-Regular"/>
          <w:sz w:val="32"/>
          <w:szCs w:val="32"/>
          <w:lang w:val="en-US" w:eastAsia="zh-CN"/>
        </w:rPr>
        <w:t>无增减变化</w:t>
      </w:r>
      <w:r>
        <w:rPr>
          <w:rFonts w:hint="eastAsia" w:ascii="仿宋_GB2312" w:eastAsia="仿宋_GB2312" w:cs="DengXian-Regular"/>
          <w:sz w:val="32"/>
          <w:szCs w:val="32"/>
        </w:rPr>
        <w:t>。</w:t>
      </w:r>
    </w:p>
    <w:p>
      <w:pPr>
        <w:pStyle w:val="5"/>
        <w:spacing w:before="0" w:after="0" w:line="560" w:lineRule="exact"/>
        <w:ind w:firstLine="643" w:firstLineChars="200"/>
        <w:rPr>
          <w:rFonts w:hint="eastAsia" w:ascii="黑体" w:eastAsia="黑体" w:cs="Times New Roman"/>
        </w:rPr>
      </w:pPr>
      <w:r>
        <w:rPr>
          <w:rFonts w:hint="eastAsia" w:ascii="黑体" w:eastAsia="黑体" w:cs="Times New Roman"/>
        </w:rPr>
        <w:t>六、绩效预算</w:t>
      </w:r>
      <w:r>
        <w:rPr>
          <w:rFonts w:hint="eastAsia" w:ascii="黑体" w:hAnsi="Cambria" w:eastAsia="黑体"/>
          <w:kern w:val="0"/>
        </w:rPr>
        <w:t>管理</w:t>
      </w:r>
      <w:r>
        <w:rPr>
          <w:rFonts w:hint="eastAsia" w:ascii="黑体" w:eastAsia="黑体" w:cs="Times New Roman"/>
        </w:rPr>
        <w:t>工作开展情况说明</w:t>
      </w:r>
    </w:p>
    <w:p>
      <w:pPr>
        <w:widowControl w:val="0"/>
        <w:wordWrap/>
        <w:adjustRightInd/>
        <w:snapToGrid/>
        <w:spacing w:before="0" w:after="0" w:line="240" w:lineRule="auto"/>
        <w:ind w:left="0" w:leftChars="0" w:right="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（一）绩效管理工作开展情况。</w:t>
      </w:r>
    </w:p>
    <w:p>
      <w:pPr>
        <w:widowControl w:val="0"/>
        <w:wordWrap/>
        <w:adjustRightInd/>
        <w:snapToGrid/>
        <w:spacing w:before="0" w:after="160" w:line="480" w:lineRule="auto"/>
        <w:ind w:left="0" w:leftChars="0" w:right="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根据绩效预算管理改革督察要求，本单位认真开展了预算绩效管理改革开展情况自查，对部门全面规范绩效预算编制、严格预算执行管理、推进绩效评价工作、推进预决算信息公开等方面进行了自评，考核结果为良好。</w:t>
      </w:r>
    </w:p>
    <w:p>
      <w:pPr>
        <w:widowControl w:val="0"/>
        <w:wordWrap/>
        <w:adjustRightInd/>
        <w:snapToGrid/>
        <w:spacing w:before="0" w:after="0" w:line="240" w:lineRule="auto"/>
        <w:ind w:left="0" w:leftChars="0" w:right="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（二）预算项目绩效评价开展情况</w:t>
      </w:r>
    </w:p>
    <w:p>
      <w:pPr>
        <w:widowControl w:val="0"/>
        <w:wordWrap/>
        <w:adjustRightInd/>
        <w:snapToGrid/>
        <w:spacing w:before="0" w:after="160" w:line="480" w:lineRule="auto"/>
        <w:ind w:left="0" w:leftChars="0" w:right="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根据预算绩效管理要求，本单位组织对2017年度一般公共预算项目支出开展绩效自评，涉及革命老区重点村建设、农业产业化发展等两个项目，涉及资金206.62万元，自评结果为优秀的一个，自评结果为良好的一个。</w:t>
      </w:r>
    </w:p>
    <w:p>
      <w:pPr>
        <w:widowControl w:val="0"/>
        <w:wordWrap/>
        <w:adjustRightInd/>
        <w:snapToGrid/>
        <w:spacing w:before="0" w:after="0" w:line="240" w:lineRule="auto"/>
        <w:ind w:left="0" w:leftChars="0" w:right="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（三）预算项目绩效自评选例</w:t>
      </w:r>
    </w:p>
    <w:p>
      <w:pPr>
        <w:widowControl w:val="0"/>
        <w:wordWrap/>
        <w:adjustRightInd/>
        <w:snapToGrid/>
        <w:spacing w:before="0" w:after="160" w:line="480" w:lineRule="auto"/>
        <w:ind w:left="0" w:leftChars="0" w:right="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 本单位革命老区重点村建设项目绩效自评：根据年初设定的绩效目标，革命老区重点村建设项目自评结果为良好。项目全年预算数为123.62万元。完成预算的100%。本单位农业产业化发展项目绩效自评：根据年初设定的绩效目标，农机购置补贴项目自评结果为优秀。项目全年预算数为83万元。执行数83万元，完成预算的100%。</w:t>
      </w:r>
    </w:p>
    <w:p>
      <w:pPr>
        <w:pStyle w:val="5"/>
        <w:spacing w:before="0" w:after="0" w:line="560" w:lineRule="exact"/>
        <w:ind w:firstLine="643" w:firstLineChars="200"/>
        <w:rPr>
          <w:rFonts w:ascii="黑体" w:eastAsia="黑体" w:cs="Times New Roman"/>
        </w:rPr>
      </w:pPr>
      <w:r>
        <w:rPr>
          <w:rFonts w:hint="eastAsia" w:ascii="黑体" w:eastAsia="黑体" w:cs="Times New Roman"/>
        </w:rPr>
        <w:t>七、其他重要事项的说明</w:t>
      </w:r>
    </w:p>
    <w:p>
      <w:pPr>
        <w:pStyle w:val="7"/>
        <w:spacing w:before="0" w:after="0" w:line="56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本部门2017年度机关运行经费支出</w:t>
      </w:r>
      <w:r>
        <w:rPr>
          <w:rFonts w:hint="eastAsia" w:ascii="仿宋_GB2312" w:eastAsia="仿宋_GB2312" w:cs="DengXian-Regular"/>
          <w:sz w:val="32"/>
          <w:szCs w:val="32"/>
          <w:lang w:val="en-US" w:eastAsia="zh-CN"/>
        </w:rPr>
        <w:t>22.52</w:t>
      </w:r>
      <w:r>
        <w:rPr>
          <w:rFonts w:hint="eastAsia" w:ascii="仿宋_GB2312" w:eastAsia="仿宋_GB2312" w:cs="DengXian-Regular"/>
          <w:sz w:val="32"/>
          <w:szCs w:val="32"/>
        </w:rPr>
        <w:t>万元，比2016年度增加</w:t>
      </w:r>
      <w:r>
        <w:rPr>
          <w:rFonts w:hint="eastAsia" w:ascii="仿宋_GB2312" w:eastAsia="仿宋_GB2312" w:cs="DengXian-Regular"/>
          <w:sz w:val="32"/>
          <w:szCs w:val="32"/>
          <w:lang w:val="en-US" w:eastAsia="zh-CN"/>
        </w:rPr>
        <w:t>15.02</w:t>
      </w:r>
      <w:r>
        <w:rPr>
          <w:rFonts w:hint="eastAsia" w:ascii="仿宋_GB2312" w:eastAsia="仿宋_GB2312" w:cs="DengXian-Regular"/>
          <w:sz w:val="32"/>
          <w:szCs w:val="32"/>
        </w:rPr>
        <w:t>万元，</w:t>
      </w:r>
      <w:r>
        <w:rPr>
          <w:rFonts w:hint="eastAsia" w:ascii="仿宋_GB2312" w:eastAsia="仿宋_GB2312" w:cs="DengXian-Regular"/>
          <w:sz w:val="32"/>
          <w:szCs w:val="32"/>
          <w:lang w:eastAsia="zh-CN"/>
        </w:rPr>
        <w:t>增长</w:t>
      </w:r>
      <w:r>
        <w:rPr>
          <w:rFonts w:hint="eastAsia" w:ascii="仿宋_GB2312" w:eastAsia="仿宋_GB2312" w:cs="DengXian-Regular"/>
          <w:sz w:val="32"/>
          <w:szCs w:val="32"/>
          <w:lang w:val="en-US" w:eastAsia="zh-CN"/>
        </w:rPr>
        <w:t>66.96%。</w:t>
      </w:r>
      <w:r>
        <w:rPr>
          <w:rFonts w:hint="eastAsia" w:ascii="仿宋_GB2312" w:eastAsia="仿宋_GB2312" w:cs="DengXian-Regular"/>
          <w:sz w:val="32"/>
          <w:szCs w:val="32"/>
        </w:rPr>
        <w:t>主要是新增农村集体产权制度改革工作任务。</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除三公经费外，主要有办公及印刷费12.65万元，邮电费0.62万元，差旅费0.89万元，会议费1.98万元，培训费0.51万元，福利费0万元，日常维修费0.78万元，专用材料及一般设备购置费0万元，水电费0.42万元，取暖费0万元，其他</w:t>
      </w:r>
      <w:r>
        <w:rPr>
          <w:rFonts w:hint="eastAsia" w:ascii="仿宋_GB2312" w:eastAsia="仿宋_GB2312" w:cs="DengXian-Regular"/>
          <w:sz w:val="32"/>
          <w:szCs w:val="32"/>
          <w:lang w:eastAsia="zh-CN"/>
        </w:rPr>
        <w:t>交通费（公车补）</w:t>
      </w:r>
      <w:r>
        <w:rPr>
          <w:rFonts w:hint="eastAsia" w:ascii="仿宋_GB2312" w:eastAsia="仿宋_GB2312" w:cs="DengXian-Regular"/>
          <w:sz w:val="32"/>
          <w:szCs w:val="32"/>
        </w:rPr>
        <w:t>费用0</w:t>
      </w:r>
      <w:r>
        <w:rPr>
          <w:rFonts w:hint="eastAsia" w:ascii="仿宋_GB2312" w:eastAsia="仿宋_GB2312" w:cs="DengXian-Regular"/>
          <w:sz w:val="32"/>
          <w:szCs w:val="32"/>
          <w:lang w:val="en-US" w:eastAsia="zh-CN"/>
        </w:rPr>
        <w:t>2.76</w:t>
      </w:r>
      <w:r>
        <w:rPr>
          <w:rFonts w:hint="eastAsia" w:ascii="仿宋_GB2312" w:eastAsia="仿宋_GB2312" w:cs="DengXian-Regular"/>
          <w:sz w:val="32"/>
          <w:szCs w:val="32"/>
        </w:rPr>
        <w:t>万元。</w:t>
      </w:r>
    </w:p>
    <w:p>
      <w:pPr>
        <w:pStyle w:val="7"/>
        <w:spacing w:before="0" w:after="0" w:line="560" w:lineRule="exact"/>
        <w:ind w:firstLine="643" w:firstLineChars="200"/>
        <w:rPr>
          <w:rFonts w:ascii="楷体_GB2312" w:eastAsia="楷体_GB2312" w:cs="DengXian-Bold"/>
        </w:rPr>
      </w:pPr>
      <w:r>
        <w:rPr>
          <w:rFonts w:hint="eastAsia" w:ascii="楷体_GB2312" w:eastAsia="楷体_GB2312" w:cs="DengXian-Bold"/>
        </w:rPr>
        <w:t>（二）政府采购情况</w:t>
      </w:r>
      <w:bookmarkStart w:id="0" w:name="_GoBack"/>
      <w:bookmarkEnd w:id="0"/>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本部门2017年度政府采购支出总额0万元，其中：政府采购货物支出0万元、政府采购工程支出0万元、政府采购服务支出0万元。</w:t>
      </w:r>
    </w:p>
    <w:p>
      <w:pPr>
        <w:pStyle w:val="7"/>
        <w:spacing w:before="0" w:after="0" w:line="56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截至2017年12月31日，本部门共有车辆1辆，其中，市级领导干部用车0辆、一般公务用车1辆、一般执法执勤用车0辆、特种专业技术用车0辆、其他用车0辆；单位价值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万元以上大型设备0台，单位价值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万元以上大型设备0台。</w:t>
      </w:r>
    </w:p>
    <w:p>
      <w:pPr>
        <w:pStyle w:val="7"/>
        <w:spacing w:before="0" w:after="0" w:line="56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由于决算公开表格中金额数值应当保留两位小数，公开数据为四舍五入计算结果，个别数据合计项与分项之和存在小数点后差额，特此说明。</w:t>
      </w:r>
    </w:p>
    <w:p>
      <w:pPr>
        <w:pStyle w:val="2"/>
        <w:jc w:val="center"/>
        <w:rPr>
          <w:rFonts w:ascii="仿宋_GB2312" w:hAnsi="宋体" w:eastAsia="仿宋_GB2312" w:cs="MS-UIGothic,Bold"/>
          <w:sz w:val="32"/>
          <w:szCs w:val="32"/>
        </w:rPr>
      </w:pPr>
      <w:r>
        <w:rPr>
          <w:rFonts w:hint="eastAsia" w:ascii="宋体" w:hAnsi="宋体" w:cs="SimSun,Bold"/>
        </w:rPr>
        <w:t>第四部分名词解释</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（一）财政拨款收入：本年度从本级财政部门取得的财政拨款，包括一般公共预算财政拨款和政府性基金预算财政拨款。</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（二）事业收入：指事业单位开展专业业务活动及辅助活动所取得的收入。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（三）其他收入：指除上述“财政拨款收入”、“事业收入”、“经营收入”等以外的收入。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（五）年初结转和结余：指以前年度尚未完成、结转到本年仍按原规定用途继续使用的资金，或项目已完成等产生的结余资金。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（六）结余分配：指事业单位按照事业单位会计制度的规定从非财政补助结余中分配的事业基金和职工福利基金等。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（七）年末结转和结余：指单位按有关规定结转到下年或以后年度继续使用的资金，或项目已完成等产生的结余资金。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（八）基本支出：填列单位为保障机构正常运转、完成日常工作任务而发生的各项支出。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（九）项目支出：填列单位为完成特定的行政工作任务或事业发展目标，在基本支出之外发生的各项支出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（十一）其他资本性支出：填列由各级非发展与改革部门集中安排的用于购置固定资产、战备性和应急性储备、土地和无形资产，以及购建基础设施、大型修缮和财政支持企业更新改造所发生的支出。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二）“三公”经费：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（十三）其他交通费用：填列单位除公务用车运行维护费以外的其他交通费用。如飞机、船舶等的燃料费、维修费、过桥过路费、保险费、出租车费用、公务交通补贴等。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（十四）公务用车购置：填列单位公务用车车辆购置支出（含车辆购置税）。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（十五）其他交通工具购置：填列单位除公务用车外的其他各类交通工具（如船舶、飞机）购置支出（含车辆购置税）。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（十六） 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74" w:bottom="1985" w:left="1588" w:header="851" w:footer="992" w:gutter="0"/>
      <w:cols w:space="720" w:num="1"/>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Tahoma">
    <w:panose1 w:val="020B0604030504040204"/>
    <w:charset w:val="00"/>
    <w:family w:val="auto"/>
    <w:pitch w:val="default"/>
    <w:sig w:usb0="E1002EFF" w:usb1="C000605B" w:usb2="00000029" w:usb3="00000000" w:csb0="200101FF" w:csb1="20280000"/>
  </w:font>
  <w:font w:name="Symbol">
    <w:panose1 w:val="05050102010706020507"/>
    <w:charset w:val="02"/>
    <w:family w:val="roman"/>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微软雅黑">
    <w:panose1 w:val="020B0503020204020204"/>
    <w:charset w:val="86"/>
    <w:family w:val="auto"/>
    <w:pitch w:val="default"/>
    <w:sig w:usb0="80000287" w:usb1="280F3C52" w:usb2="00000016" w:usb3="00000000" w:csb0="0004001F" w:csb1="00000000"/>
  </w:font>
  <w:font w:name="Calibri">
    <w:panose1 w:val="020F0502020204030204"/>
    <w:charset w:val="00"/>
    <w:family w:val="auto"/>
    <w:pitch w:val="default"/>
    <w:sig w:usb0="E00002FF" w:usb1="4000ACFF" w:usb2="00000001" w:usb3="00000000" w:csb0="2000019F" w:csb1="00000000"/>
  </w:font>
  <w:font w:name="Cambria">
    <w:panose1 w:val="02040503050406030204"/>
    <w:charset w:val="00"/>
    <w:family w:val="auto"/>
    <w:pitch w:val="default"/>
    <w:sig w:usb0="E00002FF" w:usb1="400004FF" w:usb2="00000000" w:usb3="00000000" w:csb0="2000019F" w:csb1="00000000"/>
  </w:font>
  <w:font w:name="方正小标宋_GBK">
    <w:altName w:val="宋体"/>
    <w:panose1 w:val="00000000000000000000"/>
    <w:charset w:val="86"/>
    <w:family w:val="auto"/>
    <w:pitch w:val="default"/>
    <w:sig w:usb0="00000000" w:usb1="00000000" w:usb2="0000001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DengXian-Regular">
    <w:altName w:val="宋体"/>
    <w:panose1 w:val="00000000000000000000"/>
    <w:charset w:val="86"/>
    <w:family w:val="auto"/>
    <w:pitch w:val="default"/>
    <w:sig w:usb0="00000000" w:usb1="00000000" w:usb2="00000010" w:usb3="00000000" w:csb0="00040001" w:csb1="00000000"/>
  </w:font>
  <w:font w:name="仿宋">
    <w:panose1 w:val="02010609060101010101"/>
    <w:charset w:val="86"/>
    <w:family w:val="auto"/>
    <w:pitch w:val="default"/>
    <w:sig w:usb0="800002BF" w:usb1="38CF7CFA" w:usb2="00000016" w:usb3="00000000" w:csb0="00040001" w:csb1="00000000"/>
  </w:font>
  <w:font w:name="MS-UIGothic,Bold">
    <w:altName w:val="Malgun Gothic"/>
    <w:panose1 w:val="00000000000000000000"/>
    <w:charset w:val="81"/>
    <w:family w:val="auto"/>
    <w:pitch w:val="default"/>
    <w:sig w:usb0="00000000" w:usb1="00000000" w:usb2="00000010" w:usb3="00000000" w:csb0="00080000" w:csb1="00000000"/>
  </w:font>
  <w:font w:name="楷体_GB2312">
    <w:altName w:val="楷体"/>
    <w:panose1 w:val="02010609030101010101"/>
    <w:charset w:val="86"/>
    <w:family w:val="auto"/>
    <w:pitch w:val="default"/>
    <w:sig w:usb0="00000000" w:usb1="00000000" w:usb2="00000000" w:usb3="00000000" w:csb0="00040000"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auto"/>
    <w:pitch w:val="default"/>
    <w:sig w:usb0="00000000" w:usb1="00000000" w:usb2="00000000" w:usb3="00000000" w:csb0="00000001" w:csb1="00000000"/>
  </w:font>
  <w:font w:name="SimSun,Bold">
    <w:altName w:val="宋体"/>
    <w:panose1 w:val="00000000000000000000"/>
    <w:charset w:val="86"/>
    <w:family w:val="auto"/>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Malgun Gothic">
    <w:panose1 w:val="020B0503020000020004"/>
    <w:charset w:val="81"/>
    <w:family w:val="auto"/>
    <w:pitch w:val="default"/>
    <w:sig w:usb0="900002AF" w:usb1="01D77CFB" w:usb2="00000012" w:usb3="00000000" w:csb0="0008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uiCompat97To2003/>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style w:type="paragraph" w:default="1" w:styleId="1">
    <w:name w:val="Normal"/>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3"/>
    <w:pPr>
      <w:keepNext/>
      <w:keepLines/>
      <w:spacing w:before="340" w:after="330" w:line="578" w:lineRule="auto"/>
      <w:outlineLvl w:val="0"/>
    </w:pPr>
    <w:rPr>
      <w:rFonts w:ascii="Times New Roman" w:hAnsi="Times New Roman" w:eastAsia="宋体" w:cs="Times New Roman"/>
      <w:b/>
      <w:bCs/>
      <w:kern w:val="44"/>
      <w:sz w:val="44"/>
      <w:szCs w:val="44"/>
    </w:rPr>
  </w:style>
  <w:style w:type="paragraph" w:styleId="5">
    <w:name w:val="heading 2"/>
    <w:basedOn w:val="1"/>
    <w:next w:val="1"/>
    <w:link w:val="6"/>
    <w:pPr>
      <w:keepNext/>
      <w:keepLines/>
      <w:spacing w:before="260" w:after="260" w:line="416" w:lineRule="auto"/>
      <w:outlineLvl w:val="1"/>
    </w:pPr>
    <w:rPr>
      <w:rFonts w:ascii="Calibri" w:hAnsi="Calibri" w:eastAsia="宋体" w:cs="黑体"/>
      <w:b/>
      <w:bCs/>
      <w:sz w:val="32"/>
      <w:szCs w:val="32"/>
    </w:rPr>
  </w:style>
  <w:style w:type="paragraph" w:styleId="7">
    <w:name w:val="heading 3"/>
    <w:basedOn w:val="1"/>
    <w:next w:val="1"/>
    <w:link w:val="8"/>
    <w:pPr>
      <w:keepNext/>
      <w:keepLines/>
      <w:spacing w:before="260" w:after="260" w:line="416" w:lineRule="auto"/>
      <w:outlineLvl w:val="2"/>
    </w:pPr>
    <w:rPr>
      <w:rFonts w:ascii="Times New Roman" w:hAnsi="Times New Roman" w:eastAsia="宋体" w:cs="Times New Roman"/>
      <w:b/>
      <w:bCs/>
      <w:sz w:val="32"/>
      <w:szCs w:val="32"/>
    </w:rPr>
  </w:style>
  <w:style w:type="paragraph" w:styleId="9">
    <w:name w:val="heading 4"/>
    <w:basedOn w:val="1"/>
    <w:next w:val="1"/>
    <w:link w:val="10"/>
    <w:pPr>
      <w:keepNext/>
      <w:keepLines/>
      <w:spacing w:before="280" w:after="290" w:line="376" w:lineRule="auto"/>
      <w:outlineLvl w:val="3"/>
    </w:pPr>
    <w:rPr>
      <w:rFonts w:ascii="Calibri" w:hAnsi="Calibri" w:eastAsia="宋体" w:cs="黑体"/>
      <w:b/>
      <w:bCs/>
      <w:sz w:val="28"/>
      <w:szCs w:val="28"/>
    </w:rPr>
  </w:style>
  <w:style w:type="character" w:default="1" w:styleId="4">
    <w:name w:val="Default Paragraph Font"/>
  </w:style>
  <w:style w:type="character" w:customStyle="1" w:styleId="3">
    <w:name w:val="标题 1 Char"/>
    <w:basedOn w:val="4"/>
    <w:link w:val="2"/>
    <w:semiHidden/>
    <w:rPr>
      <w:rFonts w:ascii="Times New Roman" w:hAnsi="Times New Roman" w:eastAsia="宋体" w:cs="Times New Roman"/>
      <w:b/>
      <w:bCs/>
      <w:kern w:val="44"/>
      <w:sz w:val="44"/>
      <w:szCs w:val="44"/>
    </w:rPr>
  </w:style>
  <w:style w:type="character" w:customStyle="1" w:styleId="6">
    <w:name w:val="标题 2 Char"/>
    <w:basedOn w:val="4"/>
    <w:link w:val="5"/>
    <w:semiHidden/>
    <w:rPr>
      <w:rFonts w:ascii="Calibri" w:hAnsi="Calibri" w:eastAsia="宋体" w:cs="黑体"/>
      <w:b/>
      <w:bCs/>
      <w:sz w:val="32"/>
      <w:szCs w:val="32"/>
    </w:rPr>
  </w:style>
  <w:style w:type="character" w:customStyle="1" w:styleId="8">
    <w:name w:val="标题 3 Char"/>
    <w:basedOn w:val="4"/>
    <w:link w:val="7"/>
    <w:semiHidden/>
    <w:rPr>
      <w:rFonts w:ascii="Times New Roman" w:hAnsi="Times New Roman" w:eastAsia="宋体" w:cs="Times New Roman"/>
      <w:b/>
      <w:bCs/>
      <w:sz w:val="32"/>
      <w:szCs w:val="32"/>
    </w:rPr>
  </w:style>
  <w:style w:type="character" w:customStyle="1" w:styleId="10">
    <w:name w:val="标题 4 Char"/>
    <w:basedOn w:val="4"/>
    <w:link w:val="9"/>
    <w:semiHidden/>
    <w:rPr>
      <w:rFonts w:ascii="Calibri" w:hAnsi="Calibri" w:eastAsia="宋体" w:cs="黑体"/>
      <w:b/>
      <w:bCs/>
      <w:sz w:val="28"/>
      <w:szCs w:val="28"/>
    </w:rPr>
  </w:style>
  <w:style w:type="character" w:customStyle="1" w:styleId="11">
    <w:name w:val="批注框文本 Char"/>
    <w:basedOn w:val="4"/>
    <w:link w:val="12"/>
    <w:semiHidden/>
    <w:rPr>
      <w:rFonts w:ascii="Times New Roman" w:hAnsi="Times New Roman" w:eastAsia="宋体" w:cs="Times New Roman"/>
      <w:sz w:val="18"/>
      <w:szCs w:val="18"/>
    </w:rPr>
  </w:style>
  <w:style w:type="paragraph" w:customStyle="1" w:styleId="12">
    <w:name w:val="批注框文本1"/>
    <w:basedOn w:val="1"/>
    <w:link w:val="11"/>
    <w:rPr>
      <w:rFonts w:ascii="Times New Roman" w:hAnsi="Times New Roman" w:eastAsia="宋体" w:cs="Times New Roman"/>
      <w:sz w:val="18"/>
      <w:szCs w:val="18"/>
    </w:rPr>
  </w:style>
  <w:style w:type="paragraph" w:styleId="13">
    <w:name w:val="footer"/>
    <w:basedOn w:val="1"/>
    <w:link w:val="14"/>
    <w:pPr>
      <w:tabs>
        <w:tab w:val="center" w:pos="4153"/>
        <w:tab w:val="right" w:pos="8306"/>
      </w:tabs>
      <w:snapToGrid w:val="0"/>
      <w:jc w:val="left"/>
    </w:pPr>
    <w:rPr>
      <w:sz w:val="18"/>
      <w:szCs w:val="18"/>
    </w:rPr>
  </w:style>
  <w:style w:type="character" w:customStyle="1" w:styleId="14">
    <w:name w:val="页脚 Char"/>
    <w:basedOn w:val="4"/>
    <w:link w:val="13"/>
    <w:semiHidden/>
    <w:rPr>
      <w:sz w:val="18"/>
      <w:szCs w:val="18"/>
    </w:rPr>
  </w:style>
  <w:style w:type="paragraph" w:styleId="15">
    <w:name w:val="header"/>
    <w:basedOn w:val="1"/>
    <w:link w:val="16"/>
    <w:pPr>
      <w:pBdr>
        <w:bottom w:val="single" w:color="auto" w:sz="6" w:space="1"/>
      </w:pBdr>
      <w:tabs>
        <w:tab w:val="center" w:pos="4153"/>
        <w:tab w:val="right" w:pos="8306"/>
      </w:tabs>
      <w:snapToGrid w:val="0"/>
      <w:jc w:val="center"/>
    </w:pPr>
    <w:rPr>
      <w:sz w:val="18"/>
      <w:szCs w:val="18"/>
    </w:rPr>
  </w:style>
  <w:style w:type="character" w:customStyle="1" w:styleId="16">
    <w:name w:val="页眉 Char"/>
    <w:basedOn w:val="4"/>
    <w:link w:val="15"/>
    <w:semiHidden/>
    <w:rPr>
      <w:sz w:val="18"/>
      <w:szCs w:val="18"/>
    </w:rPr>
  </w:style>
  <w:style w:type="paragraph" w:styleId="17">
    <w:name w:val="Subtitle"/>
    <w:basedOn w:val="1"/>
    <w:next w:val="1"/>
    <w:link w:val="18"/>
    <w:pPr>
      <w:widowControl/>
      <w:spacing w:after="200" w:line="276" w:lineRule="auto"/>
      <w:jc w:val="left"/>
    </w:pPr>
    <w:rPr>
      <w:rFonts w:ascii="Calibri" w:hAnsi="Calibri" w:eastAsia="宋体" w:cs="黑体"/>
      <w:i/>
      <w:iCs/>
      <w:color w:val="F0A22E"/>
      <w:spacing w:val="15"/>
      <w:kern w:val="0"/>
      <w:sz w:val="24"/>
      <w:szCs w:val="24"/>
    </w:rPr>
  </w:style>
  <w:style w:type="character" w:customStyle="1" w:styleId="18">
    <w:name w:val="副标题 Char"/>
    <w:basedOn w:val="4"/>
    <w:link w:val="17"/>
    <w:semiHidden/>
    <w:rPr>
      <w:rFonts w:ascii="Calibri" w:hAnsi="Calibri" w:eastAsia="宋体" w:cs="黑体"/>
      <w:i/>
      <w:iCs/>
      <w:color w:val="F0A22E"/>
      <w:spacing w:val="15"/>
      <w:kern w:val="0"/>
      <w:sz w:val="24"/>
      <w:szCs w:val="24"/>
    </w:rPr>
  </w:style>
  <w:style w:type="paragraph" w:styleId="19">
    <w:name w:val="Title"/>
    <w:basedOn w:val="1"/>
    <w:next w:val="1"/>
    <w:link w:val="20"/>
    <w:pPr>
      <w:widowControl/>
      <w:pBdr>
        <w:bottom w:val="single" w:color="F0A22E" w:sz="8" w:space="4"/>
      </w:pBdr>
      <w:spacing w:after="300"/>
      <w:contextualSpacing/>
      <w:jc w:val="left"/>
    </w:pPr>
    <w:rPr>
      <w:rFonts w:ascii="Calibri" w:hAnsi="Calibri" w:eastAsia="宋体" w:cs="黑体"/>
      <w:color w:val="392B23"/>
      <w:spacing w:val="5"/>
      <w:kern w:val="28"/>
      <w:sz w:val="52"/>
      <w:szCs w:val="52"/>
    </w:rPr>
  </w:style>
  <w:style w:type="character" w:customStyle="1" w:styleId="20">
    <w:name w:val="标题 Char"/>
    <w:basedOn w:val="4"/>
    <w:link w:val="19"/>
    <w:semiHidden/>
    <w:rPr>
      <w:rFonts w:ascii="Calibri" w:hAnsi="Calibri" w:eastAsia="宋体" w:cs="黑体"/>
      <w:color w:val="392B23"/>
      <w:spacing w:val="5"/>
      <w:kern w:val="28"/>
      <w:sz w:val="52"/>
      <w:szCs w:val="52"/>
    </w:rPr>
  </w:style>
  <w:style w:type="paragraph" w:customStyle="1" w:styleId="21">
    <w:name w:val="无间隔1"/>
    <w:link w:val="22"/>
    <w:rPr>
      <w:sz w:val="22"/>
      <w:lang w:val="en-US" w:eastAsia="zh-CN" w:bidi="ar-SA"/>
    </w:rPr>
  </w:style>
  <w:style w:type="character" w:customStyle="1" w:styleId="22">
    <w:name w:val="无间隔 Char"/>
    <w:basedOn w:val="4"/>
    <w:link w:val="21"/>
    <w:semiHidden/>
    <w:rPr>
      <w:sz w:val="22"/>
      <w:lang w:val="en-US" w:eastAsia="zh-CN" w:bidi="ar-SA"/>
    </w:rPr>
  </w:style>
  <w:style w:type="character" w:customStyle="1" w:styleId="23">
    <w:name w:val="Style1"/>
    <w:basedOn w:val="4"/>
    <w:rPr>
      <w:rFonts w:ascii="Cambria" w:hAnsi="黑体" w:eastAsia="黑体" w:cs="黑体"/>
      <w:sz w:val="22"/>
      <w:szCs w:val="22"/>
      <w:lang w:eastAsia="zh-CN"/>
    </w:rPr>
  </w:style>
  <w:style w:type="character" w:customStyle="1" w:styleId="24">
    <w:name w:val="Style2"/>
    <w:basedOn w:val="4"/>
    <w:rPr>
      <w:rFonts w:ascii="Cambria" w:hAnsi="黑体" w:eastAsia="黑体" w:cs="黑体"/>
      <w:sz w:val="22"/>
      <w:szCs w:val="22"/>
      <w:lang w:eastAsia="zh-CN"/>
    </w:rPr>
  </w:style>
  <w:style w:type="character" w:customStyle="1" w:styleId="25">
    <w:name w:val="Style3"/>
    <w:basedOn w:val="4"/>
    <w:rPr>
      <w:rFonts w:ascii="Cambria" w:hAnsi="黑体" w:eastAsia="黑体" w:cs="黑体"/>
      <w:szCs w:val="22"/>
      <w:lang w:eastAsia="zh-CN"/>
    </w:rPr>
  </w:style>
  <w:style w:type="character" w:customStyle="1" w:styleId="26">
    <w:name w:val="Style4"/>
    <w:basedOn w:val="4"/>
    <w:rPr>
      <w:rFonts w:ascii="Cambria" w:hAnsi="黑体" w:eastAsia="黑体" w:cs="黑体"/>
      <w:szCs w:val="22"/>
      <w:lang w:eastAsia="zh-CN"/>
    </w:rPr>
  </w:style>
  <w:style w:type="character" w:customStyle="1" w:styleId="27">
    <w:name w:val="Style5"/>
    <w:basedOn w:val="4"/>
    <w:rPr>
      <w:rFonts w:ascii="Cambria" w:hAnsi="黑体" w:eastAsia="黑体" w:cs="黑体"/>
      <w:sz w:val="22"/>
      <w:szCs w:val="22"/>
      <w:lang w:eastAsia="zh-CN"/>
    </w:rPr>
  </w:style>
</w:styles>
</file>

<file path=word/_rels/document.xml.rels><?xml version="1.0" encoding="UTF-8" standalone="yes"?>
<Relationships xmlns="http://schemas.openxmlformats.org/package/2006/relationships"><Relationship Id="rId1" Type="http://schemas.openxmlformats.org/officeDocument/2006/relationships/fontTable" Target="fontTable.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customXml" Target="../customXml/item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13</Pages>
  <Words>652</Words>
  <Characters>3721</Characters>
  <Lines>31</Lines>
  <Paragraphs>8</Paragraphs>
  <ScaleCrop>false</ScaleCrop>
  <LinksUpToDate>false</LinksUpToDate>
  <CharactersWithSpaces>0</CharactersWithSpaces>
  <Application>WPS Office 专业版_9.1.0.4167</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2018-08-31T08:38:00Z</dcterms:created>
  <dc:creator>User</dc:creator>
  <dcterms:modified xsi:type="dcterms:W3CDTF">2019-03-18T15:44:12Z</dcterms:modified>
  <dc:subject>石家庄市xxx部门</dc:subject>
  <dc:title>123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2052-9.1.0.4167</vt:lpwstr>
  </property>
</Properties>
</file>