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无极县公安局</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无极县公安局</w:t>
      </w:r>
      <w:r>
        <w:rPr>
          <w:rFonts w:eastAsia="黑体"/>
          <w:sz w:val="32"/>
          <w:szCs w:val="32"/>
        </w:rPr>
        <w:t>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rPr>
          <w:rFonts w:eastAsia="仿宋_GB2312"/>
          <w:sz w:val="20"/>
          <w:szCs w:val="32"/>
        </w:rPr>
      </w:pPr>
      <w:r>
        <w:rPr>
          <w:rFonts w:hint="eastAsia" w:eastAsia="黑体"/>
          <w:sz w:val="32"/>
          <w:szCs w:val="32"/>
          <w:lang w:val="en-US" w:eastAsia="zh-CN"/>
        </w:rPr>
        <w:t xml:space="preserve">    第二部分   </w:t>
      </w:r>
      <w:r>
        <w:rPr>
          <w:rFonts w:hint="eastAsia" w:eastAsia="黑体"/>
          <w:sz w:val="32"/>
          <w:szCs w:val="32"/>
        </w:rPr>
        <w:t>无极县公安局</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无极县公安局</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一、部门职责</w:t>
      </w:r>
    </w:p>
    <w:p>
      <w:pPr>
        <w:spacing w:line="64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eastAsia="zh-CN"/>
        </w:rPr>
        <w:t>贯彻执行党和国家关于公安工作的方针、政策、法律、法规、组织部署全县公安工作并指导、监督、检查贯彻执行情况。</w:t>
      </w:r>
      <w:r>
        <w:rPr>
          <w:rFonts w:hint="eastAsia" w:ascii="仿宋_GB2312" w:hAnsi="仿宋_GB2312" w:eastAsia="仿宋_GB2312" w:cs="仿宋_GB2312"/>
          <w:sz w:val="32"/>
          <w:szCs w:val="32"/>
          <w:lang w:val="en-US" w:eastAsia="zh-CN"/>
        </w:rPr>
        <w:t xml:space="preserve">                           </w:t>
      </w:r>
      <w:bookmarkStart w:id="0" w:name="_GoBack"/>
      <w:bookmarkEnd w:id="0"/>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eastAsia="zh-CN"/>
        </w:rPr>
        <w:t>收集、掌握影响社会稳定和社会治安的有关信息，综合分析社会治安动态，为县委、县政府决策提供依据，并研究制定对策措施。</w:t>
      </w:r>
    </w:p>
    <w:p>
      <w:pPr>
        <w:numPr>
          <w:ilvl w:val="0"/>
          <w:numId w:val="1"/>
        </w:numPr>
        <w:spacing w:line="64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组织侦破维护国家安全和刑事、经济犯罪案件；打击、防范暴力恐怖活动和邪教活动。</w:t>
      </w:r>
    </w:p>
    <w:p>
      <w:pPr>
        <w:numPr>
          <w:ilvl w:val="0"/>
          <w:numId w:val="1"/>
        </w:numPr>
        <w:spacing w:line="64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组织指挥处置重大治安灾害事故、骚乱和群体性事件；组织实施重大活动的安全保卫工作；管理集会、游行、示威活动。</w:t>
      </w:r>
    </w:p>
    <w:p>
      <w:pPr>
        <w:numPr>
          <w:ilvl w:val="0"/>
          <w:numId w:val="1"/>
        </w:numPr>
        <w:spacing w:line="64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维护全县社会治安秩序，依法查处各类治安案件；依法管理特种行业、公共场所；管理枪支弹药、易燃易爆、剧毒、放射性等危险物品；管理常住人口、暂住人口、办理居民身份证、边境证；监督、指导内部单位治安保卫工作。</w:t>
      </w:r>
    </w:p>
    <w:p>
      <w:pPr>
        <w:numPr>
          <w:ilvl w:val="0"/>
          <w:numId w:val="1"/>
        </w:numPr>
        <w:spacing w:line="64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负责全县公安机关依法承担的执行刑罚的指导和监督工作；负责监所管理工作。</w:t>
      </w:r>
    </w:p>
    <w:p>
      <w:pPr>
        <w:numPr>
          <w:ilvl w:val="0"/>
          <w:numId w:val="1"/>
        </w:numPr>
        <w:spacing w:line="64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搞好公安法制建设；负责案件审批、行政诉讼和行政复议工作；组织实施执法监督工作。</w:t>
      </w:r>
    </w:p>
    <w:p>
      <w:pPr>
        <w:numPr>
          <w:ilvl w:val="0"/>
          <w:numId w:val="1"/>
        </w:numPr>
        <w:spacing w:line="64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组织实施全县消防监督、火灾预防和扑救等工作；维护交通秩序和交通安全。</w:t>
      </w:r>
    </w:p>
    <w:p>
      <w:pPr>
        <w:numPr>
          <w:ilvl w:val="0"/>
          <w:numId w:val="1"/>
        </w:numPr>
        <w:spacing w:line="64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组织指挥县武警中队执行公安任务。</w:t>
      </w:r>
    </w:p>
    <w:p>
      <w:pPr>
        <w:pStyle w:val="3"/>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二、部门决算单位构成</w:t>
      </w:r>
    </w:p>
    <w:tbl>
      <w:tblPr>
        <w:tblStyle w:val="11"/>
        <w:tblW w:w="867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98"/>
        <w:gridCol w:w="1562"/>
        <w:gridCol w:w="1605"/>
        <w:gridCol w:w="25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82" w:hRule="atLeast"/>
          <w:tblHeader/>
          <w:jc w:val="center"/>
        </w:trPr>
        <w:tc>
          <w:tcPr>
            <w:tcW w:w="2998" w:type="dxa"/>
            <w:vAlign w:val="center"/>
          </w:tcPr>
          <w:p>
            <w:pPr>
              <w:tabs>
                <w:tab w:val="left" w:pos="1035"/>
                <w:tab w:val="center" w:pos="2173"/>
              </w:tabs>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单位名称</w:t>
            </w:r>
          </w:p>
        </w:tc>
        <w:tc>
          <w:tcPr>
            <w:tcW w:w="1562"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单位性质</w:t>
            </w:r>
          </w:p>
        </w:tc>
        <w:tc>
          <w:tcPr>
            <w:tcW w:w="1605"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单位规格</w:t>
            </w:r>
          </w:p>
        </w:tc>
        <w:tc>
          <w:tcPr>
            <w:tcW w:w="2510"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85" w:hRule="atLeast"/>
          <w:jc w:val="center"/>
        </w:trPr>
        <w:tc>
          <w:tcPr>
            <w:tcW w:w="2998" w:type="dxa"/>
            <w:vAlign w:val="center"/>
          </w:tcPr>
          <w:p>
            <w:pPr>
              <w:spacing w:line="64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无极县公安局</w:t>
            </w:r>
          </w:p>
        </w:tc>
        <w:tc>
          <w:tcPr>
            <w:tcW w:w="1562" w:type="dxa"/>
            <w:vAlign w:val="center"/>
          </w:tcPr>
          <w:p>
            <w:pPr>
              <w:spacing w:line="64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行政</w:t>
            </w:r>
          </w:p>
        </w:tc>
        <w:tc>
          <w:tcPr>
            <w:tcW w:w="1605" w:type="dxa"/>
            <w:vAlign w:val="center"/>
          </w:tcPr>
          <w:p>
            <w:pPr>
              <w:spacing w:line="64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正科级</w:t>
            </w:r>
          </w:p>
        </w:tc>
        <w:tc>
          <w:tcPr>
            <w:tcW w:w="2510" w:type="dxa"/>
            <w:vAlign w:val="center"/>
          </w:tcPr>
          <w:p>
            <w:pPr>
              <w:spacing w:line="64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财政拨款</w:t>
            </w:r>
          </w:p>
        </w:tc>
      </w:tr>
    </w:tbl>
    <w:p>
      <w:pPr>
        <w:spacing w:line="560" w:lineRule="exact"/>
        <w:rPr>
          <w:rFonts w:ascii="仿宋_GB2312" w:hAnsi="Cambria" w:eastAsia="仿宋_GB2312" w:cs="ArialUnicodeMS"/>
          <w:kern w:val="0"/>
          <w:sz w:val="32"/>
          <w:szCs w:val="3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widowControl/>
        <w:spacing w:after="0" w:line="560" w:lineRule="exact"/>
        <w:ind w:firstLine="643" w:firstLineChars="200"/>
        <w:jc w:val="center"/>
        <w:rPr>
          <w:rFonts w:hint="eastAsia" w:ascii="仿宋_GB2312" w:hAnsi="宋体" w:eastAsia="仿宋_GB2312" w:cs="MS-UIGothic,Bold"/>
          <w:b/>
          <w:bCs/>
          <w:kern w:val="0"/>
          <w:sz w:val="32"/>
          <w:szCs w:val="32"/>
        </w:rPr>
      </w:pPr>
      <w:r>
        <w:rPr>
          <w:rFonts w:hint="eastAsia" w:ascii="仿宋_GB2312" w:hAnsi="宋体" w:eastAsia="仿宋_GB2312" w:cs="MS-UIGothic,Bold"/>
          <w:b/>
          <w:bCs/>
          <w:kern w:val="0"/>
          <w:sz w:val="32"/>
          <w:szCs w:val="32"/>
        </w:rPr>
        <w:t>（详见附表）</w:t>
      </w:r>
    </w:p>
    <w:p>
      <w:pPr>
        <w:pStyle w:val="29"/>
        <w:keepNext w:val="0"/>
        <w:keepLines w:val="0"/>
        <w:pageBreakBefore w:val="0"/>
        <w:widowControl/>
        <w:kinsoku/>
        <w:wordWrap/>
        <w:overflowPunct/>
        <w:topLinePunct w:val="0"/>
        <w:autoSpaceDE/>
        <w:autoSpaceDN/>
        <w:bidi w:val="0"/>
        <w:adjustRightInd/>
        <w:snapToGrid/>
        <w:spacing w:beforeAutospacing="0" w:after="0" w:afterAutospacing="0" w:line="720" w:lineRule="auto"/>
        <w:ind w:left="0" w:leftChars="0" w:right="0" w:rightChars="0" w:firstLine="640" w:firstLineChars="200"/>
        <w:jc w:val="left"/>
        <w:textAlignment w:val="auto"/>
        <w:outlineLvl w:val="9"/>
        <w:rPr>
          <w:rFonts w:hint="eastAsia" w:ascii="仿宋_GB2312" w:hAnsi="微软雅黑" w:eastAsia="仿宋_GB2312" w:cs="微软雅黑"/>
          <w:color w:val="000000"/>
          <w:sz w:val="32"/>
          <w:szCs w:val="32"/>
        </w:rPr>
      </w:pPr>
      <w:r>
        <w:rPr>
          <w:rFonts w:hint="eastAsia" w:ascii="仿宋_GB2312" w:hAnsi="微软雅黑" w:eastAsia="仿宋_GB2312" w:cs="微软雅黑"/>
          <w:color w:val="000000"/>
          <w:sz w:val="32"/>
          <w:szCs w:val="32"/>
        </w:rPr>
        <w:t>一、收入支出决算总表</w:t>
      </w:r>
    </w:p>
    <w:p>
      <w:pPr>
        <w:pStyle w:val="29"/>
        <w:keepNext w:val="0"/>
        <w:keepLines w:val="0"/>
        <w:pageBreakBefore w:val="0"/>
        <w:widowControl/>
        <w:kinsoku/>
        <w:wordWrap/>
        <w:overflowPunct/>
        <w:topLinePunct w:val="0"/>
        <w:autoSpaceDE/>
        <w:autoSpaceDN/>
        <w:bidi w:val="0"/>
        <w:adjustRightInd/>
        <w:snapToGrid/>
        <w:spacing w:beforeAutospacing="0" w:after="0" w:afterAutospacing="0" w:line="720" w:lineRule="auto"/>
        <w:ind w:left="0" w:leftChars="0" w:right="0" w:rightChars="0" w:firstLine="640" w:firstLineChars="200"/>
        <w:jc w:val="left"/>
        <w:textAlignment w:val="auto"/>
        <w:outlineLvl w:val="9"/>
        <w:rPr>
          <w:rFonts w:hint="eastAsia" w:ascii="仿宋_GB2312" w:hAnsi="微软雅黑" w:eastAsia="仿宋_GB2312" w:cs="微软雅黑"/>
          <w:color w:val="000000"/>
          <w:sz w:val="32"/>
          <w:szCs w:val="32"/>
        </w:rPr>
      </w:pPr>
      <w:r>
        <w:rPr>
          <w:rFonts w:hint="eastAsia" w:ascii="仿宋_GB2312" w:hAnsi="微软雅黑" w:eastAsia="仿宋_GB2312" w:cs="微软雅黑"/>
          <w:color w:val="000000"/>
          <w:sz w:val="32"/>
          <w:szCs w:val="32"/>
        </w:rPr>
        <w:t>二、收入决算表</w:t>
      </w:r>
    </w:p>
    <w:p>
      <w:pPr>
        <w:pStyle w:val="29"/>
        <w:keepNext w:val="0"/>
        <w:keepLines w:val="0"/>
        <w:pageBreakBefore w:val="0"/>
        <w:widowControl/>
        <w:kinsoku/>
        <w:wordWrap/>
        <w:overflowPunct/>
        <w:topLinePunct w:val="0"/>
        <w:autoSpaceDE/>
        <w:autoSpaceDN/>
        <w:bidi w:val="0"/>
        <w:adjustRightInd/>
        <w:snapToGrid/>
        <w:spacing w:beforeAutospacing="0" w:after="0" w:afterAutospacing="0" w:line="720" w:lineRule="auto"/>
        <w:ind w:left="0" w:leftChars="0" w:right="0" w:rightChars="0" w:firstLine="640" w:firstLineChars="200"/>
        <w:jc w:val="left"/>
        <w:textAlignment w:val="auto"/>
        <w:outlineLvl w:val="9"/>
        <w:rPr>
          <w:rFonts w:hint="eastAsia" w:ascii="仿宋_GB2312" w:hAnsi="微软雅黑" w:eastAsia="仿宋_GB2312" w:cs="微软雅黑"/>
          <w:color w:val="000000"/>
          <w:sz w:val="32"/>
          <w:szCs w:val="32"/>
        </w:rPr>
      </w:pPr>
      <w:r>
        <w:rPr>
          <w:rFonts w:hint="eastAsia" w:ascii="仿宋_GB2312" w:hAnsi="微软雅黑" w:eastAsia="仿宋_GB2312" w:cs="微软雅黑"/>
          <w:color w:val="000000"/>
          <w:sz w:val="32"/>
          <w:szCs w:val="32"/>
        </w:rPr>
        <w:t>三、支出决算表</w:t>
      </w:r>
    </w:p>
    <w:p>
      <w:pPr>
        <w:pStyle w:val="29"/>
        <w:keepNext w:val="0"/>
        <w:keepLines w:val="0"/>
        <w:pageBreakBefore w:val="0"/>
        <w:widowControl/>
        <w:kinsoku/>
        <w:wordWrap/>
        <w:overflowPunct/>
        <w:topLinePunct w:val="0"/>
        <w:autoSpaceDE/>
        <w:autoSpaceDN/>
        <w:bidi w:val="0"/>
        <w:adjustRightInd/>
        <w:snapToGrid/>
        <w:spacing w:beforeAutospacing="0" w:after="0" w:afterAutospacing="0" w:line="720" w:lineRule="auto"/>
        <w:ind w:left="0" w:leftChars="0" w:right="0" w:rightChars="0" w:firstLine="640" w:firstLineChars="200"/>
        <w:jc w:val="left"/>
        <w:textAlignment w:val="auto"/>
        <w:outlineLvl w:val="9"/>
        <w:rPr>
          <w:rFonts w:hint="eastAsia" w:ascii="仿宋_GB2312" w:hAnsi="微软雅黑" w:eastAsia="仿宋_GB2312" w:cs="微软雅黑"/>
          <w:color w:val="000000"/>
          <w:sz w:val="32"/>
          <w:szCs w:val="32"/>
        </w:rPr>
      </w:pPr>
      <w:r>
        <w:rPr>
          <w:rFonts w:hint="eastAsia" w:ascii="仿宋_GB2312" w:hAnsi="微软雅黑" w:eastAsia="仿宋_GB2312" w:cs="微软雅黑"/>
          <w:color w:val="000000"/>
          <w:sz w:val="32"/>
          <w:szCs w:val="32"/>
        </w:rPr>
        <w:t>四、财政拨款收入支出决算总表</w:t>
      </w:r>
    </w:p>
    <w:p>
      <w:pPr>
        <w:pStyle w:val="29"/>
        <w:keepNext w:val="0"/>
        <w:keepLines w:val="0"/>
        <w:pageBreakBefore w:val="0"/>
        <w:widowControl/>
        <w:kinsoku/>
        <w:wordWrap/>
        <w:overflowPunct/>
        <w:topLinePunct w:val="0"/>
        <w:autoSpaceDE/>
        <w:autoSpaceDN/>
        <w:bidi w:val="0"/>
        <w:adjustRightInd/>
        <w:snapToGrid/>
        <w:spacing w:beforeAutospacing="0" w:after="0" w:afterAutospacing="0" w:line="720" w:lineRule="auto"/>
        <w:ind w:left="0" w:leftChars="0" w:right="0" w:rightChars="0" w:firstLine="640" w:firstLineChars="200"/>
        <w:jc w:val="left"/>
        <w:textAlignment w:val="auto"/>
        <w:outlineLvl w:val="9"/>
        <w:rPr>
          <w:rFonts w:hint="eastAsia" w:ascii="仿宋_GB2312" w:hAnsi="微软雅黑" w:eastAsia="仿宋_GB2312" w:cs="微软雅黑"/>
          <w:color w:val="000000"/>
          <w:sz w:val="32"/>
          <w:szCs w:val="32"/>
        </w:rPr>
      </w:pPr>
      <w:r>
        <w:rPr>
          <w:rFonts w:hint="eastAsia" w:ascii="仿宋_GB2312" w:hAnsi="微软雅黑" w:eastAsia="仿宋_GB2312" w:cs="微软雅黑"/>
          <w:color w:val="000000"/>
          <w:sz w:val="32"/>
          <w:szCs w:val="32"/>
        </w:rPr>
        <w:t>五、一般公共预算财政拨款收入支出决算表</w:t>
      </w:r>
    </w:p>
    <w:p>
      <w:pPr>
        <w:pStyle w:val="29"/>
        <w:keepNext w:val="0"/>
        <w:keepLines w:val="0"/>
        <w:pageBreakBefore w:val="0"/>
        <w:widowControl/>
        <w:kinsoku/>
        <w:wordWrap/>
        <w:overflowPunct/>
        <w:topLinePunct w:val="0"/>
        <w:autoSpaceDE/>
        <w:autoSpaceDN/>
        <w:bidi w:val="0"/>
        <w:adjustRightInd/>
        <w:snapToGrid/>
        <w:spacing w:beforeAutospacing="0" w:after="0" w:afterAutospacing="0" w:line="720" w:lineRule="auto"/>
        <w:ind w:left="0" w:leftChars="0" w:right="0" w:rightChars="0" w:firstLine="640" w:firstLineChars="200"/>
        <w:jc w:val="left"/>
        <w:textAlignment w:val="auto"/>
        <w:outlineLvl w:val="9"/>
        <w:rPr>
          <w:rFonts w:hint="eastAsia" w:ascii="仿宋_GB2312" w:hAnsi="微软雅黑" w:eastAsia="仿宋_GB2312" w:cs="微软雅黑"/>
          <w:color w:val="000000"/>
          <w:sz w:val="32"/>
          <w:szCs w:val="32"/>
        </w:rPr>
      </w:pPr>
      <w:r>
        <w:rPr>
          <w:rFonts w:hint="eastAsia" w:ascii="仿宋_GB2312" w:hAnsi="微软雅黑" w:eastAsia="仿宋_GB2312" w:cs="微软雅黑"/>
          <w:color w:val="000000"/>
          <w:sz w:val="32"/>
          <w:szCs w:val="32"/>
        </w:rPr>
        <w:t>六、一般公共预算财政拨款基本支出决算经济分类表</w:t>
      </w:r>
    </w:p>
    <w:p>
      <w:pPr>
        <w:pStyle w:val="29"/>
        <w:keepNext w:val="0"/>
        <w:keepLines w:val="0"/>
        <w:pageBreakBefore w:val="0"/>
        <w:widowControl/>
        <w:kinsoku/>
        <w:wordWrap/>
        <w:overflowPunct/>
        <w:topLinePunct w:val="0"/>
        <w:autoSpaceDE/>
        <w:autoSpaceDN/>
        <w:bidi w:val="0"/>
        <w:adjustRightInd/>
        <w:snapToGrid/>
        <w:spacing w:beforeAutospacing="0" w:after="0" w:afterAutospacing="0" w:line="720" w:lineRule="auto"/>
        <w:ind w:left="0" w:leftChars="0" w:right="0" w:rightChars="0" w:firstLine="640" w:firstLineChars="200"/>
        <w:jc w:val="left"/>
        <w:textAlignment w:val="auto"/>
        <w:outlineLvl w:val="9"/>
        <w:rPr>
          <w:rFonts w:hint="eastAsia" w:ascii="仿宋_GB2312" w:hAnsi="微软雅黑" w:eastAsia="仿宋_GB2312" w:cs="微软雅黑"/>
          <w:color w:val="000000"/>
          <w:sz w:val="32"/>
          <w:szCs w:val="32"/>
        </w:rPr>
      </w:pPr>
      <w:r>
        <w:rPr>
          <w:rFonts w:hint="eastAsia" w:ascii="仿宋_GB2312" w:hAnsi="微软雅黑" w:eastAsia="仿宋_GB2312" w:cs="微软雅黑"/>
          <w:color w:val="000000"/>
          <w:sz w:val="32"/>
          <w:szCs w:val="32"/>
        </w:rPr>
        <w:t>七、政府性基金预算财政拨款收入支出决算表</w:t>
      </w:r>
    </w:p>
    <w:p>
      <w:pPr>
        <w:pStyle w:val="29"/>
        <w:keepNext w:val="0"/>
        <w:keepLines w:val="0"/>
        <w:pageBreakBefore w:val="0"/>
        <w:widowControl/>
        <w:kinsoku/>
        <w:wordWrap/>
        <w:overflowPunct/>
        <w:topLinePunct w:val="0"/>
        <w:autoSpaceDE/>
        <w:autoSpaceDN/>
        <w:bidi w:val="0"/>
        <w:adjustRightInd/>
        <w:snapToGrid/>
        <w:spacing w:beforeAutospacing="0" w:after="0" w:afterAutospacing="0" w:line="720" w:lineRule="auto"/>
        <w:ind w:left="0" w:leftChars="0" w:right="0" w:rightChars="0" w:firstLine="640" w:firstLineChars="200"/>
        <w:jc w:val="left"/>
        <w:textAlignment w:val="auto"/>
        <w:outlineLvl w:val="9"/>
        <w:rPr>
          <w:rFonts w:hint="eastAsia" w:ascii="仿宋_GB2312" w:hAnsi="微软雅黑" w:eastAsia="仿宋_GB2312" w:cs="微软雅黑"/>
          <w:color w:val="000000"/>
          <w:sz w:val="32"/>
          <w:szCs w:val="32"/>
        </w:rPr>
      </w:pPr>
      <w:r>
        <w:rPr>
          <w:rFonts w:hint="eastAsia" w:ascii="仿宋_GB2312" w:hAnsi="微软雅黑" w:eastAsia="仿宋_GB2312" w:cs="微软雅黑"/>
          <w:color w:val="000000"/>
          <w:sz w:val="32"/>
          <w:szCs w:val="32"/>
        </w:rPr>
        <w:t>八、国有资本经营预算财政拨款收入支出决算表</w:t>
      </w:r>
    </w:p>
    <w:p>
      <w:pPr>
        <w:pStyle w:val="29"/>
        <w:keepNext w:val="0"/>
        <w:keepLines w:val="0"/>
        <w:pageBreakBefore w:val="0"/>
        <w:widowControl/>
        <w:kinsoku/>
        <w:wordWrap/>
        <w:overflowPunct/>
        <w:topLinePunct w:val="0"/>
        <w:autoSpaceDE/>
        <w:autoSpaceDN/>
        <w:bidi w:val="0"/>
        <w:adjustRightInd/>
        <w:snapToGrid/>
        <w:spacing w:beforeAutospacing="0" w:after="0" w:afterAutospacing="0" w:line="720" w:lineRule="auto"/>
        <w:ind w:left="0" w:leftChars="0" w:right="0" w:rightChars="0" w:firstLine="640" w:firstLineChars="200"/>
        <w:jc w:val="left"/>
        <w:textAlignment w:val="auto"/>
        <w:outlineLvl w:val="9"/>
        <w:rPr>
          <w:rFonts w:hint="eastAsia" w:ascii="仿宋_GB2312" w:hAnsi="微软雅黑" w:eastAsia="仿宋_GB2312" w:cs="微软雅黑"/>
          <w:color w:val="000000"/>
          <w:sz w:val="32"/>
          <w:szCs w:val="32"/>
        </w:rPr>
      </w:pPr>
      <w:r>
        <w:rPr>
          <w:rFonts w:hint="eastAsia" w:ascii="仿宋_GB2312" w:hAnsi="微软雅黑" w:eastAsia="仿宋_GB2312" w:cs="微软雅黑"/>
          <w:color w:val="000000"/>
          <w:sz w:val="32"/>
          <w:szCs w:val="32"/>
        </w:rPr>
        <w:t>九、“三公”经费等相关信息统计表</w:t>
      </w:r>
    </w:p>
    <w:p>
      <w:pPr>
        <w:pStyle w:val="29"/>
        <w:keepNext w:val="0"/>
        <w:keepLines w:val="0"/>
        <w:pageBreakBefore w:val="0"/>
        <w:widowControl/>
        <w:kinsoku/>
        <w:wordWrap/>
        <w:overflowPunct/>
        <w:topLinePunct w:val="0"/>
        <w:autoSpaceDE/>
        <w:autoSpaceDN/>
        <w:bidi w:val="0"/>
        <w:adjustRightInd/>
        <w:snapToGrid/>
        <w:spacing w:beforeAutospacing="0" w:after="0" w:afterAutospacing="0" w:line="720" w:lineRule="auto"/>
        <w:ind w:left="0" w:leftChars="0" w:right="0" w:rightChars="0" w:firstLine="640" w:firstLineChars="200"/>
        <w:jc w:val="left"/>
        <w:textAlignment w:val="auto"/>
        <w:outlineLvl w:val="9"/>
        <w:rPr>
          <w:rFonts w:hint="eastAsia" w:ascii="仿宋_GB2312" w:hAnsi="微软雅黑" w:eastAsia="仿宋_GB2312" w:cs="微软雅黑"/>
          <w:color w:val="000000"/>
          <w:sz w:val="32"/>
          <w:szCs w:val="32"/>
        </w:rPr>
      </w:pPr>
      <w:r>
        <w:rPr>
          <w:rFonts w:hint="eastAsia" w:ascii="仿宋_GB2312" w:hAnsi="微软雅黑" w:eastAsia="仿宋_GB2312" w:cs="微软雅黑"/>
          <w:color w:val="000000"/>
          <w:sz w:val="32"/>
          <w:szCs w:val="32"/>
        </w:rPr>
        <w:t>十、政府采购情况表</w:t>
      </w:r>
    </w:p>
    <w:p>
      <w:pPr>
        <w:keepNext w:val="0"/>
        <w:keepLines w:val="0"/>
        <w:pageBreakBefore w:val="0"/>
        <w:kinsoku/>
        <w:wordWrap/>
        <w:overflowPunct/>
        <w:topLinePunct w:val="0"/>
        <w:autoSpaceDE w:val="0"/>
        <w:autoSpaceDN w:val="0"/>
        <w:bidi w:val="0"/>
        <w:adjustRightInd w:val="0"/>
        <w:snapToGrid/>
        <w:spacing w:beforeAutospacing="0" w:after="0" w:afterAutospacing="0" w:line="560" w:lineRule="exact"/>
        <w:ind w:left="0" w:leftChars="0" w:right="0" w:rightChars="0" w:firstLine="883" w:firstLineChars="200"/>
        <w:jc w:val="left"/>
        <w:textAlignment w:val="auto"/>
        <w:rPr>
          <w:rFonts w:ascii="宋体" w:hAnsi="宋体" w:eastAsia="宋体" w:cs="黑体"/>
          <w:b/>
          <w:color w:val="FF0000"/>
          <w:kern w:val="0"/>
          <w:sz w:val="44"/>
          <w:szCs w:val="44"/>
        </w:rPr>
      </w:pPr>
    </w:p>
    <w:p>
      <w:pPr>
        <w:pStyle w:val="2"/>
        <w:spacing w:line="560" w:lineRule="exact"/>
        <w:jc w:val="center"/>
        <w:rPr>
          <w:rFonts w:ascii="宋体" w:hAnsi="宋体" w:eastAsia="宋体" w:cs="ArialUnicodeMS"/>
          <w:color w:val="000000"/>
          <w:kern w:val="0"/>
        </w:rPr>
      </w:pPr>
      <w:r>
        <w:rPr>
          <w:rFonts w:hint="eastAsia" w:ascii="宋体" w:hAnsi="宋体" w:eastAsia="宋体" w:cs="ArialUnicodeMS"/>
          <w:color w:val="000000"/>
          <w:kern w:val="0"/>
        </w:rPr>
        <w:t>第三部分部门决算情况说明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cs="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636.38万元，本年收入5221.93万元；本年支出4940.12万元、年末结转和结余918.19万元。与2016年度决算相比，本年收入减少121.15万元，降低0.023%，主要是转移支付资金减少；本年支出增加233.42万元，增长0.047%，主要是差旅费增加。（北京接访）</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本部门2017年度本年收入合计5221.93万元，其中：财政拨款收入5221.93万元，占100%；事业收入0万元，占0%；经营收入0万元，占0%；其他收入0万元。如图所示：</w:t>
      </w:r>
    </w:p>
    <w:p>
      <w:pPr>
        <w:adjustRightInd w:val="0"/>
        <w:snapToGrid w:val="0"/>
        <w:spacing w:line="56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lang w:val="en-US" w:eastAsia="zh-CN"/>
        </w:rPr>
        <w:t xml:space="preserve">          </w:t>
      </w:r>
      <w:r>
        <w:rPr>
          <w:rFonts w:hint="eastAsia" w:ascii="仿宋_GB2312" w:eastAsia="仿宋_GB2312" w:cs="DengXian-Regular"/>
          <w:sz w:val="32"/>
          <w:szCs w:val="32"/>
          <w:lang w:eastAsia="zh-CN"/>
        </w:rPr>
        <w:t>图</w:t>
      </w:r>
      <w:r>
        <w:rPr>
          <w:rFonts w:hint="eastAsia" w:ascii="仿宋_GB2312" w:eastAsia="仿宋_GB2312" w:cs="DengXian-Regular"/>
          <w:sz w:val="32"/>
          <w:szCs w:val="32"/>
          <w:lang w:val="en-US" w:eastAsia="zh-CN"/>
        </w:rPr>
        <w:t>1：收入决算结构饼状图</w:t>
      </w:r>
    </w:p>
    <w:p>
      <w:pPr>
        <w:adjustRightInd w:val="0"/>
        <w:snapToGrid w:val="0"/>
        <w:spacing w:after="0" w:line="240" w:lineRule="auto"/>
        <w:ind w:firstLine="0" w:firstLineChars="0"/>
        <w:rPr>
          <w:rFonts w:hint="eastAsia"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_x0000_i1025" o:spt="75" type="#_x0000_t75" style="height:201.2pt;width:442.1pt;" fillcolor="#FFFFFF" filled="f" o:preferrelative="t" stroked="f" coordsize="21600,21600">
            <v:path/>
            <v:fill on="f" color2="#FFFFFF" focussize="0,0"/>
            <v:stroke on="f"/>
            <v:imagedata r:id="rId4" gain="65536f" blacklevel="0f" gamma="0" o:title=""/>
            <o:lock v:ext="edit" position="f" selection="f" grouping="f" rotation="f" cropping="f" text="f"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本部门2017年度本年支出合计4940.12万元，其中：基本支出4268.07万元，占86.3%；项目支出672.05万元，占13.6%；经营支出0万元，占0%。如图所示：</w:t>
      </w:r>
    </w:p>
    <w:p>
      <w:pPr>
        <w:adjustRightInd w:val="0"/>
        <w:snapToGrid w:val="0"/>
        <w:spacing w:line="56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lang w:val="en-US" w:eastAsia="zh-CN"/>
        </w:rPr>
        <w:t xml:space="preserve">           </w:t>
      </w:r>
      <w:r>
        <w:rPr>
          <w:rFonts w:hint="eastAsia" w:ascii="仿宋_GB2312" w:eastAsia="仿宋_GB2312" w:cs="DengXian-Regular"/>
          <w:sz w:val="32"/>
          <w:szCs w:val="32"/>
          <w:lang w:eastAsia="zh-CN"/>
        </w:rPr>
        <w:t>图</w:t>
      </w:r>
      <w:r>
        <w:rPr>
          <w:rFonts w:hint="eastAsia" w:ascii="仿宋_GB2312" w:eastAsia="仿宋_GB2312" w:cs="DengXian-Regular"/>
          <w:sz w:val="32"/>
          <w:szCs w:val="32"/>
          <w:lang w:val="en-US" w:eastAsia="zh-CN"/>
        </w:rPr>
        <w:t>2：支出决算结构饼状图</w:t>
      </w:r>
    </w:p>
    <w:p>
      <w:pPr>
        <w:adjustRightInd w:val="0"/>
        <w:snapToGrid w:val="0"/>
        <w:spacing w:after="0" w:line="240" w:lineRule="auto"/>
        <w:ind w:firstLine="0" w:firstLineChars="0"/>
        <w:rPr>
          <w:rFonts w:hint="eastAsia"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_x0000_i1026" o:spt="75" type="#_x0000_t75" style="height:201.2pt;width:442.1pt;" fillcolor="#FFFFFF" filled="f" o:preferrelative="t" stroked="f" coordsize="21600,21600">
            <v:path/>
            <v:fill on="f" color2="#FFFFFF" focussize="0,0"/>
            <v:stroke on="f"/>
            <v:imagedata r:id="rId5" gain="65536f" blacklevel="0f" gamma="0" o:title=""/>
            <o:lock v:ext="edit" position="f" selection="f" grouping="f" rotation="f" cropping="f" text="f"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cs="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636.38万元、本年收入5221.93万元；本年支出4940.12万元、年末结转和结余918.19万元。与2016年度决算相比，一般公共预算财政拨款本年收入减少121.15万元，降低0.023%，主要是转移支付资金减少；本年支出减少233.42万元，降低0.047%，主要是公用经费减少。</w:t>
      </w:r>
    </w:p>
    <w:p>
      <w:pPr>
        <w:adjustRightInd w:val="0"/>
        <w:snapToGrid w:val="0"/>
        <w:spacing w:after="0" w:line="560" w:lineRule="exact"/>
        <w:ind w:firstLine="640" w:firstLineChars="200"/>
        <w:rPr>
          <w:rFonts w:ascii="仿宋_GB2312" w:eastAsia="仿宋_GB2312" w:cs="DengXian-Regular"/>
          <w:sz w:val="32"/>
          <w:szCs w:val="32"/>
        </w:rPr>
      </w:pP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本部门2017年度一般公共预算财政拨款本年收入较2017年初预算增加794.1万元，增长15%，主要是办案差旅费、人员经费增加；本年支出增加512.29万元，增长10%，主要是办案差旅费、人员经费增加。</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本部门2017年度“三公”经费支出共计0万元，较年初预算主要是未发生三公经费；较2016年度决算主要是未发生三公经费。具体情况如下：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本部门2017年度参加其他单位组织的因公出国（境）团组0个、共0人/无本单位组织的出国（境）团组。因公出国（境）费支出较年初预算</w:t>
      </w:r>
      <w:r>
        <w:rPr>
          <w:rFonts w:hint="eastAsia" w:ascii="仿宋_GB2312" w:eastAsia="仿宋_GB2312" w:cs="DengXian-Regular"/>
          <w:sz w:val="32"/>
          <w:szCs w:val="32"/>
          <w:lang w:eastAsia="zh-CN"/>
        </w:rPr>
        <w:t>无变化</w:t>
      </w:r>
      <w:r>
        <w:rPr>
          <w:rFonts w:hint="eastAsia" w:ascii="仿宋_GB2312" w:eastAsia="仿宋_GB2312" w:cs="DengXian-Regular"/>
          <w:sz w:val="32"/>
          <w:szCs w:val="32"/>
        </w:rPr>
        <w:t>，主要是未发生因公出国费用；较2016年度决算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，主要是未发生因公出国费用。</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本部门2017年度公务用车购置及运行维护费较年初预算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,主要是无公务用车；较2016年度决算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,主要是无公务用车。</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本部门2017年度公务用车购置量0辆，发生“公务用车购置”经费支出0万元。公务用车购置费支出较年</w:t>
      </w:r>
      <w:r>
        <w:rPr>
          <w:rFonts w:hint="eastAsia" w:ascii="仿宋_GB2312" w:eastAsia="仿宋_GB2312" w:cs="DengXian-Regular"/>
          <w:sz w:val="32"/>
          <w:szCs w:val="32"/>
          <w:lang w:eastAsia="zh-CN"/>
        </w:rPr>
        <w:t>初预算无增减变化</w:t>
      </w:r>
      <w:r>
        <w:rPr>
          <w:rFonts w:hint="eastAsia" w:ascii="仿宋_GB2312" w:eastAsia="仿宋_GB2312" w:cs="DengXian-Regular"/>
          <w:sz w:val="32"/>
          <w:szCs w:val="32"/>
        </w:rPr>
        <w:t>，主要是无购置公务用车；较2016年度决算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，主要是无购置公务用车。</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本部门2017年度单位公务用车保有量0辆。公车运行维护费支出较年初预算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，主要是无公务用车；较2016年度决算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，主要是无公务用车。</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本部门2017年度公务接待共0批次、0人次。公务接待费支出较年初预算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,主要是无公务接待费用；较2016年度决算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,主要是无公务接待。</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cs="黑体"/>
          <w:kern w:val="0"/>
        </w:rPr>
        <w:t>管理</w:t>
      </w:r>
      <w:r>
        <w:rPr>
          <w:rFonts w:hint="eastAsia" w:ascii="黑体" w:eastAsia="黑体" w:cs="Times New Roman"/>
        </w:rPr>
        <w:t>工作开展情况说明</w:t>
      </w:r>
    </w:p>
    <w:p>
      <w:pPr>
        <w:pStyle w:val="3"/>
        <w:spacing w:before="0" w:after="0" w:line="240" w:lineRule="auto"/>
        <w:ind w:firstLine="640" w:firstLineChars="200"/>
        <w:rPr>
          <w:rFonts w:hint="eastAsia" w:ascii="仿宋_GB2312" w:eastAsia="仿宋_GB2312" w:cs="DengXian-Regular"/>
          <w:b w:val="0"/>
          <w:bCs w:val="0"/>
          <w:color w:val="FF0000"/>
          <w:sz w:val="32"/>
          <w:szCs w:val="32"/>
          <w:highlight w:val="none"/>
          <w:shd w:val="clear" w:color="auto" w:fill="auto"/>
          <w:lang w:val="en-US" w:eastAsia="zh-CN"/>
        </w:rPr>
      </w:pPr>
      <w:r>
        <w:rPr>
          <w:rFonts w:hint="eastAsia" w:ascii="仿宋_GB2312" w:eastAsia="仿宋_GB2312" w:cs="DengXian-Regular"/>
          <w:b w:val="0"/>
          <w:bCs w:val="0"/>
          <w:sz w:val="32"/>
          <w:szCs w:val="32"/>
          <w:highlight w:val="none"/>
          <w:shd w:val="clear" w:color="auto" w:fill="auto"/>
          <w:lang w:val="en-US" w:eastAsia="zh-CN"/>
        </w:rPr>
        <w:t>(</w:t>
      </w:r>
      <w:r>
        <w:rPr>
          <w:rFonts w:hint="eastAsia" w:ascii="仿宋_GB2312" w:eastAsia="仿宋_GB2312" w:cs="DengXian-Regular"/>
          <w:b w:val="0"/>
          <w:bCs w:val="0"/>
          <w:sz w:val="32"/>
          <w:szCs w:val="32"/>
          <w:highlight w:val="none"/>
          <w:shd w:val="clear" w:color="auto" w:fill="auto"/>
        </w:rPr>
        <w:t>一）绩效管理工作开展情况</w:t>
      </w:r>
      <w:r>
        <w:rPr>
          <w:rFonts w:hint="eastAsia" w:ascii="仿宋_GB2312" w:eastAsia="仿宋_GB2312" w:cs="DengXian-Regular"/>
          <w:b w:val="0"/>
          <w:bCs w:val="0"/>
          <w:sz w:val="32"/>
          <w:szCs w:val="32"/>
          <w:highlight w:val="none"/>
          <w:shd w:val="clear" w:color="auto" w:fill="auto"/>
          <w:lang w:val="en-US" w:eastAsia="zh-CN"/>
        </w:rPr>
        <w:t>。</w:t>
      </w:r>
      <w:r>
        <w:rPr>
          <w:rFonts w:hint="eastAsia" w:ascii="仿宋_GB2312" w:eastAsia="仿宋_GB2312" w:cs="DengXian-Regular"/>
          <w:b w:val="0"/>
          <w:bCs w:val="0"/>
          <w:sz w:val="32"/>
          <w:szCs w:val="32"/>
          <w:highlight w:val="none"/>
          <w:shd w:val="clear" w:color="auto" w:fill="auto"/>
        </w:rPr>
        <w:t>根据绩效预算管理改革督察要求，本单位认真开展了预算绩效管理改革开展情况自查，对部门全面规范绩效预算编制、严格预算执行管理、推进绩效评价工作、推进预决算信息公开等方面进行了自评，考核结果</w:t>
      </w:r>
      <w:r>
        <w:rPr>
          <w:rFonts w:hint="eastAsia" w:ascii="仿宋_GB2312" w:eastAsia="仿宋_GB2312" w:cs="DengXian-Regular"/>
          <w:b w:val="0"/>
          <w:bCs w:val="0"/>
          <w:sz w:val="32"/>
          <w:szCs w:val="32"/>
          <w:highlight w:val="none"/>
          <w:shd w:val="clear" w:color="auto" w:fill="auto"/>
          <w:lang w:eastAsia="zh-CN"/>
        </w:rPr>
        <w:t>为良好</w:t>
      </w:r>
      <w:r>
        <w:rPr>
          <w:rFonts w:hint="eastAsia" w:ascii="仿宋_GB2312" w:eastAsia="仿宋_GB2312" w:cs="DengXian-Regular"/>
          <w:b w:val="0"/>
          <w:bCs w:val="0"/>
          <w:sz w:val="32"/>
          <w:szCs w:val="32"/>
          <w:highlight w:val="none"/>
          <w:shd w:val="clear" w:color="auto" w:fill="auto"/>
          <w:lang w:val="en-US" w:eastAsia="zh-CN"/>
        </w:rPr>
        <w:t>.</w:t>
      </w:r>
    </w:p>
    <w:p>
      <w:pPr>
        <w:adjustRightInd w:val="0"/>
        <w:snapToGrid w:val="0"/>
        <w:spacing w:after="0" w:line="500" w:lineRule="exact"/>
        <w:ind w:firstLine="640" w:firstLineChars="200"/>
        <w:rPr>
          <w:rFonts w:ascii="仿宋_GB2312" w:eastAsia="仿宋_GB2312" w:cs="DengXian-Regular"/>
          <w:sz w:val="32"/>
          <w:szCs w:val="32"/>
          <w:highlight w:val="none"/>
          <w:shd w:val="clear" w:color="auto" w:fill="auto"/>
        </w:rPr>
      </w:pPr>
      <w:r>
        <w:rPr>
          <w:rFonts w:hint="eastAsia" w:ascii="仿宋_GB2312" w:eastAsia="仿宋_GB2312" w:cs="DengXian-Regular"/>
          <w:sz w:val="32"/>
          <w:szCs w:val="32"/>
          <w:highlight w:val="none"/>
          <w:shd w:val="clear" w:color="auto" w:fill="auto"/>
        </w:rPr>
        <w:t>（二）预算项目绩效评价开展情况</w:t>
      </w:r>
      <w:r>
        <w:rPr>
          <w:rFonts w:hint="eastAsia" w:ascii="仿宋_GB2312" w:eastAsia="仿宋_GB2312" w:cs="DengXian-Regular"/>
          <w:sz w:val="32"/>
          <w:szCs w:val="32"/>
          <w:highlight w:val="none"/>
          <w:shd w:val="clear" w:color="auto" w:fill="auto"/>
          <w:lang w:val="en-US" w:eastAsia="zh-CN"/>
        </w:rPr>
        <w:t>.</w:t>
      </w:r>
      <w:r>
        <w:rPr>
          <w:rFonts w:hint="eastAsia" w:ascii="仿宋_GB2312" w:eastAsia="仿宋_GB2312" w:cs="DengXian-Regular"/>
          <w:sz w:val="32"/>
          <w:szCs w:val="32"/>
          <w:highlight w:val="none"/>
          <w:shd w:val="clear" w:color="auto" w:fill="auto"/>
        </w:rPr>
        <w:t>根据预算绩效管理要求，本单位组织对2017年度一般公共预算项目支出全面开展绩效自评，涉及</w:t>
      </w:r>
      <w:r>
        <w:rPr>
          <w:rFonts w:hint="eastAsia" w:ascii="仿宋_GB2312" w:eastAsia="仿宋_GB2312" w:cs="DengXian-Regular"/>
          <w:sz w:val="32"/>
          <w:szCs w:val="32"/>
          <w:highlight w:val="none"/>
          <w:shd w:val="clear" w:color="auto" w:fill="auto"/>
          <w:lang w:eastAsia="zh-CN"/>
        </w:rPr>
        <w:t>刑事侦查、治安管理、出入境管理、信息网络、技术侦查、扫黑除恶等</w:t>
      </w:r>
      <w:r>
        <w:rPr>
          <w:rFonts w:hint="eastAsia" w:ascii="仿宋_GB2312" w:eastAsia="仿宋_GB2312" w:cs="DengXian-Regular"/>
          <w:sz w:val="32"/>
          <w:szCs w:val="32"/>
          <w:highlight w:val="none"/>
          <w:shd w:val="clear" w:color="auto" w:fill="auto"/>
          <w:lang w:val="en-US" w:eastAsia="zh-CN"/>
        </w:rPr>
        <w:t>6</w:t>
      </w:r>
      <w:r>
        <w:rPr>
          <w:rFonts w:hint="eastAsia" w:ascii="仿宋_GB2312" w:eastAsia="仿宋_GB2312" w:cs="DengXian-Regular"/>
          <w:sz w:val="32"/>
          <w:szCs w:val="32"/>
          <w:highlight w:val="none"/>
          <w:shd w:val="clear" w:color="auto" w:fill="auto"/>
        </w:rPr>
        <w:t>个项目，涉及资金</w:t>
      </w:r>
      <w:r>
        <w:rPr>
          <w:rFonts w:hint="eastAsia" w:ascii="仿宋_GB2312" w:eastAsia="仿宋_GB2312" w:cs="DengXian-Regular"/>
          <w:sz w:val="32"/>
          <w:szCs w:val="32"/>
          <w:highlight w:val="none"/>
          <w:shd w:val="clear" w:color="auto" w:fill="auto"/>
          <w:lang w:val="en-US" w:eastAsia="zh-CN"/>
        </w:rPr>
        <w:t>672.05</w:t>
      </w:r>
      <w:r>
        <w:rPr>
          <w:rFonts w:hint="eastAsia" w:ascii="仿宋_GB2312" w:eastAsia="仿宋_GB2312" w:cs="DengXian-Regular"/>
          <w:sz w:val="32"/>
          <w:szCs w:val="32"/>
          <w:highlight w:val="none"/>
          <w:shd w:val="clear" w:color="auto" w:fill="auto"/>
        </w:rPr>
        <w:t>万元。从评价情况看，评价结果为</w:t>
      </w:r>
      <w:r>
        <w:rPr>
          <w:rFonts w:hint="eastAsia" w:ascii="仿宋_GB2312" w:eastAsia="仿宋_GB2312" w:cs="DengXian-Regular"/>
          <w:sz w:val="32"/>
          <w:szCs w:val="32"/>
          <w:highlight w:val="none"/>
          <w:shd w:val="clear" w:color="auto" w:fill="auto"/>
          <w:lang w:val="en-US" w:eastAsia="zh-CN"/>
        </w:rPr>
        <w:t>6</w:t>
      </w:r>
      <w:r>
        <w:rPr>
          <w:rFonts w:hint="eastAsia" w:ascii="仿宋_GB2312" w:eastAsia="仿宋_GB2312" w:cs="DengXian-Regular"/>
          <w:sz w:val="32"/>
          <w:szCs w:val="32"/>
          <w:highlight w:val="none"/>
          <w:shd w:val="clear" w:color="auto" w:fill="auto"/>
        </w:rPr>
        <w:t>个良好的项目</w:t>
      </w:r>
      <w:r>
        <w:rPr>
          <w:rFonts w:hint="eastAsia" w:ascii="仿宋_GB2312" w:eastAsia="仿宋_GB2312" w:cs="DengXian-Regular"/>
          <w:sz w:val="32"/>
          <w:szCs w:val="32"/>
          <w:highlight w:val="none"/>
          <w:shd w:val="clear" w:color="auto" w:fill="auto"/>
          <w:lang w:val="en-US" w:eastAsia="zh-CN"/>
        </w:rPr>
        <w:t>.</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highlight w:val="none"/>
          <w:shd w:val="clear" w:color="auto" w:fill="auto"/>
        </w:rPr>
        <w:t>（三）预算项目绩效自评选例</w:t>
      </w:r>
      <w:r>
        <w:rPr>
          <w:rFonts w:hint="eastAsia" w:ascii="仿宋_GB2312" w:eastAsia="仿宋_GB2312" w:cs="DengXian-Regular"/>
          <w:sz w:val="32"/>
          <w:szCs w:val="32"/>
          <w:highlight w:val="none"/>
          <w:shd w:val="clear" w:color="auto" w:fill="auto"/>
          <w:lang w:eastAsia="zh-CN"/>
        </w:rPr>
        <w:t>。</w:t>
      </w:r>
      <w:r>
        <w:rPr>
          <w:rFonts w:hint="eastAsia" w:ascii="仿宋_GB2312" w:eastAsia="仿宋_GB2312" w:cs="DengXian-Regular"/>
          <w:sz w:val="32"/>
          <w:szCs w:val="32"/>
          <w:highlight w:val="none"/>
          <w:shd w:val="clear" w:color="auto" w:fill="auto"/>
        </w:rPr>
        <w:t>本单位</w:t>
      </w:r>
      <w:r>
        <w:rPr>
          <w:rFonts w:hint="eastAsia" w:ascii="仿宋_GB2312" w:eastAsia="仿宋_GB2312" w:cs="DengXian-Regular"/>
          <w:sz w:val="32"/>
          <w:szCs w:val="32"/>
          <w:highlight w:val="none"/>
          <w:shd w:val="clear" w:color="auto" w:fill="auto"/>
          <w:lang w:eastAsia="zh-CN"/>
        </w:rPr>
        <w:t>其他支出</w:t>
      </w:r>
      <w:r>
        <w:rPr>
          <w:rFonts w:hint="eastAsia" w:ascii="仿宋_GB2312" w:eastAsia="仿宋_GB2312" w:cs="DengXian-Regular"/>
          <w:sz w:val="32"/>
          <w:szCs w:val="32"/>
          <w:highlight w:val="none"/>
          <w:shd w:val="clear" w:color="auto" w:fill="auto"/>
        </w:rPr>
        <w:t>项目绩效自评：根据年初设定的绩效目标，</w:t>
      </w:r>
      <w:r>
        <w:rPr>
          <w:rFonts w:hint="eastAsia" w:ascii="仿宋_GB2312" w:eastAsia="仿宋_GB2312" w:cs="DengXian-Regular"/>
          <w:sz w:val="32"/>
          <w:szCs w:val="32"/>
          <w:highlight w:val="none"/>
          <w:shd w:val="clear" w:color="auto" w:fill="auto"/>
          <w:lang w:eastAsia="zh-CN"/>
        </w:rPr>
        <w:t>其他支出</w:t>
      </w:r>
      <w:r>
        <w:rPr>
          <w:rFonts w:hint="eastAsia" w:ascii="仿宋_GB2312" w:eastAsia="仿宋_GB2312" w:cs="DengXian-Regular"/>
          <w:sz w:val="32"/>
          <w:szCs w:val="32"/>
          <w:highlight w:val="none"/>
          <w:shd w:val="clear" w:color="auto" w:fill="auto"/>
        </w:rPr>
        <w:t>项目绩效自评结果为优秀。项目全年预算数为</w:t>
      </w:r>
      <w:r>
        <w:rPr>
          <w:rFonts w:hint="eastAsia" w:ascii="仿宋_GB2312" w:eastAsia="仿宋_GB2312" w:cs="DengXian-Regular"/>
          <w:sz w:val="32"/>
          <w:szCs w:val="32"/>
          <w:highlight w:val="none"/>
          <w:shd w:val="clear" w:color="auto" w:fill="auto"/>
          <w:lang w:val="en-US" w:eastAsia="zh-CN"/>
        </w:rPr>
        <w:t>672.05</w:t>
      </w:r>
      <w:r>
        <w:rPr>
          <w:rFonts w:hint="eastAsia" w:ascii="仿宋_GB2312" w:eastAsia="仿宋_GB2312" w:cs="DengXian-Regular"/>
          <w:sz w:val="32"/>
          <w:szCs w:val="32"/>
          <w:highlight w:val="none"/>
          <w:shd w:val="clear" w:color="auto" w:fill="auto"/>
        </w:rPr>
        <w:t>万元，执行数为</w:t>
      </w:r>
      <w:r>
        <w:rPr>
          <w:rFonts w:hint="eastAsia" w:ascii="仿宋_GB2312" w:eastAsia="仿宋_GB2312" w:cs="DengXian-Regular"/>
          <w:sz w:val="32"/>
          <w:szCs w:val="32"/>
          <w:highlight w:val="none"/>
          <w:shd w:val="clear" w:color="auto" w:fill="auto"/>
          <w:lang w:val="en-US" w:eastAsia="zh-CN"/>
        </w:rPr>
        <w:t>672.05万元。完成预算的100%。</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highlight w:val="none"/>
        </w:rPr>
      </w:pPr>
      <w:r>
        <w:rPr>
          <w:rFonts w:hint="eastAsia" w:ascii="仿宋_GB2312" w:eastAsia="仿宋_GB2312" w:cs="DengXian-Regular"/>
          <w:sz w:val="32"/>
          <w:szCs w:val="32"/>
        </w:rPr>
        <w:t>本部门2017年度机关运行经费支出1084.01万元，比2016年度减少483.72万元，降低30%。主要原因是公务用车经费无支出。</w:t>
      </w:r>
      <w:r>
        <w:rPr>
          <w:rFonts w:hint="eastAsia" w:ascii="仿宋_GB2312" w:eastAsia="仿宋_GB2312" w:cs="DengXian-Regular"/>
          <w:sz w:val="32"/>
          <w:szCs w:val="32"/>
          <w:highlight w:val="none"/>
        </w:rPr>
        <w:t>（其中办公费64.62万元、印刷费19.13万元、水费4.02万元、电费66.33、邮电费0.8万元、取暖费14.56万元、差旅费8.09万元、维修费106.77万元、租赁费258.86万元、专用材料费268万元、劳务费24.57万元工会费48.01万元、其它交通费5.84万元、其它商品和服务支出176.83万元、其它资本性支出17.6万元、其它交通费购置17.6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本部门2017年度政府采购支出总额0万元，其中：政府采购货物支出0万元、政府采购工程支出0万元、政府采购服务支出0万元。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截至2017年12月31日，本部门共有车辆98辆，其中，市级领导干部用车0辆、一般公务用车0辆、一般执法执勤用车62辆、特种专业技术用车36辆、其他用车0辆，其他用车主要是无其他用车；单位价值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万元以上大型设备0套。</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2017年度政府性基金预算财政拨款收入支出决算表为空、国有资本经营预算财政拨款收入支出决算表为空、三公经费及相关信息统计表为空、政府采购情况表为空。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ind w:firstLine="640"/>
        <w:rPr>
          <w:rFonts w:hint="eastAsia" w:ascii="仿宋_GB2312" w:hAnsi="仿宋_GB2312" w:eastAsia="仿宋_GB2312" w:cs="仿宋_GB2312"/>
          <w:sz w:val="32"/>
          <w:szCs w:val="32"/>
        </w:rPr>
      </w:pPr>
    </w:p>
    <w:p>
      <w:pPr>
        <w:pStyle w:val="2"/>
        <w:jc w:val="center"/>
        <w:rPr>
          <w:rFonts w:ascii="宋体" w:hAnsi="宋体" w:eastAsia="宋体" w:cs="SimSun,Bold"/>
        </w:rPr>
      </w:pPr>
      <w:r>
        <w:rPr>
          <w:rFonts w:hint="eastAsia" w:ascii="宋体" w:hAnsi="宋体" w:eastAsia="宋体" w:cs="SimSun,Bold"/>
        </w:rPr>
        <w:t>第四部分名词解释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A00002EF" w:usb1="4000004B" w:usb2="00000000" w:usb3="00000000" w:csb0="2000009F" w:csb1="00000000"/>
  </w:font>
  <w:font w:name="Calibri">
    <w:panose1 w:val="020F0502020204030204"/>
    <w:charset w:val="00"/>
    <w:family w:val="swiss"/>
    <w:pitch w:val="default"/>
    <w:sig w:usb0="A00002EF" w:usb1="4000207B" w:usb2="00000000" w:usb3="00000000" w:csb0="2000009F" w:csb1="00000000"/>
  </w:font>
  <w:font w:name="Tahoma">
    <w:panose1 w:val="020B0604030504040204"/>
    <w:charset w:val="00"/>
    <w:family w:val="auto"/>
    <w:pitch w:val="default"/>
    <w:sig w:usb0="61007A87" w:usb1="80000000" w:usb2="00000008" w:usb3="00000000" w:csb0="200101FF" w:csb1="20280000"/>
  </w:font>
  <w:font w:name="微软雅黑">
    <w:panose1 w:val="020B0503020204020204"/>
    <w:charset w:val="86"/>
    <w:family w:val="auto"/>
    <w:pitch w:val="default"/>
    <w:sig w:usb0="80000287" w:usb1="2A0F3C52" w:usb2="00000016" w:usb3="00000000" w:csb0="0004001F" w:csb1="00000000"/>
  </w:font>
  <w:font w:name="方正小标宋_GBK">
    <w:altName w:val="宋体"/>
    <w:panose1 w:val="00000000000000000000"/>
    <w:charset w:val="86"/>
    <w:family w:val="auto"/>
    <w:pitch w:val="default"/>
    <w:sig w:usb0="00000000" w:usb1="00000000" w:usb2="00000010" w:usb3="00000000" w:csb0="00040000" w:csb1="00000000"/>
  </w:font>
  <w:font w:name="仿宋_GB2312">
    <w:panose1 w:val="02010609030101010101"/>
    <w:charset w:val="86"/>
    <w:family w:val="auto"/>
    <w:pitch w:val="default"/>
    <w:sig w:usb0="00000001" w:usb1="080E0000" w:usb2="00000000" w:usb3="00000000" w:csb0="00040000" w:csb1="00000000"/>
  </w:font>
  <w:font w:name="ArialUnicodeMS">
    <w:altName w:val="Dotum"/>
    <w:panose1 w:val="00000000000000000000"/>
    <w:charset w:val="81"/>
    <w:family w:val="auto"/>
    <w:pitch w:val="default"/>
    <w:sig w:usb0="00000000" w:usb1="00000000" w:usb2="00000010" w:usb3="00000000" w:csb0="00080001" w:csb1="00000000"/>
  </w:font>
  <w:font w:name="MS-UIGothic,Bold">
    <w:altName w:val="Dotum"/>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_GB2312">
    <w:panose1 w:val="02010609030101010101"/>
    <w:charset w:val="86"/>
    <w:family w:val="auto"/>
    <w:pitch w:val="default"/>
    <w:sig w:usb0="00000001" w:usb1="080E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仿宋">
    <w:altName w:val="仿宋_GB2312"/>
    <w:panose1 w:val="02010609060101010101"/>
    <w:charset w:val="86"/>
    <w:family w:val="auto"/>
    <w:pitch w:val="default"/>
    <w:sig w:usb0="00000000" w:usb1="00000000" w:usb2="00000016" w:usb3="00000000" w:csb0="00040001" w:csb1="00000000"/>
  </w:font>
  <w:font w:name="楷体">
    <w:altName w:val="楷体_GB2312"/>
    <w:panose1 w:val="02010609060101010101"/>
    <w:charset w:val="86"/>
    <w:family w:val="auto"/>
    <w:pitch w:val="default"/>
    <w:sig w:usb0="00000000" w:usb1="00000000" w:usb2="00000016" w:usb3="00000000" w:csb0="00040001" w:csb1="00000000"/>
  </w:font>
  <w:font w:name="Malgun Gothic">
    <w:altName w:val="Gulim"/>
    <w:panose1 w:val="020B0503020000020004"/>
    <w:charset w:val="81"/>
    <w:family w:val="auto"/>
    <w:pitch w:val="default"/>
    <w:sig w:usb0="00000000" w:usb1="00000000" w:usb2="00000012" w:usb3="00000000" w:csb0="00080001" w:csb1="00000000"/>
  </w:font>
  <w:font w:name="Dotum">
    <w:panose1 w:val="020B0600000101010101"/>
    <w:charset w:val="81"/>
    <w:family w:val="auto"/>
    <w:pitch w:val="default"/>
    <w:sig w:usb0="B00002AF" w:usb1="69D77CFB" w:usb2="00000030" w:usb3="00000000" w:csb0="4008009F" w:csb1="DFD70000"/>
  </w:font>
  <w:font w:name="方正舒体">
    <w:altName w:val="宋体"/>
    <w:panose1 w:val="02010601030101010101"/>
    <w:charset w:val="86"/>
    <w:family w:val="auto"/>
    <w:pitch w:val="default"/>
    <w:sig w:usb0="00000000" w:usb1="00000000" w:usb2="00000000" w:usb3="00000000" w:csb0="00040000" w:csb1="00000000"/>
  </w:font>
  <w:font w:name="华文仿宋">
    <w:altName w:val="仿宋_GB2312"/>
    <w:panose1 w:val="02010600040101010101"/>
    <w:charset w:val="86"/>
    <w:family w:val="auto"/>
    <w:pitch w:val="default"/>
    <w:sig w:usb0="00000000" w:usb1="00000000" w:usb2="00000000" w:usb3="00000000" w:csb0="0004009F" w:csb1="DFD70000"/>
  </w:font>
  <w:font w:name="华文新魏">
    <w:altName w:val="宋体"/>
    <w:panose1 w:val="02010800040101010101"/>
    <w:charset w:val="86"/>
    <w:family w:val="auto"/>
    <w:pitch w:val="default"/>
    <w:sig w:usb0="00000000" w:usb1="00000000" w:usb2="00000000" w:usb3="00000000" w:csb0="00040000" w:csb1="00000000"/>
  </w:font>
  <w:font w:name="Gulim">
    <w:panose1 w:val="020B0600000101010101"/>
    <w:charset w:val="81"/>
    <w:family w:val="auto"/>
    <w:pitch w:val="default"/>
    <w:sig w:usb0="B00002AF" w:usb1="69D77CFB" w:usb2="00000030" w:usb3="00000000" w:csb0="4008009F" w:csb1="DFD70000"/>
  </w:font>
  <w:font w:name="Malgun Gothic">
    <w:altName w:val="Corbel"/>
    <w:panose1 w:val="020B0503020000020004"/>
    <w:charset w:val="00"/>
    <w:family w:val="auto"/>
    <w:pitch w:val="default"/>
    <w:sig w:usb0="00000000" w:usb1="00000000" w:usb2="00000012" w:usb3="00000000" w:csb0="00080001" w:csb1="00000000"/>
  </w:font>
  <w:font w:name="Corbel">
    <w:panose1 w:val="020B0503020204020204"/>
    <w:charset w:val="00"/>
    <w:family w:val="auto"/>
    <w:pitch w:val="default"/>
    <w:sig w:usb0="A00002EF" w:usb1="4000204B" w:usb2="00000000" w:usb3="00000000" w:csb0="2000009F" w:csb1="00000000"/>
  </w:font>
  <w:font w:name="Palatino Linotype">
    <w:panose1 w:val="02040502050505030304"/>
    <w:charset w:val="00"/>
    <w:family w:val="auto"/>
    <w:pitch w:val="default"/>
    <w:sig w:usb0="E0000387" w:usb1="40000013" w:usb2="00000000" w:usb3="00000000" w:csb0="2000019F" w:csb1="00000000"/>
  </w:font>
  <w:font w:name="Batang">
    <w:panose1 w:val="02030600000101010101"/>
    <w:charset w:val="81"/>
    <w:family w:val="auto"/>
    <w:pitch w:val="default"/>
    <w:sig w:usb0="B00002AF" w:usb1="69D77CFB" w:usb2="00000030" w:usb3="00000000" w:csb0="4008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0000005"/>
    <w:lvl w:ilvl="0" w:tentative="0">
      <w:start w:val="3"/>
      <w:numFmt w:val="chineseCounting"/>
      <w:suff w:val="nothing"/>
      <w:lvlText w:val="（%1）"/>
      <w:lvlJc w:val="left"/>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066E0D01"/>
    <w:rsid w:val="0EF66EFF"/>
    <w:rsid w:val="10F26FB8"/>
    <w:rsid w:val="1596347B"/>
    <w:rsid w:val="25861B8D"/>
    <w:rsid w:val="28175C31"/>
    <w:rsid w:val="2DD252F7"/>
    <w:rsid w:val="3A402063"/>
    <w:rsid w:val="3A673346"/>
    <w:rsid w:val="47933BEC"/>
    <w:rsid w:val="5F5D7256"/>
    <w:rsid w:val="613F29E9"/>
    <w:rsid w:val="69491F55"/>
    <w:rsid w:val="6B6429AF"/>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13"/>
    <w:uiPriority w:val="0"/>
    <w:pPr>
      <w:keepNext/>
      <w:keepLines/>
      <w:spacing w:before="260" w:after="260" w:line="416" w:lineRule="auto"/>
      <w:outlineLvl w:val="1"/>
    </w:pPr>
    <w:rPr>
      <w:rFonts w:ascii="Calibri" w:hAnsi="Calibri" w:eastAsia="宋体" w:cs="黑体"/>
      <w:b/>
      <w:bCs/>
      <w:sz w:val="32"/>
      <w:szCs w:val="32"/>
    </w:rPr>
  </w:style>
  <w:style w:type="paragraph" w:styleId="4">
    <w:name w:val="heading 3"/>
    <w:basedOn w:val="1"/>
    <w:next w:val="1"/>
    <w:link w:val="14"/>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link w:val="15"/>
    <w:uiPriority w:val="0"/>
    <w:pPr>
      <w:keepNext/>
      <w:keepLines/>
      <w:spacing w:before="280" w:after="290" w:line="376" w:lineRule="auto"/>
      <w:outlineLvl w:val="3"/>
    </w:pPr>
    <w:rPr>
      <w:rFonts w:ascii="Calibri" w:hAnsi="Calibri" w:eastAsia="宋体" w:cs="黑体"/>
      <w:b/>
      <w:bCs/>
      <w:sz w:val="28"/>
      <w:szCs w:val="28"/>
    </w:rPr>
  </w:style>
  <w:style w:type="character" w:default="1" w:styleId="10">
    <w:name w:val="Default Paragraph Font"/>
    <w:uiPriority w:val="0"/>
  </w:style>
  <w:style w:type="table" w:default="1" w:styleId="11">
    <w:name w:val="Normal Table"/>
    <w:semiHidden/>
    <w:qFormat/>
    <w:uiPriority w:val="0"/>
    <w:tblPr>
      <w:tblLayout w:type="fixed"/>
      <w:tblCellMar>
        <w:top w:w="0" w:type="dxa"/>
        <w:left w:w="108" w:type="dxa"/>
        <w:bottom w:w="0" w:type="dxa"/>
        <w:right w:w="108" w:type="dxa"/>
      </w:tblCellMar>
    </w:tblPr>
  </w:style>
  <w:style w:type="paragraph" w:styleId="6">
    <w:name w:val="footer"/>
    <w:basedOn w:val="1"/>
    <w:link w:val="16"/>
    <w:qFormat/>
    <w:uiPriority w:val="0"/>
    <w:pPr>
      <w:tabs>
        <w:tab w:val="center" w:pos="4153"/>
        <w:tab w:val="right" w:pos="8306"/>
      </w:tabs>
      <w:snapToGrid w:val="0"/>
      <w:jc w:val="left"/>
    </w:pPr>
    <w:rPr>
      <w:sz w:val="18"/>
      <w:szCs w:val="18"/>
    </w:rPr>
  </w:style>
  <w:style w:type="paragraph" w:styleId="7">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18"/>
    <w:qFormat/>
    <w:uiPriority w:val="0"/>
    <w:pPr>
      <w:widowControl/>
      <w:spacing w:after="200" w:line="276" w:lineRule="auto"/>
      <w:jc w:val="left"/>
    </w:pPr>
    <w:rPr>
      <w:rFonts w:ascii="Calibri" w:hAnsi="Calibri" w:eastAsia="宋体" w:cs="黑体"/>
      <w:i/>
      <w:iCs/>
      <w:color w:val="F0A22E"/>
      <w:spacing w:val="15"/>
      <w:kern w:val="0"/>
      <w:sz w:val="24"/>
      <w:szCs w:val="24"/>
    </w:rPr>
  </w:style>
  <w:style w:type="paragraph" w:styleId="9">
    <w:name w:val="Title"/>
    <w:basedOn w:val="1"/>
    <w:next w:val="1"/>
    <w:link w:val="19"/>
    <w:qFormat/>
    <w:uiPriority w:val="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12">
    <w:name w:val="标题 1 Char"/>
    <w:basedOn w:val="10"/>
    <w:link w:val="2"/>
    <w:semiHidden/>
    <w:qFormat/>
    <w:uiPriority w:val="0"/>
    <w:rPr>
      <w:rFonts w:ascii="Times New Roman" w:hAnsi="Times New Roman" w:eastAsia="宋体" w:cs="Times New Roman"/>
      <w:b/>
      <w:bCs/>
      <w:kern w:val="44"/>
      <w:sz w:val="44"/>
      <w:szCs w:val="44"/>
    </w:rPr>
  </w:style>
  <w:style w:type="character" w:customStyle="1" w:styleId="13">
    <w:name w:val="标题 2 Char"/>
    <w:basedOn w:val="10"/>
    <w:link w:val="3"/>
    <w:semiHidden/>
    <w:qFormat/>
    <w:uiPriority w:val="0"/>
    <w:rPr>
      <w:rFonts w:ascii="Calibri" w:hAnsi="Calibri" w:eastAsia="宋体" w:cs="黑体"/>
      <w:b/>
      <w:bCs/>
      <w:sz w:val="32"/>
      <w:szCs w:val="32"/>
    </w:rPr>
  </w:style>
  <w:style w:type="character" w:customStyle="1" w:styleId="14">
    <w:name w:val="标题 3 Char"/>
    <w:basedOn w:val="10"/>
    <w:link w:val="4"/>
    <w:semiHidden/>
    <w:qFormat/>
    <w:uiPriority w:val="0"/>
    <w:rPr>
      <w:rFonts w:ascii="Times New Roman" w:hAnsi="Times New Roman" w:eastAsia="宋体" w:cs="Times New Roman"/>
      <w:b/>
      <w:bCs/>
      <w:sz w:val="32"/>
      <w:szCs w:val="32"/>
    </w:rPr>
  </w:style>
  <w:style w:type="character" w:customStyle="1" w:styleId="15">
    <w:name w:val="标题 4 Char"/>
    <w:basedOn w:val="10"/>
    <w:link w:val="5"/>
    <w:semiHidden/>
    <w:uiPriority w:val="0"/>
    <w:rPr>
      <w:rFonts w:ascii="Calibri" w:hAnsi="Calibri" w:eastAsia="宋体" w:cs="黑体"/>
      <w:b/>
      <w:bCs/>
      <w:sz w:val="28"/>
      <w:szCs w:val="28"/>
    </w:rPr>
  </w:style>
  <w:style w:type="character" w:customStyle="1" w:styleId="16">
    <w:name w:val="页脚 Char"/>
    <w:basedOn w:val="10"/>
    <w:link w:val="6"/>
    <w:semiHidden/>
    <w:uiPriority w:val="0"/>
    <w:rPr>
      <w:sz w:val="18"/>
      <w:szCs w:val="18"/>
    </w:rPr>
  </w:style>
  <w:style w:type="character" w:customStyle="1" w:styleId="17">
    <w:name w:val="页眉 Char"/>
    <w:basedOn w:val="10"/>
    <w:link w:val="7"/>
    <w:semiHidden/>
    <w:qFormat/>
    <w:uiPriority w:val="0"/>
    <w:rPr>
      <w:sz w:val="18"/>
      <w:szCs w:val="18"/>
    </w:rPr>
  </w:style>
  <w:style w:type="character" w:customStyle="1" w:styleId="18">
    <w:name w:val="副标题 Char"/>
    <w:basedOn w:val="10"/>
    <w:link w:val="8"/>
    <w:semiHidden/>
    <w:uiPriority w:val="0"/>
    <w:rPr>
      <w:rFonts w:ascii="Calibri" w:hAnsi="Calibri" w:eastAsia="宋体" w:cs="黑体"/>
      <w:i/>
      <w:iCs/>
      <w:color w:val="F0A22E"/>
      <w:spacing w:val="15"/>
      <w:kern w:val="0"/>
      <w:sz w:val="24"/>
      <w:szCs w:val="24"/>
    </w:rPr>
  </w:style>
  <w:style w:type="character" w:customStyle="1" w:styleId="19">
    <w:name w:val="标题 Char"/>
    <w:basedOn w:val="10"/>
    <w:link w:val="9"/>
    <w:semiHidden/>
    <w:qFormat/>
    <w:uiPriority w:val="0"/>
    <w:rPr>
      <w:rFonts w:ascii="Calibri" w:hAnsi="Calibri" w:eastAsia="宋体" w:cs="黑体"/>
      <w:color w:val="392B23"/>
      <w:spacing w:val="5"/>
      <w:kern w:val="28"/>
      <w:sz w:val="52"/>
      <w:szCs w:val="52"/>
    </w:rPr>
  </w:style>
  <w:style w:type="paragraph" w:customStyle="1" w:styleId="20">
    <w:name w:val="批注框文本 Char Char"/>
    <w:basedOn w:val="1"/>
    <w:link w:val="22"/>
    <w:uiPriority w:val="0"/>
    <w:rPr>
      <w:rFonts w:ascii="Times New Roman" w:hAnsi="Times New Roman" w:eastAsia="宋体" w:cs="Times New Roman"/>
      <w:sz w:val="18"/>
      <w:szCs w:val="18"/>
    </w:rPr>
  </w:style>
  <w:style w:type="paragraph" w:customStyle="1" w:styleId="21">
    <w:name w:val="无间隔1"/>
    <w:link w:val="23"/>
    <w:uiPriority w:val="0"/>
    <w:pPr>
      <w:spacing w:after="160" w:line="480" w:lineRule="auto"/>
    </w:pPr>
    <w:rPr>
      <w:rFonts w:ascii="Times New Roman" w:hAnsi="Times New Roman" w:eastAsia="宋体" w:cs="Times New Roman"/>
      <w:kern w:val="0"/>
      <w:sz w:val="22"/>
      <w:lang w:val="en-US" w:eastAsia="zh-CN" w:bidi="ar-SA"/>
    </w:rPr>
  </w:style>
  <w:style w:type="character" w:customStyle="1" w:styleId="22">
    <w:name w:val="批注框文本 Char Char Char"/>
    <w:basedOn w:val="10"/>
    <w:link w:val="20"/>
    <w:semiHidden/>
    <w:qFormat/>
    <w:uiPriority w:val="0"/>
    <w:rPr>
      <w:rFonts w:ascii="Times New Roman" w:hAnsi="Times New Roman" w:eastAsia="宋体" w:cs="Times New Roman"/>
      <w:sz w:val="18"/>
      <w:szCs w:val="18"/>
    </w:rPr>
  </w:style>
  <w:style w:type="character" w:customStyle="1" w:styleId="23">
    <w:name w:val="无间隔 Char"/>
    <w:basedOn w:val="10"/>
    <w:link w:val="21"/>
    <w:semiHidden/>
    <w:uiPriority w:val="0"/>
    <w:rPr>
      <w:kern w:val="0"/>
      <w:sz w:val="22"/>
    </w:rPr>
  </w:style>
  <w:style w:type="character" w:customStyle="1" w:styleId="24">
    <w:name w:val="Style1"/>
    <w:basedOn w:val="10"/>
    <w:uiPriority w:val="0"/>
    <w:rPr>
      <w:rFonts w:ascii="Cambria" w:hAnsi="黑体" w:eastAsia="黑体" w:cs="黑体"/>
      <w:sz w:val="22"/>
      <w:szCs w:val="22"/>
      <w:lang w:eastAsia="zh-CN"/>
    </w:rPr>
  </w:style>
  <w:style w:type="character" w:customStyle="1" w:styleId="25">
    <w:name w:val="Style2"/>
    <w:basedOn w:val="10"/>
    <w:qFormat/>
    <w:uiPriority w:val="0"/>
    <w:rPr>
      <w:rFonts w:ascii="Cambria" w:hAnsi="黑体" w:eastAsia="黑体" w:cs="黑体"/>
      <w:sz w:val="22"/>
      <w:szCs w:val="22"/>
      <w:lang w:eastAsia="zh-CN"/>
    </w:rPr>
  </w:style>
  <w:style w:type="character" w:customStyle="1" w:styleId="26">
    <w:name w:val="Style3"/>
    <w:basedOn w:val="10"/>
    <w:uiPriority w:val="0"/>
    <w:rPr>
      <w:rFonts w:ascii="Cambria" w:hAnsi="黑体" w:eastAsia="黑体" w:cs="黑体"/>
      <w:szCs w:val="22"/>
      <w:lang w:eastAsia="zh-CN"/>
    </w:rPr>
  </w:style>
  <w:style w:type="character" w:customStyle="1" w:styleId="27">
    <w:name w:val="Style4"/>
    <w:basedOn w:val="10"/>
    <w:qFormat/>
    <w:uiPriority w:val="0"/>
    <w:rPr>
      <w:rFonts w:ascii="Cambria" w:hAnsi="黑体" w:eastAsia="黑体" w:cs="黑体"/>
      <w:szCs w:val="22"/>
      <w:lang w:eastAsia="zh-CN"/>
    </w:rPr>
  </w:style>
  <w:style w:type="character" w:customStyle="1" w:styleId="28">
    <w:name w:val="Style5"/>
    <w:basedOn w:val="10"/>
    <w:qFormat/>
    <w:uiPriority w:val="0"/>
    <w:rPr>
      <w:rFonts w:ascii="Cambria" w:hAnsi="黑体" w:eastAsia="黑体" w:cs="黑体"/>
      <w:sz w:val="22"/>
      <w:szCs w:val="22"/>
      <w:lang w:eastAsia="zh-CN"/>
    </w:rPr>
  </w:style>
  <w:style w:type="paragraph" w:customStyle="1" w:styleId="29">
    <w:name w:val="Normal (Web)"/>
    <w:basedOn w:val="1"/>
    <w:uiPriority w:val="0"/>
    <w:pPr>
      <w:spacing w:beforeAutospacing="1" w:after="0" w:afterAutospacing="1"/>
      <w:jc w:val="left"/>
    </w:pPr>
    <w:rPr>
      <w:kern w:val="0"/>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12</Pages>
  <Words>678</Words>
  <Characters>3871</Characters>
  <Lines>32</Lines>
  <Paragraphs>9</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2018-08-30T00:38:00Z</dcterms:created>
  <dc:creator>User</dc:creator>
  <cp:lastModifiedBy>Administrator</cp:lastModifiedBy>
  <dcterms:modified xsi:type="dcterms:W3CDTF">2019-02-13T02:44:22Z</dcterms:modified>
  <dc:subject>石家庄市xxx部门</dc:subject>
  <dc:title>2017年度部门决算</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