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181C" w:rsidRDefault="0019181C">
      <w:pPr>
        <w:widowControl/>
        <w:jc w:val="center"/>
        <w:rPr>
          <w:rFonts w:ascii="黑体" w:eastAsia="黑体" w:hAnsi="黑体"/>
          <w:b/>
          <w:sz w:val="72"/>
          <w:szCs w:val="72"/>
        </w:rPr>
      </w:pPr>
    </w:p>
    <w:p w:rsidR="0019181C" w:rsidRDefault="0019181C">
      <w:pPr>
        <w:widowControl/>
        <w:jc w:val="center"/>
        <w:rPr>
          <w:rFonts w:ascii="黑体" w:eastAsia="黑体" w:hAnsi="黑体"/>
          <w:b/>
          <w:sz w:val="72"/>
          <w:szCs w:val="72"/>
        </w:rPr>
      </w:pPr>
    </w:p>
    <w:p w:rsidR="0019181C" w:rsidRDefault="0019181C">
      <w:pPr>
        <w:widowControl/>
        <w:jc w:val="center"/>
        <w:rPr>
          <w:rFonts w:ascii="黑体" w:eastAsia="黑体" w:hAnsi="黑体"/>
          <w:sz w:val="72"/>
          <w:szCs w:val="72"/>
        </w:rPr>
      </w:pPr>
    </w:p>
    <w:p w:rsidR="0019181C" w:rsidRDefault="00B13056">
      <w:pPr>
        <w:widowControl/>
        <w:jc w:val="center"/>
        <w:rPr>
          <w:rFonts w:ascii="黑体" w:eastAsia="黑体" w:hAnsi="宋体"/>
          <w:color w:val="002060"/>
          <w:sz w:val="84"/>
          <w:szCs w:val="84"/>
        </w:rPr>
      </w:pPr>
      <w:r>
        <w:rPr>
          <w:rFonts w:ascii="黑体" w:eastAsia="黑体" w:hAnsi="宋体" w:hint="eastAsia"/>
          <w:color w:val="002060"/>
          <w:sz w:val="84"/>
          <w:szCs w:val="84"/>
        </w:rPr>
        <w:t>2017年度部门决算公开</w:t>
      </w:r>
    </w:p>
    <w:p w:rsidR="0019181C" w:rsidRDefault="0019181C">
      <w:pPr>
        <w:widowControl/>
        <w:jc w:val="center"/>
        <w:rPr>
          <w:rFonts w:ascii="黑体" w:eastAsia="黑体" w:hAnsi="黑体"/>
          <w:b/>
          <w:sz w:val="72"/>
          <w:szCs w:val="72"/>
        </w:rPr>
      </w:pPr>
    </w:p>
    <w:p w:rsidR="0019181C" w:rsidRDefault="0019181C">
      <w:pPr>
        <w:widowControl/>
        <w:jc w:val="center"/>
        <w:rPr>
          <w:rFonts w:ascii="黑体" w:eastAsia="黑体" w:hAnsi="黑体"/>
          <w:b/>
          <w:sz w:val="72"/>
          <w:szCs w:val="72"/>
        </w:rPr>
      </w:pPr>
    </w:p>
    <w:p w:rsidR="0019181C" w:rsidRDefault="0019181C">
      <w:pPr>
        <w:widowControl/>
        <w:jc w:val="center"/>
        <w:rPr>
          <w:rFonts w:ascii="黑体" w:eastAsia="黑体" w:hAnsi="黑体"/>
          <w:b/>
          <w:sz w:val="72"/>
          <w:szCs w:val="72"/>
        </w:rPr>
      </w:pPr>
    </w:p>
    <w:p w:rsidR="0019181C" w:rsidRDefault="0019181C">
      <w:pPr>
        <w:widowControl/>
        <w:jc w:val="center"/>
        <w:rPr>
          <w:rFonts w:ascii="黑体" w:eastAsia="黑体" w:hAnsi="黑体"/>
          <w:b/>
          <w:sz w:val="72"/>
          <w:szCs w:val="72"/>
        </w:rPr>
      </w:pPr>
    </w:p>
    <w:p w:rsidR="0019181C" w:rsidRDefault="0019181C">
      <w:pPr>
        <w:widowControl/>
        <w:jc w:val="center"/>
        <w:rPr>
          <w:rFonts w:ascii="黑体" w:eastAsia="黑体" w:hAnsi="黑体"/>
          <w:b/>
          <w:sz w:val="72"/>
          <w:szCs w:val="72"/>
        </w:rPr>
      </w:pPr>
    </w:p>
    <w:p w:rsidR="0019181C" w:rsidRDefault="00B13056">
      <w:pPr>
        <w:widowControl/>
        <w:jc w:val="center"/>
        <w:rPr>
          <w:rFonts w:ascii="宋体" w:hAnsi="宋体"/>
          <w:b/>
          <w:sz w:val="44"/>
          <w:szCs w:val="44"/>
        </w:rPr>
      </w:pPr>
      <w:r>
        <w:rPr>
          <w:rFonts w:ascii="宋体" w:hAnsi="宋体" w:hint="eastAsia"/>
          <w:b/>
          <w:sz w:val="44"/>
          <w:szCs w:val="44"/>
        </w:rPr>
        <w:t>无极县财政局</w:t>
      </w:r>
    </w:p>
    <w:p w:rsidR="0019181C" w:rsidRDefault="00B13056">
      <w:pPr>
        <w:widowControl/>
        <w:jc w:val="center"/>
        <w:rPr>
          <w:rFonts w:ascii="宋体" w:hAnsi="宋体"/>
          <w:b/>
          <w:sz w:val="44"/>
          <w:szCs w:val="44"/>
        </w:rPr>
      </w:pPr>
      <w:r>
        <w:rPr>
          <w:rFonts w:ascii="宋体" w:hAnsi="宋体" w:hint="eastAsia"/>
          <w:b/>
          <w:sz w:val="44"/>
          <w:szCs w:val="44"/>
        </w:rPr>
        <w:t>2018年9月18日</w:t>
      </w:r>
    </w:p>
    <w:p w:rsidR="0019181C" w:rsidRDefault="0019181C">
      <w:pPr>
        <w:widowControl/>
        <w:spacing w:line="580" w:lineRule="exact"/>
        <w:jc w:val="center"/>
        <w:rPr>
          <w:rFonts w:eastAsia="方正小标宋_GBK"/>
          <w:sz w:val="44"/>
          <w:szCs w:val="44"/>
        </w:rPr>
      </w:pPr>
    </w:p>
    <w:p w:rsidR="0019181C" w:rsidRDefault="00B13056">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19181C" w:rsidRDefault="0019181C">
      <w:pPr>
        <w:widowControl/>
        <w:spacing w:line="580" w:lineRule="exact"/>
        <w:ind w:firstLineChars="200" w:firstLine="640"/>
        <w:rPr>
          <w:rFonts w:eastAsia="黑体"/>
          <w:sz w:val="32"/>
          <w:szCs w:val="32"/>
        </w:rPr>
      </w:pPr>
    </w:p>
    <w:p w:rsidR="0019181C" w:rsidRDefault="00B13056">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无极县财政局</w:t>
      </w:r>
      <w:r>
        <w:rPr>
          <w:rFonts w:eastAsia="黑体"/>
          <w:sz w:val="32"/>
          <w:szCs w:val="32"/>
        </w:rPr>
        <w:t>部门概况</w:t>
      </w:r>
    </w:p>
    <w:p w:rsidR="0019181C" w:rsidRDefault="00B13056" w:rsidP="008C1A55">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19181C" w:rsidRDefault="00B13056" w:rsidP="008C1A55">
      <w:pPr>
        <w:widowControl/>
        <w:spacing w:line="580" w:lineRule="exact"/>
        <w:ind w:firstLineChars="398" w:firstLine="1274"/>
        <w:rPr>
          <w:rFonts w:eastAsia="仿宋_GB2312"/>
          <w:sz w:val="32"/>
          <w:szCs w:val="32"/>
        </w:rPr>
      </w:pPr>
      <w:r>
        <w:rPr>
          <w:rFonts w:eastAsia="仿宋_GB2312"/>
          <w:sz w:val="32"/>
          <w:szCs w:val="32"/>
        </w:rPr>
        <w:t>二、部门决算单位构成</w:t>
      </w:r>
    </w:p>
    <w:p w:rsidR="0019181C" w:rsidRDefault="00B13056">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无极县财政局</w:t>
      </w:r>
      <w:r>
        <w:rPr>
          <w:rFonts w:eastAsia="黑体"/>
          <w:sz w:val="32"/>
          <w:szCs w:val="32"/>
        </w:rPr>
        <w:t>部门</w:t>
      </w:r>
      <w:r>
        <w:rPr>
          <w:rFonts w:eastAsia="黑体"/>
          <w:sz w:val="32"/>
          <w:szCs w:val="32"/>
        </w:rPr>
        <w:t>2017</w:t>
      </w:r>
      <w:r>
        <w:rPr>
          <w:rFonts w:eastAsia="黑体"/>
          <w:sz w:val="32"/>
          <w:szCs w:val="32"/>
        </w:rPr>
        <w:t>年度部门决算报表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二、收入决算表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三、支出决算表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19181C" w:rsidRDefault="00B13056">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无极县财政局</w:t>
      </w:r>
      <w:r>
        <w:rPr>
          <w:rFonts w:eastAsia="黑体"/>
          <w:sz w:val="32"/>
          <w:szCs w:val="32"/>
        </w:rPr>
        <w:t>部门</w:t>
      </w:r>
      <w:r>
        <w:rPr>
          <w:rFonts w:eastAsia="黑体"/>
          <w:sz w:val="32"/>
          <w:szCs w:val="32"/>
        </w:rPr>
        <w:t>2017</w:t>
      </w:r>
      <w:r>
        <w:rPr>
          <w:rFonts w:eastAsia="黑体"/>
          <w:sz w:val="32"/>
          <w:szCs w:val="32"/>
        </w:rPr>
        <w:t>年部门决算情况说明</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lastRenderedPageBreak/>
        <w:t>一、收入支出决算总体情况说明</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19181C" w:rsidRDefault="00B13056">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19181C" w:rsidRDefault="00B13056">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19181C" w:rsidRDefault="00B13056">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19181C" w:rsidRDefault="00B13056">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19181C" w:rsidRDefault="00B13056">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19181C" w:rsidRDefault="00B13056">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19181C" w:rsidRDefault="0019181C"/>
    <w:p w:rsidR="0019181C" w:rsidRDefault="0019181C"/>
    <w:p w:rsidR="0019181C" w:rsidRDefault="0019181C"/>
    <w:p w:rsidR="0019181C" w:rsidRDefault="0019181C"/>
    <w:p w:rsidR="0019181C" w:rsidRDefault="0019181C"/>
    <w:p w:rsidR="0019181C" w:rsidRDefault="00B13056">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 部门概况</w:t>
      </w:r>
    </w:p>
    <w:p w:rsidR="0019181C" w:rsidRDefault="00B13056">
      <w:pPr>
        <w:pStyle w:val="2"/>
        <w:spacing w:before="0" w:after="0" w:line="560" w:lineRule="exact"/>
        <w:ind w:firstLineChars="200" w:firstLine="643"/>
        <w:rPr>
          <w:rFonts w:ascii="黑体" w:eastAsia="黑体" w:hAnsi="Cambria"/>
          <w:kern w:val="0"/>
        </w:rPr>
      </w:pPr>
      <w:r>
        <w:rPr>
          <w:rFonts w:ascii="黑体" w:eastAsia="黑体" w:hAnsi="Cambria" w:hint="eastAsia"/>
          <w:kern w:val="0"/>
        </w:rPr>
        <w:t>一、部门职责</w:t>
      </w:r>
    </w:p>
    <w:p w:rsidR="0019181C" w:rsidRDefault="00B13056">
      <w:pPr>
        <w:ind w:firstLineChars="200" w:firstLine="640"/>
        <w:rPr>
          <w:rFonts w:ascii="仿宋_GB2312" w:eastAsia="仿宋_GB2312" w:hAnsi="仿宋" w:cs="仿宋"/>
          <w:sz w:val="32"/>
          <w:szCs w:val="32"/>
        </w:rPr>
      </w:pPr>
      <w:r>
        <w:rPr>
          <w:rFonts w:ascii="仿宋_GB2312" w:eastAsia="仿宋_GB2312" w:hAnsi="仿宋" w:cs="仿宋_GB2312" w:hint="eastAsia"/>
          <w:sz w:val="32"/>
          <w:szCs w:val="32"/>
        </w:rPr>
        <w:t>1、</w:t>
      </w:r>
      <w:r>
        <w:rPr>
          <w:rFonts w:ascii="仿宋_GB2312" w:eastAsia="仿宋_GB2312" w:hAnsi="仿宋" w:cs="仿宋" w:hint="eastAsia"/>
          <w:sz w:val="32"/>
          <w:szCs w:val="32"/>
        </w:rPr>
        <w:t>负责全县财政预算的编制和财政决算的汇总编报，负责对预算执行情况进行监督检查，确保公教人员工资按时发放和机关正常运转，确保全年财政收支平衡</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2、负责全县行政事业单位的财务管理和监督检查工作，负责审核单位财务收支和各项财政拨款的使用情况。</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3、负责各项社保基金、就业及医疗卫生支出的监督管理工作。</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4、负责协调督促各项财政收入及时足额入库，确保按时完成财政收入任务。</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5、负责做好各类支农资金的引进、发放、管理和回收工作。</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6、负责规范企业财务行为，指导企业搞好财务工作。</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7、负责世界银行贷款项目的立项考察和投放管理工作。</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8、负责全县预算外资金的收支管理。</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9、负责做好全县行政事业单位会计人员的管理。</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10、负责做好控购物品的审核上报工作。</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lastRenderedPageBreak/>
        <w:t>11、负责对乡镇财政的监督管理，提高乡财政管理水平。</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12、负责对全县行政事业单位国有资产进行管理，防止国有资产流失。</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13、负责全县行政事业单位的收费和罚没管理。</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14、负责全县的行政事业单位的资金往来结算。</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15、负责全县财政专项资金的监督检查工作。</w:t>
      </w:r>
    </w:p>
    <w:p w:rsidR="0019181C" w:rsidRDefault="00B13056">
      <w:pPr>
        <w:ind w:firstLine="640"/>
        <w:rPr>
          <w:rFonts w:ascii="仿宋_GB2312" w:eastAsia="仿宋_GB2312" w:hAnsi="仿宋" w:cs="仿宋"/>
          <w:sz w:val="32"/>
          <w:szCs w:val="32"/>
        </w:rPr>
      </w:pPr>
      <w:r>
        <w:rPr>
          <w:rFonts w:ascii="仿宋_GB2312" w:eastAsia="仿宋_GB2312" w:hAnsi="仿宋" w:cs="仿宋" w:hint="eastAsia"/>
          <w:sz w:val="32"/>
          <w:szCs w:val="32"/>
        </w:rPr>
        <w:t>16、承办县政府交办的其他工作</w:t>
      </w:r>
    </w:p>
    <w:p w:rsidR="0019181C" w:rsidRDefault="00B13056">
      <w:pPr>
        <w:pStyle w:val="2"/>
        <w:spacing w:before="0" w:after="0" w:line="560" w:lineRule="exact"/>
        <w:ind w:firstLineChars="200" w:firstLine="643"/>
        <w:rPr>
          <w:rFonts w:ascii="黑体" w:eastAsia="黑体" w:hAnsi="Cambria"/>
          <w:kern w:val="0"/>
        </w:rPr>
      </w:pPr>
      <w:r>
        <w:rPr>
          <w:rFonts w:ascii="黑体" w:eastAsia="黑体" w:hAnsi="Cambria" w:hint="eastAsia"/>
          <w:kern w:val="0"/>
        </w:rPr>
        <w:t>二、部门决算单位构成</w:t>
      </w:r>
    </w:p>
    <w:p w:rsidR="0019181C" w:rsidRDefault="00B13056">
      <w:pPr>
        <w:autoSpaceDE w:val="0"/>
        <w:autoSpaceDN w:val="0"/>
        <w:adjustRightInd w:val="0"/>
        <w:spacing w:after="0" w:line="560" w:lineRule="exact"/>
        <w:ind w:firstLineChars="200" w:firstLine="640"/>
        <w:jc w:val="left"/>
        <w:sectPr w:rsidR="0019181C">
          <w:pgSz w:w="11906" w:h="16838"/>
          <w:pgMar w:top="2098" w:right="1474" w:bottom="1985" w:left="1588" w:header="851" w:footer="992" w:gutter="0"/>
          <w:pgNumType w:start="0"/>
          <w:cols w:space="425"/>
          <w:titlePg/>
          <w:docGrid w:type="lines" w:linePitch="312"/>
        </w:sectPr>
      </w:pPr>
      <w:r>
        <w:rPr>
          <w:rFonts w:ascii="仿宋_GB2312" w:eastAsia="仿宋_GB2312" w:hAnsi="Cambria" w:cs="ArialUnicodeMS" w:hint="eastAsia"/>
          <w:kern w:val="0"/>
          <w:sz w:val="32"/>
          <w:szCs w:val="32"/>
        </w:rPr>
        <w:t>2017 年度，纳入本部门决算汇编范围的独立核算单位（以下简称“单位”）共1个，单位基本性质为行政单位，预算管理级次为一级预算单位，执行行政事业单位会计制度，较上年无增减变化。</w:t>
      </w:r>
    </w:p>
    <w:p w:rsidR="0019181C" w:rsidRDefault="0019181C">
      <w:pPr>
        <w:spacing w:line="560" w:lineRule="exact"/>
        <w:rPr>
          <w:rFonts w:ascii="仿宋_GB2312" w:eastAsia="仿宋_GB2312" w:hAnsi="Cambria" w:cs="ArialUnicodeMS"/>
          <w:kern w:val="0"/>
          <w:sz w:val="32"/>
          <w:szCs w:val="32"/>
        </w:rPr>
      </w:pPr>
    </w:p>
    <w:p w:rsidR="0019181C" w:rsidRDefault="0019181C">
      <w:pPr>
        <w:widowControl/>
        <w:spacing w:line="560" w:lineRule="exact"/>
        <w:jc w:val="center"/>
        <w:rPr>
          <w:rFonts w:ascii="黑体" w:eastAsia="黑体" w:hAnsi="Cambria" w:cs="MS-UIGothic,Bold"/>
          <w:bCs/>
          <w:kern w:val="0"/>
          <w:sz w:val="52"/>
          <w:szCs w:val="52"/>
        </w:rPr>
      </w:pPr>
    </w:p>
    <w:p w:rsidR="0019181C" w:rsidRDefault="00B13056">
      <w:pPr>
        <w:pStyle w:val="1"/>
        <w:spacing w:line="560" w:lineRule="exact"/>
        <w:jc w:val="center"/>
        <w:rPr>
          <w:rFonts w:ascii="宋体" w:hAnsi="宋体" w:cs="ArialUnicodeMS"/>
          <w:color w:val="000000"/>
          <w:kern w:val="0"/>
        </w:rPr>
      </w:pPr>
      <w:r>
        <w:rPr>
          <w:rFonts w:ascii="宋体" w:hAnsi="宋体" w:cs="ArialUnicodeMS" w:hint="eastAsia"/>
          <w:color w:val="000000"/>
          <w:kern w:val="0"/>
        </w:rPr>
        <w:t>第二部分 2017年度部门决算报表</w:t>
      </w:r>
    </w:p>
    <w:p w:rsidR="0019181C" w:rsidRDefault="00B13056">
      <w:pPr>
        <w:jc w:val="center"/>
        <w:rPr>
          <w:rFonts w:ascii="仿宋_GB2312" w:eastAsia="仿宋_GB2312" w:hAnsi="黑体" w:cs="黑体"/>
          <w:b/>
          <w:sz w:val="32"/>
          <w:szCs w:val="32"/>
        </w:rPr>
      </w:pPr>
      <w:r>
        <w:rPr>
          <w:rFonts w:ascii="仿宋_GB2312" w:eastAsia="仿宋_GB2312" w:hAnsi="黑体" w:cs="黑体" w:hint="eastAsia"/>
          <w:b/>
          <w:sz w:val="32"/>
          <w:szCs w:val="32"/>
        </w:rPr>
        <w:t>（详见附件）</w:t>
      </w:r>
    </w:p>
    <w:p w:rsidR="0019181C" w:rsidRDefault="00B13056">
      <w:pPr>
        <w:ind w:firstLine="643"/>
        <w:jc w:val="left"/>
        <w:rPr>
          <w:rFonts w:ascii="仿宋_GB2312" w:eastAsia="仿宋_GB2312" w:hAnsi="仿宋" w:cs="黑体"/>
          <w:sz w:val="32"/>
          <w:szCs w:val="32"/>
        </w:rPr>
      </w:pPr>
      <w:r>
        <w:rPr>
          <w:rFonts w:ascii="仿宋_GB2312" w:eastAsia="仿宋_GB2312" w:hAnsi="仿宋" w:hint="eastAsia"/>
          <w:sz w:val="32"/>
          <w:szCs w:val="32"/>
        </w:rPr>
        <w:t>一、收入支出决算总表</w:t>
      </w:r>
    </w:p>
    <w:p w:rsidR="0019181C" w:rsidRDefault="00B13056">
      <w:pPr>
        <w:ind w:firstLine="643"/>
        <w:rPr>
          <w:rFonts w:ascii="仿宋_GB2312" w:eastAsia="仿宋_GB2312" w:hAnsi="仿宋"/>
          <w:sz w:val="32"/>
          <w:szCs w:val="32"/>
        </w:rPr>
      </w:pPr>
      <w:r>
        <w:rPr>
          <w:rFonts w:ascii="仿宋_GB2312" w:eastAsia="仿宋_GB2312" w:hAnsi="仿宋" w:hint="eastAsia"/>
          <w:sz w:val="32"/>
          <w:szCs w:val="32"/>
        </w:rPr>
        <w:t>二、收入决算表</w:t>
      </w:r>
    </w:p>
    <w:p w:rsidR="0019181C" w:rsidRDefault="00B13056">
      <w:pPr>
        <w:ind w:firstLine="643"/>
        <w:rPr>
          <w:rFonts w:ascii="仿宋_GB2312" w:eastAsia="仿宋_GB2312" w:hAnsi="仿宋"/>
          <w:sz w:val="32"/>
          <w:szCs w:val="32"/>
        </w:rPr>
      </w:pPr>
      <w:r>
        <w:rPr>
          <w:rFonts w:ascii="仿宋_GB2312" w:eastAsia="仿宋_GB2312" w:hAnsi="仿宋" w:hint="eastAsia"/>
          <w:sz w:val="32"/>
          <w:szCs w:val="32"/>
        </w:rPr>
        <w:t xml:space="preserve">三、支出决算表 </w:t>
      </w:r>
    </w:p>
    <w:p w:rsidR="0019181C" w:rsidRDefault="00B13056">
      <w:pPr>
        <w:ind w:firstLine="643"/>
        <w:rPr>
          <w:rFonts w:ascii="仿宋_GB2312" w:eastAsia="仿宋_GB2312" w:hAnsi="仿宋"/>
          <w:sz w:val="32"/>
          <w:szCs w:val="32"/>
        </w:rPr>
      </w:pPr>
      <w:r>
        <w:rPr>
          <w:rFonts w:ascii="仿宋_GB2312" w:eastAsia="仿宋_GB2312" w:hAnsi="仿宋" w:hint="eastAsia"/>
          <w:sz w:val="32"/>
          <w:szCs w:val="32"/>
        </w:rPr>
        <w:t>四、财政拨款收入支出决算总表</w:t>
      </w:r>
    </w:p>
    <w:p w:rsidR="0019181C" w:rsidRDefault="00B13056">
      <w:pPr>
        <w:ind w:firstLine="643"/>
        <w:rPr>
          <w:rFonts w:ascii="仿宋_GB2312" w:eastAsia="仿宋_GB2312" w:hAnsi="仿宋"/>
          <w:sz w:val="32"/>
          <w:szCs w:val="32"/>
        </w:rPr>
      </w:pPr>
      <w:r>
        <w:rPr>
          <w:rFonts w:ascii="仿宋_GB2312" w:eastAsia="仿宋_GB2312" w:hAnsi="仿宋" w:hint="eastAsia"/>
          <w:sz w:val="32"/>
          <w:szCs w:val="32"/>
        </w:rPr>
        <w:t>五、一般公共预算财政拨款支出决算表</w:t>
      </w:r>
    </w:p>
    <w:p w:rsidR="0019181C" w:rsidRDefault="00B13056">
      <w:pPr>
        <w:ind w:firstLine="622"/>
        <w:rPr>
          <w:rFonts w:ascii="仿宋_GB2312" w:eastAsia="仿宋_GB2312" w:hAnsi="仿宋"/>
          <w:sz w:val="32"/>
          <w:szCs w:val="32"/>
        </w:rPr>
      </w:pPr>
      <w:r>
        <w:rPr>
          <w:rFonts w:ascii="仿宋_GB2312" w:eastAsia="仿宋_GB2312" w:hAnsi="仿宋" w:hint="eastAsia"/>
          <w:sz w:val="32"/>
          <w:szCs w:val="32"/>
        </w:rPr>
        <w:t>六、一般公共预算财政拨款基本支出决算表</w:t>
      </w:r>
    </w:p>
    <w:p w:rsidR="0019181C" w:rsidRDefault="00B13056">
      <w:pPr>
        <w:ind w:firstLine="622"/>
        <w:rPr>
          <w:rFonts w:ascii="仿宋_GB2312" w:eastAsia="仿宋_GB2312" w:hAnsi="仿宋"/>
          <w:sz w:val="32"/>
          <w:szCs w:val="32"/>
        </w:rPr>
      </w:pPr>
      <w:r>
        <w:rPr>
          <w:rFonts w:ascii="仿宋_GB2312" w:eastAsia="仿宋_GB2312" w:hAnsi="仿宋" w:hint="eastAsia"/>
          <w:sz w:val="32"/>
          <w:szCs w:val="32"/>
        </w:rPr>
        <w:t xml:space="preserve">七、政府性基金预算财政拨款收入支出决算表 </w:t>
      </w:r>
    </w:p>
    <w:p w:rsidR="0019181C" w:rsidRDefault="00B13056">
      <w:pPr>
        <w:ind w:firstLine="643"/>
        <w:rPr>
          <w:rFonts w:ascii="仿宋_GB2312" w:eastAsia="仿宋_GB2312" w:hAnsi="仿宋"/>
          <w:sz w:val="32"/>
          <w:szCs w:val="32"/>
        </w:rPr>
      </w:pPr>
      <w:r>
        <w:rPr>
          <w:rFonts w:ascii="仿宋_GB2312" w:eastAsia="仿宋_GB2312" w:hAnsi="仿宋" w:hint="eastAsia"/>
          <w:sz w:val="32"/>
          <w:szCs w:val="32"/>
        </w:rPr>
        <w:t>八、国有资本经营预算财政拨款收入支出决算表</w:t>
      </w:r>
    </w:p>
    <w:p w:rsidR="0019181C" w:rsidRDefault="00B13056">
      <w:pPr>
        <w:ind w:firstLine="643"/>
        <w:rPr>
          <w:rFonts w:ascii="仿宋_GB2312" w:eastAsia="仿宋_GB2312" w:hAnsi="仿宋"/>
          <w:sz w:val="32"/>
          <w:szCs w:val="32"/>
        </w:rPr>
      </w:pPr>
      <w:r>
        <w:rPr>
          <w:rFonts w:ascii="仿宋_GB2312" w:eastAsia="仿宋_GB2312" w:hAnsi="仿宋" w:hint="eastAsia"/>
          <w:sz w:val="32"/>
          <w:szCs w:val="32"/>
        </w:rPr>
        <w:t>九、</w:t>
      </w:r>
      <w:r>
        <w:rPr>
          <w:rFonts w:ascii="仿宋_GB2312" w:eastAsia="仿宋_GB2312" w:hAnsi="仿宋" w:cs="Arial" w:hint="eastAsia"/>
          <w:sz w:val="32"/>
          <w:szCs w:val="32"/>
        </w:rPr>
        <w:t>“</w:t>
      </w:r>
      <w:r>
        <w:rPr>
          <w:rFonts w:ascii="仿宋_GB2312" w:eastAsia="仿宋_GB2312" w:hAnsi="仿宋" w:hint="eastAsia"/>
          <w:sz w:val="32"/>
          <w:szCs w:val="32"/>
        </w:rPr>
        <w:t>三公</w:t>
      </w:r>
      <w:r>
        <w:rPr>
          <w:rFonts w:ascii="仿宋_GB2312" w:eastAsia="仿宋_GB2312" w:hAnsi="仿宋" w:cs="Arial" w:hint="eastAsia"/>
          <w:sz w:val="32"/>
          <w:szCs w:val="32"/>
        </w:rPr>
        <w:t>”</w:t>
      </w:r>
      <w:r>
        <w:rPr>
          <w:rFonts w:ascii="仿宋_GB2312" w:eastAsia="仿宋_GB2312" w:hAnsi="仿宋" w:hint="eastAsia"/>
          <w:sz w:val="32"/>
          <w:szCs w:val="32"/>
        </w:rPr>
        <w:t>经费及相关信息统计表</w:t>
      </w:r>
    </w:p>
    <w:p w:rsidR="0019181C" w:rsidRDefault="00B13056">
      <w:pPr>
        <w:ind w:firstLine="643"/>
        <w:rPr>
          <w:rFonts w:ascii="仿宋_GB2312" w:eastAsia="仿宋_GB2312" w:hAnsi="仿宋" w:cs="宋体"/>
          <w:sz w:val="32"/>
          <w:szCs w:val="32"/>
        </w:rPr>
      </w:pPr>
      <w:r>
        <w:rPr>
          <w:rFonts w:ascii="仿宋_GB2312" w:eastAsia="仿宋_GB2312" w:hAnsi="仿宋" w:hint="eastAsia"/>
          <w:sz w:val="32"/>
          <w:szCs w:val="32"/>
        </w:rPr>
        <w:t>十、政府采购情况表</w:t>
      </w:r>
    </w:p>
    <w:p w:rsidR="0019181C" w:rsidRDefault="0019181C">
      <w:pPr>
        <w:rPr>
          <w:rFonts w:ascii="仿宋_GB2312" w:eastAsia="仿宋_GB2312"/>
        </w:rPr>
      </w:pPr>
    </w:p>
    <w:p w:rsidR="0019181C" w:rsidRDefault="00B13056">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第三部分部门决算情况说明</w:t>
      </w:r>
    </w:p>
    <w:p w:rsidR="0019181C" w:rsidRDefault="00B13056">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Cambria" w:hint="eastAsia"/>
          <w:kern w:val="0"/>
        </w:rPr>
        <w:t>支出</w:t>
      </w:r>
      <w:r>
        <w:rPr>
          <w:rFonts w:ascii="黑体" w:eastAsia="黑体" w:hint="eastAsia"/>
        </w:rPr>
        <w:t>决算总体情况说明</w:t>
      </w:r>
    </w:p>
    <w:p w:rsidR="0019181C" w:rsidRDefault="00B13056">
      <w:pPr>
        <w:rPr>
          <w:rFonts w:ascii="仿宋_GB2312" w:eastAsia="仿宋_GB2312" w:cs="DengXian-Regular"/>
          <w:sz w:val="32"/>
          <w:szCs w:val="32"/>
        </w:rPr>
      </w:pPr>
      <w:r>
        <w:rPr>
          <w:rFonts w:ascii="仿宋_GB2312" w:eastAsia="仿宋_GB2312" w:cs="DengXian-Regular" w:hint="eastAsia"/>
          <w:sz w:val="32"/>
          <w:szCs w:val="32"/>
        </w:rPr>
        <w:t xml:space="preserve">    本部门2017年度年初结转和结余</w:t>
      </w:r>
      <w:r w:rsidR="000E1956">
        <w:rPr>
          <w:rFonts w:ascii="仿宋_GB2312" w:eastAsia="仿宋_GB2312" w:cs="DengXian-Regular" w:hint="eastAsia"/>
          <w:sz w:val="32"/>
          <w:szCs w:val="32"/>
        </w:rPr>
        <w:t>19.3</w:t>
      </w:r>
      <w:r w:rsidR="00EB7D1C">
        <w:rPr>
          <w:rFonts w:ascii="仿宋_GB2312" w:eastAsia="仿宋_GB2312" w:cs="DengXian-Regular" w:hint="eastAsia"/>
          <w:sz w:val="32"/>
          <w:szCs w:val="32"/>
        </w:rPr>
        <w:t>8</w:t>
      </w:r>
      <w:r>
        <w:rPr>
          <w:rFonts w:ascii="仿宋_GB2312" w:eastAsia="仿宋_GB2312" w:cs="DengXian-Regular" w:hint="eastAsia"/>
          <w:sz w:val="32"/>
          <w:szCs w:val="32"/>
        </w:rPr>
        <w:t>万元，本年收入</w:t>
      </w:r>
      <w:r w:rsidR="00F10305">
        <w:rPr>
          <w:rFonts w:ascii="仿宋_GB2312" w:eastAsia="仿宋_GB2312" w:hAnsi="仿宋" w:cs="Arial" w:hint="eastAsia"/>
          <w:color w:val="000000"/>
          <w:kern w:val="0"/>
          <w:sz w:val="32"/>
          <w:szCs w:val="32"/>
        </w:rPr>
        <w:t>1</w:t>
      </w:r>
      <w:r>
        <w:rPr>
          <w:rFonts w:ascii="仿宋_GB2312" w:eastAsia="仿宋_GB2312" w:hAnsi="仿宋" w:cs="Arial" w:hint="eastAsia"/>
          <w:color w:val="000000"/>
          <w:kern w:val="0"/>
          <w:sz w:val="32"/>
          <w:szCs w:val="32"/>
        </w:rPr>
        <w:t>1</w:t>
      </w:r>
      <w:r w:rsidR="00D8340B">
        <w:rPr>
          <w:rFonts w:ascii="仿宋_GB2312" w:eastAsia="仿宋_GB2312" w:hAnsi="仿宋" w:cs="Arial" w:hint="eastAsia"/>
          <w:color w:val="000000"/>
          <w:kern w:val="0"/>
          <w:sz w:val="32"/>
          <w:szCs w:val="32"/>
        </w:rPr>
        <w:t>08.</w:t>
      </w:r>
      <w:r w:rsidR="00C5409D">
        <w:rPr>
          <w:rFonts w:ascii="仿宋_GB2312" w:eastAsia="仿宋_GB2312" w:hAnsi="仿宋" w:cs="Arial" w:hint="eastAsia"/>
          <w:color w:val="000000"/>
          <w:kern w:val="0"/>
          <w:sz w:val="32"/>
          <w:szCs w:val="32"/>
        </w:rPr>
        <w:t>07</w:t>
      </w:r>
      <w:r>
        <w:rPr>
          <w:rFonts w:ascii="仿宋_GB2312" w:eastAsia="仿宋_GB2312" w:cs="DengXian-Regular" w:hint="eastAsia"/>
          <w:sz w:val="32"/>
          <w:szCs w:val="32"/>
        </w:rPr>
        <w:t>万元；本年支出1047.7万元、年末结转和结余79.74万元。与2016年度决算相比，本年收入减少41.44万元，降低3.5%，主要是年初结转减少；本年支出减少94.81万元，降低8%，主要是办公设备及信息网络购置支出减少。</w:t>
      </w:r>
    </w:p>
    <w:p w:rsidR="0019181C" w:rsidRDefault="00B13056">
      <w:pPr>
        <w:pStyle w:val="2"/>
        <w:spacing w:before="0" w:after="0" w:line="560" w:lineRule="exact"/>
        <w:ind w:firstLineChars="200" w:firstLine="643"/>
        <w:rPr>
          <w:rFonts w:ascii="黑体" w:eastAsia="黑体"/>
        </w:rPr>
      </w:pPr>
      <w:r>
        <w:rPr>
          <w:rFonts w:ascii="黑体" w:eastAsia="黑体" w:hint="eastAsia"/>
        </w:rPr>
        <w:t>二、收入决算情况说明</w:t>
      </w:r>
    </w:p>
    <w:p w:rsidR="0019181C" w:rsidRDefault="00B13056">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本部门2017年度本年收入合计1108.07万元，其中：财政拨款收入1108.07万元，占100%。如图所示：</w:t>
      </w:r>
    </w:p>
    <w:p w:rsidR="0019181C" w:rsidRDefault="00B13056">
      <w:pPr>
        <w:adjustRightInd w:val="0"/>
        <w:snapToGrid w:val="0"/>
        <w:spacing w:after="0" w:line="240" w:lineRule="auto"/>
        <w:rPr>
          <w:rFonts w:ascii="仿宋_GB2312" w:eastAsia="仿宋_GB2312" w:cs="DengXian-Regular"/>
          <w:sz w:val="32"/>
          <w:szCs w:val="32"/>
        </w:rPr>
      </w:pPr>
      <w:r>
        <w:rPr>
          <w:rFonts w:ascii="仿宋_GB2312" w:eastAsia="仿宋_GB2312" w:cs="DengXian-Regular" w:hint="eastAsia"/>
          <w:sz w:val="32"/>
          <w:szCs w:val="32"/>
        </w:rPr>
        <w:t>图1：收入决算结构饼状图</w:t>
      </w:r>
    </w:p>
    <w:p w:rsidR="0019181C" w:rsidRDefault="00EB7D1C">
      <w:pPr>
        <w:adjustRightInd w:val="0"/>
        <w:snapToGrid w:val="0"/>
        <w:spacing w:after="0" w:line="240" w:lineRule="auto"/>
        <w:rPr>
          <w:rFonts w:ascii="仿宋_GB2312" w:eastAsia="仿宋_GB2312"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2.25pt;height:218.25pt">
            <v:imagedata r:id="rId8" o:title=""/>
          </v:shape>
        </w:pict>
      </w:r>
    </w:p>
    <w:p w:rsidR="0019181C" w:rsidRDefault="0019181C">
      <w:pPr>
        <w:adjustRightInd w:val="0"/>
        <w:snapToGrid w:val="0"/>
        <w:spacing w:after="0" w:line="240" w:lineRule="auto"/>
        <w:rPr>
          <w:rFonts w:ascii="仿宋_GB2312" w:eastAsia="仿宋_GB2312" w:cs="DengXian-Regular"/>
          <w:sz w:val="32"/>
          <w:szCs w:val="32"/>
        </w:rPr>
      </w:pPr>
    </w:p>
    <w:p w:rsidR="0019181C" w:rsidRDefault="00B13056">
      <w:pPr>
        <w:pStyle w:val="2"/>
        <w:spacing w:before="0" w:after="0" w:line="560" w:lineRule="exact"/>
        <w:ind w:firstLineChars="200" w:firstLine="643"/>
        <w:rPr>
          <w:rFonts w:ascii="黑体" w:eastAsia="黑体"/>
        </w:rPr>
      </w:pPr>
      <w:r>
        <w:rPr>
          <w:rFonts w:ascii="黑体" w:eastAsia="黑体" w:hint="eastAsia"/>
        </w:rPr>
        <w:lastRenderedPageBreak/>
        <w:t>三、支出决算情况说明</w:t>
      </w:r>
    </w:p>
    <w:p w:rsidR="0019181C" w:rsidRDefault="00B13056">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本部门2017年度本年支出合计1047.7万元，其中：基本支出1047.7万元，占100%。如图所示：</w:t>
      </w:r>
    </w:p>
    <w:p w:rsidR="0019181C" w:rsidRDefault="00B13056">
      <w:pPr>
        <w:adjustRightInd w:val="0"/>
        <w:snapToGrid w:val="0"/>
        <w:spacing w:after="0" w:line="240" w:lineRule="auto"/>
        <w:rPr>
          <w:rFonts w:ascii="仿宋_GB2312" w:eastAsia="仿宋_GB2312" w:cs="DengXian-Regular"/>
          <w:sz w:val="32"/>
          <w:szCs w:val="32"/>
        </w:rPr>
      </w:pPr>
      <w:r>
        <w:rPr>
          <w:rFonts w:ascii="仿宋_GB2312" w:eastAsia="仿宋_GB2312" w:cs="DengXian-Regular" w:hint="eastAsia"/>
          <w:sz w:val="32"/>
          <w:szCs w:val="32"/>
        </w:rPr>
        <w:t>图2：支出决算结构饼状图</w:t>
      </w:r>
    </w:p>
    <w:p w:rsidR="0019181C" w:rsidRDefault="00EB7D1C">
      <w:pPr>
        <w:adjustRightInd w:val="0"/>
        <w:snapToGrid w:val="0"/>
        <w:spacing w:after="0" w:line="240" w:lineRule="auto"/>
        <w:rPr>
          <w:rFonts w:ascii="仿宋_GB2312" w:eastAsia="仿宋_GB2312" w:cs="DengXian-Regular"/>
          <w:sz w:val="32"/>
          <w:szCs w:val="32"/>
        </w:rPr>
      </w:pPr>
      <w:r>
        <w:pict>
          <v:shape id="_x0000_i1026" type="#_x0000_t75" style="width:362.25pt;height:218.25pt">
            <v:imagedata r:id="rId9" o:title=""/>
          </v:shape>
        </w:pict>
      </w:r>
      <w:bookmarkStart w:id="0" w:name="_GoBack"/>
      <w:bookmarkEnd w:id="0"/>
    </w:p>
    <w:p w:rsidR="0019181C" w:rsidRDefault="00B13056">
      <w:pPr>
        <w:pStyle w:val="2"/>
        <w:spacing w:before="0" w:after="0" w:line="560" w:lineRule="exact"/>
        <w:ind w:firstLineChars="200" w:firstLine="643"/>
        <w:rPr>
          <w:rFonts w:ascii="黑体" w:eastAsia="黑体"/>
        </w:rPr>
      </w:pPr>
      <w:r>
        <w:rPr>
          <w:rFonts w:ascii="黑体" w:eastAsia="黑体" w:hint="eastAsia"/>
        </w:rPr>
        <w:t>四、</w:t>
      </w:r>
      <w:r>
        <w:rPr>
          <w:rFonts w:ascii="黑体" w:eastAsia="黑体" w:hAnsi="Cambria" w:hint="eastAsia"/>
          <w:kern w:val="0"/>
        </w:rPr>
        <w:t>财政</w:t>
      </w:r>
      <w:r>
        <w:rPr>
          <w:rFonts w:ascii="黑体" w:eastAsia="黑体" w:hint="eastAsia"/>
        </w:rPr>
        <w:t>拨款收入支出决算总体情况说明</w:t>
      </w:r>
    </w:p>
    <w:p w:rsidR="0019181C" w:rsidRDefault="00B13056">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（一）财政拨款收支与2016 年度决算对比情况</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财政拨款收支全部为一般公共预算财政拨款收支。一般公共预算财政拨款年初结转和结余1127.44万元、本年收入1108.07万元；本年支出1047.7万元、年末结转和结余79.74万元。与2016年度决算相比，一般公共预算财政拨款本年收入增加142.34万元，增长15%，主要是人员增资原因；本年支出减少94.81万元，降低8%，主要是办公设备及信息网络购置支出减少。</w:t>
      </w:r>
    </w:p>
    <w:p w:rsidR="0019181C" w:rsidRDefault="00B13056">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lastRenderedPageBreak/>
        <w:t>本部门2017年度一般公共预算财政拨款本年收入较2017年初预算增加133.84万元，增长14%。本年支出增加73.47万元，增长7.5%，主要是人员增资。</w:t>
      </w:r>
    </w:p>
    <w:p w:rsidR="0019181C" w:rsidRDefault="00B13056">
      <w:pPr>
        <w:pStyle w:val="2"/>
        <w:spacing w:before="0" w:after="0" w:line="560" w:lineRule="exact"/>
        <w:ind w:firstLineChars="200" w:firstLine="643"/>
        <w:rPr>
          <w:rFonts w:ascii="黑体" w:eastAsia="黑体"/>
        </w:rPr>
      </w:pPr>
      <w:r>
        <w:rPr>
          <w:rFonts w:ascii="黑体" w:eastAsia="黑体" w:hint="eastAsia"/>
        </w:rPr>
        <w:t>五、“三公” 经费支出决算情况说明</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本部门2017年度“三公”经费支出共计3.14万元，较年初预算减少0.86万元，降低21.5%，主要是压减了公务接待费；较2016年度决算增加0.19万元，增长6.4%，主要是公务接待费用增加。具体情况如下：</w:t>
      </w:r>
    </w:p>
    <w:p w:rsidR="0019181C" w:rsidRDefault="00B13056">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（一）因公出国（境）费支出0万元。</w:t>
      </w:r>
      <w:r>
        <w:rPr>
          <w:rFonts w:ascii="仿宋_GB2312" w:eastAsia="仿宋_GB2312" w:cs="DengXian-Regular" w:hint="eastAsia"/>
          <w:sz w:val="32"/>
          <w:szCs w:val="32"/>
        </w:rPr>
        <w:t>本部门2017年度参加其他单位组织的因公出国（境）团组0个。因公出国（境）费支出较年初预算无增减变化；较2016年度决算无增减变化。</w:t>
      </w:r>
    </w:p>
    <w:p w:rsidR="0019181C" w:rsidRDefault="00B13056">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（二）公务用车购置及运行维护费支出2.99万元。</w:t>
      </w:r>
      <w:r>
        <w:rPr>
          <w:rFonts w:ascii="仿宋_GB2312" w:eastAsia="仿宋_GB2312" w:cs="DengXian-Regular" w:hint="eastAsia"/>
          <w:sz w:val="32"/>
          <w:szCs w:val="32"/>
        </w:rPr>
        <w:t>本部门2017年度公务用车购置及运行维护费较年初预算减少0.01万元，降低0.03%,基本持平。较2016年度决算增加0.04万元，增加1.3%,主要是油价上调。</w:t>
      </w:r>
    </w:p>
    <w:p w:rsidR="0019181C" w:rsidRDefault="00B13056">
      <w:pPr>
        <w:adjustRightInd w:val="0"/>
        <w:snapToGrid w:val="0"/>
        <w:spacing w:after="0" w:line="560" w:lineRule="exact"/>
        <w:ind w:firstLineChars="200" w:firstLine="643"/>
        <w:rPr>
          <w:rFonts w:ascii="仿宋_GB2312" w:eastAsia="仿宋_GB2312" w:cs="DengXian-Regular"/>
          <w:color w:val="000000"/>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本部门2017年度公务用车购置量0辆，发生“公务用车购置”经费支出。原因是编制控制及公务车运行正常检测合格。</w:t>
      </w:r>
    </w:p>
    <w:p w:rsidR="0019181C" w:rsidRDefault="00B13056">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本部门2017年度单位公务用车保有量1辆。公车运行维护费支出较年初预算减少0.01万元，降低0.03%。较2016年度决算增加0.04万元，增加1.3%,主要是油价上调。</w:t>
      </w:r>
    </w:p>
    <w:p w:rsidR="0019181C" w:rsidRDefault="00B13056">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lastRenderedPageBreak/>
        <w:t>（三）公务接待费支出0.15万元。</w:t>
      </w:r>
      <w:r>
        <w:rPr>
          <w:rFonts w:ascii="仿宋_GB2312" w:eastAsia="仿宋_GB2312" w:cs="DengXian-Regular" w:hint="eastAsia"/>
          <w:sz w:val="32"/>
          <w:szCs w:val="32"/>
        </w:rPr>
        <w:t>本部门2017年度公务接待共</w:t>
      </w:r>
      <w:r w:rsidR="00EB7D1C">
        <w:rPr>
          <w:rFonts w:ascii="仿宋_GB2312" w:eastAsia="仿宋_GB2312" w:cs="DengXian-Regular" w:hint="eastAsia"/>
          <w:sz w:val="32"/>
          <w:szCs w:val="32"/>
        </w:rPr>
        <w:t>4批次</w:t>
      </w:r>
      <w:r>
        <w:rPr>
          <w:rFonts w:ascii="仿宋_GB2312" w:eastAsia="仿宋_GB2312" w:cs="DengXian-Regular" w:hint="eastAsia"/>
          <w:sz w:val="32"/>
          <w:szCs w:val="32"/>
        </w:rPr>
        <w:t>49人次。公务接待费支出较年初预算减少0.85万元，降低85%,主要是压减人次和标准；较2016年度决算增加0.15万元。</w:t>
      </w:r>
    </w:p>
    <w:p w:rsidR="0019181C" w:rsidRDefault="00B13056">
      <w:pPr>
        <w:pStyle w:val="2"/>
        <w:spacing w:before="0" w:after="0" w:line="560" w:lineRule="exact"/>
        <w:ind w:firstLineChars="200" w:firstLine="643"/>
        <w:rPr>
          <w:rFonts w:ascii="黑体" w:eastAsia="黑体" w:cs="Times New Roman"/>
        </w:rPr>
      </w:pPr>
      <w:r>
        <w:rPr>
          <w:rFonts w:ascii="黑体" w:eastAsia="黑体" w:cs="Times New Roman" w:hint="eastAsia"/>
        </w:rPr>
        <w:t>六、绩效预算</w:t>
      </w:r>
      <w:r>
        <w:rPr>
          <w:rFonts w:ascii="黑体" w:eastAsia="黑体" w:hAnsi="Cambria" w:hint="eastAsia"/>
          <w:kern w:val="0"/>
        </w:rPr>
        <w:t>管理</w:t>
      </w:r>
      <w:r>
        <w:rPr>
          <w:rFonts w:ascii="黑体" w:eastAsia="黑体" w:cs="Times New Roman" w:hint="eastAsia"/>
        </w:rPr>
        <w:t>工作开展情况说明</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19181C" w:rsidRDefault="00B13056">
      <w:pPr>
        <w:numPr>
          <w:ilvl w:val="0"/>
          <w:numId w:val="1"/>
        </w:num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预算项目绩效评价开展情况</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本单位无民生项目和重点支出项目。</w:t>
      </w:r>
    </w:p>
    <w:p w:rsidR="0019181C" w:rsidRDefault="00B13056">
      <w:pPr>
        <w:pStyle w:val="2"/>
        <w:spacing w:before="0" w:after="0" w:line="560" w:lineRule="exact"/>
        <w:ind w:firstLineChars="200" w:firstLine="643"/>
        <w:rPr>
          <w:rFonts w:ascii="黑体" w:eastAsia="黑体" w:cs="Times New Roman"/>
        </w:rPr>
      </w:pPr>
      <w:r>
        <w:rPr>
          <w:rFonts w:ascii="黑体" w:eastAsia="黑体" w:cs="Times New Roman" w:hint="eastAsia"/>
        </w:rPr>
        <w:t>七、其他重要事项的说明</w:t>
      </w:r>
    </w:p>
    <w:p w:rsidR="0019181C" w:rsidRDefault="00B13056">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本部门2017年度机关运行经费支出264.76万元，比2016年度减少179.43万元，降低68%。主要原因是大力压减了培训、办公等费用。</w:t>
      </w:r>
    </w:p>
    <w:p w:rsidR="0019181C" w:rsidRDefault="00B13056">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（二）政府采购情况</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本部门2017年度政府采购支出总额0万元。</w:t>
      </w:r>
    </w:p>
    <w:p w:rsidR="0019181C" w:rsidRDefault="00B13056">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截至2017年12月31日，本部门共有车辆1辆，其中，一般公务用车1辆；单位价值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万元以上大型设备0台（套），</w:t>
      </w:r>
      <w:r>
        <w:rPr>
          <w:rFonts w:ascii="仿宋_GB2312" w:eastAsia="仿宋_GB2312" w:cs="DengXian-Regular" w:hint="eastAsia"/>
          <w:sz w:val="32"/>
          <w:szCs w:val="32"/>
        </w:rPr>
        <w:lastRenderedPageBreak/>
        <w:t>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万元以上大型设备0台（套）。</w:t>
      </w:r>
    </w:p>
    <w:p w:rsidR="0019181C" w:rsidRDefault="00B13056">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1、本部门2017年度政府性基金预算财政拨款无收支及结转结余情况，故政府性基金预算财政拨款收入支出决算表以空表列示。</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2、本部门2017年度国有资本经营预算财政拨款无收支及结转结余情况，故国有资本经营预算财政拨款收入支出决算表以空表列示。</w:t>
      </w:r>
    </w:p>
    <w:p w:rsidR="0019181C" w:rsidRDefault="00B13056">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3、由于决算公开表格中金额数值应当保留两位小数，公开数据为四舍五入计算结果，个别数据合计项与分项之和存在小数点后差额，特此说明。</w:t>
      </w:r>
    </w:p>
    <w:p w:rsidR="0019181C" w:rsidRDefault="00B13056">
      <w:pPr>
        <w:pStyle w:val="1"/>
        <w:jc w:val="center"/>
        <w:rPr>
          <w:rFonts w:ascii="宋体" w:hAnsi="宋体" w:cs="SimSun,Bold"/>
        </w:rPr>
      </w:pPr>
      <w:r>
        <w:rPr>
          <w:rFonts w:ascii="宋体" w:hAnsi="宋体" w:cs="SimSun,Bold" w:hint="eastAsia"/>
        </w:rPr>
        <w:t>第四部分名词解释</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（三）其他收入：指除上述“财政拨款收入”、“事业收入”、“经营收入”等以外的收入。</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w:t>
      </w:r>
      <w:r>
        <w:rPr>
          <w:rFonts w:ascii="仿宋_GB2312" w:eastAsia="仿宋_GB2312" w:hAnsi="宋体" w:hint="eastAsia"/>
          <w:color w:val="000000"/>
          <w:kern w:val="0"/>
          <w:sz w:val="32"/>
          <w:szCs w:val="32"/>
        </w:rPr>
        <w:lastRenderedPageBreak/>
        <w:t>用以前年度积累的事业基金（事业单位当年收支相抵后按国家规定提取、用于弥补以后年度收支差额的基金）弥补本年度收支缺口的资金。</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（五）年初结转和结余：指以前年度尚未完成、结转到本年仍按原规定用途继续使用的资金，或项目已完成等产生的结余资金。</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（六）结余分配：指事业单位按照事业单位会计制度的规定从非财政补助结余中分配的事业基金和职工福利基金等。</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（七）年末结转和结余：指单位按有关规定结转到下年或以后年度继续使用的资金，或项目已完成等产生的结余资金。</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（八）基本支出：填列单位为保障机构正常运转、完成日常工作任务而发生的各项支出。</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（十一）其他资本性支出：填列由各级非发展与改革部门集中安排的用于购置固定资产、战备性和应急性储备、土地和无形</w:t>
      </w:r>
      <w:r>
        <w:rPr>
          <w:rFonts w:ascii="仿宋_GB2312" w:eastAsia="仿宋_GB2312" w:hAnsi="宋体" w:hint="eastAsia"/>
          <w:color w:val="000000"/>
          <w:kern w:val="0"/>
          <w:sz w:val="32"/>
          <w:szCs w:val="32"/>
        </w:rPr>
        <w:lastRenderedPageBreak/>
        <w:t>资产，以及购建基础设施、大型修缮和财政支持企业更新改造所发生的支出。</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（十二）“三公”经费：指部门用财政拨款安排的因公出国（境）费、公务用车购置及运行费和公务接待费。其中，因公出国（境）</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单位公务用车购置支出（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购置税）及租用费、燃料费、维修费、过路过桥费、保险费、安全奖励费用等支出；公务接待</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单位按规定开支的各类公务接待（含外宾接待）支出。</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19181C" w:rsidRDefault="00B1305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w:t>
      </w:r>
      <w:r>
        <w:rPr>
          <w:rFonts w:ascii="仿宋_GB2312" w:eastAsia="仿宋_GB2312" w:hAnsi="宋体" w:hint="eastAsia"/>
          <w:color w:val="000000"/>
          <w:kern w:val="0"/>
          <w:sz w:val="32"/>
          <w:szCs w:val="32"/>
        </w:rPr>
        <w:lastRenderedPageBreak/>
        <w:t>房取暖费、办公用房物业管理费、公务用车运行维护费以及其他费用。</w:t>
      </w:r>
    </w:p>
    <w:sectPr w:rsidR="0019181C" w:rsidSect="0019181C">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3676" w:rsidRDefault="007C3676" w:rsidP="008C1A55">
      <w:pPr>
        <w:spacing w:after="0" w:line="240" w:lineRule="auto"/>
      </w:pPr>
      <w:r>
        <w:separator/>
      </w:r>
    </w:p>
  </w:endnote>
  <w:endnote w:type="continuationSeparator" w:id="0">
    <w:p w:rsidR="007C3676" w:rsidRDefault="007C3676" w:rsidP="008C1A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方正小标宋_GBK">
    <w:altName w:val="微软雅黑"/>
    <w:charset w:val="86"/>
    <w:family w:val="auto"/>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rialUnicodeMS">
    <w:altName w:val="Batang"/>
    <w:charset w:val="81"/>
    <w:family w:val="auto"/>
    <w:pitch w:val="default"/>
    <w:sig w:usb0="00000000" w:usb1="00000000" w:usb2="00000010" w:usb3="00000000" w:csb0="00080001" w:csb1="00000000"/>
  </w:font>
  <w:font w:name="仿宋">
    <w:altName w:val="Arial Unicode MS"/>
    <w:charset w:val="86"/>
    <w:family w:val="auto"/>
    <w:pitch w:val="default"/>
    <w:sig w:usb0="00000000" w:usb1="00000000" w:usb2="00000016" w:usb3="00000000" w:csb0="00040001" w:csb1="00000000"/>
  </w:font>
  <w:font w:name="MS-UIGothic,Bold">
    <w:altName w:val="Batang"/>
    <w:charset w:val="81"/>
    <w:family w:val="auto"/>
    <w:pitch w:val="default"/>
    <w:sig w:usb0="00000000" w:usb1="00000000" w:usb2="00000010" w:usb3="00000000" w:csb0="00080000" w:csb1="00000000"/>
  </w:font>
  <w:font w:name="Arial">
    <w:panose1 w:val="020B0604020202020204"/>
    <w:charset w:val="00"/>
    <w:family w:val="swiss"/>
    <w:pitch w:val="variable"/>
    <w:sig w:usb0="20002A87" w:usb1="80000000" w:usb2="00000008" w:usb3="00000000" w:csb0="000001FF" w:csb1="00000000"/>
  </w:font>
  <w:font w:name="DengXian-Regular">
    <w:altName w:val="宋体"/>
    <w:charset w:val="86"/>
    <w:family w:val="auto"/>
    <w:pitch w:val="default"/>
    <w:sig w:usb0="00000000" w:usb1="00000000" w:usb2="00000010" w:usb3="00000000" w:csb0="00040001" w:csb1="00000000"/>
  </w:font>
  <w:font w:name="楷体_GB2312">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3676" w:rsidRDefault="007C3676" w:rsidP="008C1A55">
      <w:pPr>
        <w:spacing w:after="0" w:line="240" w:lineRule="auto"/>
      </w:pPr>
      <w:r>
        <w:separator/>
      </w:r>
    </w:p>
  </w:footnote>
  <w:footnote w:type="continuationSeparator" w:id="0">
    <w:p w:rsidR="007C3676" w:rsidRDefault="007C3676" w:rsidP="008C1A5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lvl w:ilvl="0">
      <w:start w:val="2"/>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420"/>
  <w:drawingGridHorizontalSpacing w:val="105"/>
  <w:drawingGridVerticalSpacing w:val="156"/>
  <w:noPunctuationKerning/>
  <w:characterSpacingControl w:val="compressPunctuation"/>
  <w:hdrShapeDefaults>
    <o:shapedefaults v:ext="edit" spidmax="6146"/>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9181C"/>
    <w:rsid w:val="000E1956"/>
    <w:rsid w:val="0019181C"/>
    <w:rsid w:val="00610E2B"/>
    <w:rsid w:val="006D790A"/>
    <w:rsid w:val="007C3676"/>
    <w:rsid w:val="008C1A55"/>
    <w:rsid w:val="00AE5E43"/>
    <w:rsid w:val="00B13056"/>
    <w:rsid w:val="00C5409D"/>
    <w:rsid w:val="00D8340B"/>
    <w:rsid w:val="00EB7D1C"/>
    <w:rsid w:val="00F10305"/>
    <w:rsid w:val="00F17D65"/>
    <w:rsid w:val="79A93AD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19181C"/>
    <w:pPr>
      <w:widowControl w:val="0"/>
      <w:spacing w:after="160" w:line="480" w:lineRule="auto"/>
      <w:jc w:val="both"/>
    </w:pPr>
    <w:rPr>
      <w:kern w:val="2"/>
      <w:sz w:val="21"/>
      <w:szCs w:val="24"/>
    </w:rPr>
  </w:style>
  <w:style w:type="paragraph" w:styleId="1">
    <w:name w:val="heading 1"/>
    <w:basedOn w:val="a"/>
    <w:next w:val="a"/>
    <w:link w:val="1Char"/>
    <w:rsid w:val="0019181C"/>
    <w:pPr>
      <w:keepNext/>
      <w:keepLines/>
      <w:spacing w:before="340" w:after="330" w:line="578" w:lineRule="auto"/>
      <w:outlineLvl w:val="0"/>
    </w:pPr>
    <w:rPr>
      <w:b/>
      <w:bCs/>
      <w:kern w:val="44"/>
      <w:sz w:val="44"/>
      <w:szCs w:val="44"/>
    </w:rPr>
  </w:style>
  <w:style w:type="paragraph" w:styleId="2">
    <w:name w:val="heading 2"/>
    <w:basedOn w:val="a"/>
    <w:next w:val="a"/>
    <w:link w:val="2Char"/>
    <w:rsid w:val="0019181C"/>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rsid w:val="0019181C"/>
    <w:pPr>
      <w:keepNext/>
      <w:keepLines/>
      <w:spacing w:before="260" w:after="260" w:line="416" w:lineRule="auto"/>
      <w:outlineLvl w:val="2"/>
    </w:pPr>
    <w:rPr>
      <w:b/>
      <w:bCs/>
      <w:sz w:val="32"/>
      <w:szCs w:val="32"/>
    </w:rPr>
  </w:style>
  <w:style w:type="paragraph" w:styleId="4">
    <w:name w:val="heading 4"/>
    <w:basedOn w:val="a"/>
    <w:next w:val="a"/>
    <w:link w:val="4Char"/>
    <w:rsid w:val="0019181C"/>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19181C"/>
    <w:pPr>
      <w:tabs>
        <w:tab w:val="center" w:pos="4153"/>
        <w:tab w:val="right" w:pos="8306"/>
      </w:tabs>
      <w:snapToGrid w:val="0"/>
      <w:jc w:val="left"/>
    </w:pPr>
    <w:rPr>
      <w:sz w:val="18"/>
      <w:szCs w:val="18"/>
    </w:rPr>
  </w:style>
  <w:style w:type="paragraph" w:styleId="a4">
    <w:name w:val="header"/>
    <w:basedOn w:val="a"/>
    <w:link w:val="Char0"/>
    <w:rsid w:val="0019181C"/>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rsid w:val="0019181C"/>
    <w:pPr>
      <w:widowControl/>
      <w:spacing w:after="200" w:line="276" w:lineRule="auto"/>
      <w:jc w:val="left"/>
    </w:pPr>
    <w:rPr>
      <w:rFonts w:ascii="Calibri" w:hAnsi="Calibri" w:cs="黑体"/>
      <w:i/>
      <w:iCs/>
      <w:color w:val="F0A22E"/>
      <w:spacing w:val="15"/>
      <w:kern w:val="0"/>
      <w:sz w:val="24"/>
    </w:rPr>
  </w:style>
  <w:style w:type="paragraph" w:styleId="a6">
    <w:name w:val="Title"/>
    <w:basedOn w:val="a"/>
    <w:next w:val="a"/>
    <w:link w:val="Char2"/>
    <w:rsid w:val="0019181C"/>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1Char">
    <w:name w:val="标题 1 Char"/>
    <w:basedOn w:val="a0"/>
    <w:link w:val="1"/>
    <w:semiHidden/>
    <w:qFormat/>
    <w:rsid w:val="0019181C"/>
    <w:rPr>
      <w:rFonts w:ascii="Times New Roman" w:eastAsia="宋体" w:hAnsi="Times New Roman" w:cs="Times New Roman"/>
      <w:b/>
      <w:bCs/>
      <w:kern w:val="44"/>
      <w:sz w:val="44"/>
      <w:szCs w:val="44"/>
    </w:rPr>
  </w:style>
  <w:style w:type="character" w:customStyle="1" w:styleId="2Char">
    <w:name w:val="标题 2 Char"/>
    <w:basedOn w:val="a0"/>
    <w:link w:val="2"/>
    <w:semiHidden/>
    <w:rsid w:val="0019181C"/>
    <w:rPr>
      <w:rFonts w:ascii="Calibri" w:eastAsia="宋体" w:hAnsi="Calibri" w:cs="黑体"/>
      <w:b/>
      <w:bCs/>
      <w:sz w:val="32"/>
      <w:szCs w:val="32"/>
    </w:rPr>
  </w:style>
  <w:style w:type="character" w:customStyle="1" w:styleId="3Char">
    <w:name w:val="标题 3 Char"/>
    <w:basedOn w:val="a0"/>
    <w:link w:val="3"/>
    <w:semiHidden/>
    <w:rsid w:val="0019181C"/>
    <w:rPr>
      <w:rFonts w:ascii="Times New Roman" w:eastAsia="宋体" w:hAnsi="Times New Roman" w:cs="Times New Roman"/>
      <w:b/>
      <w:bCs/>
      <w:sz w:val="32"/>
      <w:szCs w:val="32"/>
    </w:rPr>
  </w:style>
  <w:style w:type="character" w:customStyle="1" w:styleId="4Char">
    <w:name w:val="标题 4 Char"/>
    <w:basedOn w:val="a0"/>
    <w:link w:val="4"/>
    <w:semiHidden/>
    <w:rsid w:val="0019181C"/>
    <w:rPr>
      <w:rFonts w:ascii="Calibri" w:eastAsia="宋体" w:hAnsi="Calibri" w:cs="黑体"/>
      <w:b/>
      <w:bCs/>
      <w:sz w:val="28"/>
      <w:szCs w:val="28"/>
    </w:rPr>
  </w:style>
  <w:style w:type="paragraph" w:customStyle="1" w:styleId="10">
    <w:name w:val="批注框文本1"/>
    <w:basedOn w:val="a"/>
    <w:link w:val="Char3"/>
    <w:rsid w:val="0019181C"/>
    <w:rPr>
      <w:sz w:val="18"/>
      <w:szCs w:val="18"/>
    </w:rPr>
  </w:style>
  <w:style w:type="character" w:customStyle="1" w:styleId="Char3">
    <w:name w:val="批注框文本 Char"/>
    <w:basedOn w:val="a0"/>
    <w:link w:val="10"/>
    <w:semiHidden/>
    <w:rsid w:val="0019181C"/>
    <w:rPr>
      <w:rFonts w:ascii="Times New Roman" w:eastAsia="宋体" w:hAnsi="Times New Roman" w:cs="Times New Roman"/>
      <w:sz w:val="18"/>
      <w:szCs w:val="18"/>
    </w:rPr>
  </w:style>
  <w:style w:type="character" w:customStyle="1" w:styleId="Char">
    <w:name w:val="页脚 Char"/>
    <w:basedOn w:val="a0"/>
    <w:link w:val="a3"/>
    <w:semiHidden/>
    <w:rsid w:val="0019181C"/>
    <w:rPr>
      <w:sz w:val="18"/>
      <w:szCs w:val="18"/>
    </w:rPr>
  </w:style>
  <w:style w:type="character" w:customStyle="1" w:styleId="Char0">
    <w:name w:val="页眉 Char"/>
    <w:basedOn w:val="a0"/>
    <w:link w:val="a4"/>
    <w:semiHidden/>
    <w:rsid w:val="0019181C"/>
    <w:rPr>
      <w:sz w:val="18"/>
      <w:szCs w:val="18"/>
    </w:rPr>
  </w:style>
  <w:style w:type="character" w:customStyle="1" w:styleId="Char1">
    <w:name w:val="副标题 Char"/>
    <w:basedOn w:val="a0"/>
    <w:link w:val="a5"/>
    <w:semiHidden/>
    <w:rsid w:val="0019181C"/>
    <w:rPr>
      <w:rFonts w:ascii="Calibri" w:eastAsia="宋体" w:hAnsi="Calibri" w:cs="黑体"/>
      <w:i/>
      <w:iCs/>
      <w:color w:val="F0A22E"/>
      <w:spacing w:val="15"/>
      <w:kern w:val="0"/>
      <w:sz w:val="24"/>
      <w:szCs w:val="24"/>
    </w:rPr>
  </w:style>
  <w:style w:type="character" w:customStyle="1" w:styleId="Char2">
    <w:name w:val="标题 Char"/>
    <w:basedOn w:val="a0"/>
    <w:link w:val="a6"/>
    <w:semiHidden/>
    <w:rsid w:val="0019181C"/>
    <w:rPr>
      <w:rFonts w:ascii="Calibri" w:eastAsia="宋体" w:hAnsi="Calibri" w:cs="黑体"/>
      <w:color w:val="392B23"/>
      <w:spacing w:val="5"/>
      <w:kern w:val="28"/>
      <w:sz w:val="52"/>
      <w:szCs w:val="52"/>
    </w:rPr>
  </w:style>
  <w:style w:type="paragraph" w:customStyle="1" w:styleId="11">
    <w:name w:val="无间隔1"/>
    <w:link w:val="Char4"/>
    <w:rsid w:val="0019181C"/>
    <w:pPr>
      <w:spacing w:after="160" w:line="480" w:lineRule="auto"/>
    </w:pPr>
    <w:rPr>
      <w:sz w:val="22"/>
    </w:rPr>
  </w:style>
  <w:style w:type="character" w:customStyle="1" w:styleId="Char4">
    <w:name w:val="无间隔 Char"/>
    <w:basedOn w:val="a0"/>
    <w:link w:val="11"/>
    <w:rsid w:val="0019181C"/>
    <w:rPr>
      <w:sz w:val="22"/>
      <w:lang w:val="en-US" w:eastAsia="zh-CN" w:bidi="ar-SA"/>
    </w:rPr>
  </w:style>
  <w:style w:type="character" w:customStyle="1" w:styleId="Style1">
    <w:name w:val="Style1"/>
    <w:basedOn w:val="a0"/>
    <w:rsid w:val="0019181C"/>
    <w:rPr>
      <w:rFonts w:ascii="Cambria" w:eastAsia="黑体" w:hAnsi="黑体" w:cs="黑体"/>
      <w:sz w:val="22"/>
      <w:szCs w:val="22"/>
      <w:lang w:eastAsia="zh-CN"/>
    </w:rPr>
  </w:style>
  <w:style w:type="character" w:customStyle="1" w:styleId="Style2">
    <w:name w:val="Style2"/>
    <w:basedOn w:val="a0"/>
    <w:rsid w:val="0019181C"/>
    <w:rPr>
      <w:rFonts w:ascii="Cambria" w:eastAsia="黑体" w:hAnsi="黑体" w:cs="黑体"/>
      <w:sz w:val="22"/>
      <w:szCs w:val="22"/>
      <w:lang w:eastAsia="zh-CN"/>
    </w:rPr>
  </w:style>
  <w:style w:type="character" w:customStyle="1" w:styleId="Style3">
    <w:name w:val="Style3"/>
    <w:basedOn w:val="a0"/>
    <w:rsid w:val="0019181C"/>
    <w:rPr>
      <w:rFonts w:ascii="Cambria" w:eastAsia="黑体" w:hAnsi="黑体" w:cs="黑体"/>
      <w:szCs w:val="22"/>
      <w:lang w:eastAsia="zh-CN"/>
    </w:rPr>
  </w:style>
  <w:style w:type="character" w:customStyle="1" w:styleId="Style4">
    <w:name w:val="Style4"/>
    <w:basedOn w:val="a0"/>
    <w:rsid w:val="0019181C"/>
    <w:rPr>
      <w:rFonts w:ascii="Cambria" w:eastAsia="黑体" w:hAnsi="黑体" w:cs="黑体"/>
      <w:szCs w:val="22"/>
      <w:lang w:eastAsia="zh-CN"/>
    </w:rPr>
  </w:style>
  <w:style w:type="character" w:customStyle="1" w:styleId="Style5">
    <w:name w:val="Style5"/>
    <w:basedOn w:val="a0"/>
    <w:rsid w:val="0019181C"/>
    <w:rPr>
      <w:rFonts w:ascii="Cambria" w:eastAsia="黑体" w:hAnsi="黑体" w:cs="黑体"/>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14</Pages>
  <Words>638</Words>
  <Characters>3641</Characters>
  <Application>Microsoft Office Word</Application>
  <DocSecurity>0</DocSecurity>
  <Lines>30</Lines>
  <Paragraphs>8</Paragraphs>
  <ScaleCrop>false</ScaleCrop>
  <Company>Microsoft</Company>
  <LinksUpToDate>false</LinksUpToDate>
  <CharactersWithSpaces>4271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11</cp:revision>
  <dcterms:created xsi:type="dcterms:W3CDTF">2018-08-29T16:38:00Z</dcterms:created>
  <dcterms:modified xsi:type="dcterms:W3CDTF">2019-03-20T08:25:00Z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2052-10.1.0.7578</vt:lpwstr>
  </property>
</Properties>
</file>