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rPr>
          <w:rFonts w:asciiTheme="minorEastAsia" w:hAnsiTheme="minorEastAsia" w:eastAsiaTheme="minorEastAsia"/>
          <w:sz w:val="72"/>
          <w:szCs w:val="72"/>
        </w:rPr>
      </w:pPr>
    </w:p>
    <w:p>
      <w:pPr>
        <w:widowControl/>
        <w:jc w:val="center"/>
        <w:rPr>
          <w:rFonts w:hAnsi="宋体" w:asciiTheme="minorEastAsia" w:eastAsiaTheme="minorEastAsia"/>
          <w:color w:val="002060"/>
          <w:sz w:val="84"/>
          <w:szCs w:val="84"/>
        </w:rPr>
      </w:pPr>
      <w:r>
        <w:rPr>
          <w:rFonts w:hint="eastAsia" w:hAnsi="宋体" w:asciiTheme="minorEastAsia" w:eastAsiaTheme="minorEastAsia"/>
          <w:color w:val="002060"/>
          <w:sz w:val="84"/>
          <w:szCs w:val="84"/>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宋体" w:hAnsi="宋体"/>
          <w:b/>
          <w:sz w:val="44"/>
          <w:szCs w:val="44"/>
        </w:rPr>
      </w:pPr>
      <w:r>
        <w:rPr>
          <w:rFonts w:hint="eastAsia" w:ascii="宋体" w:hAnsi="宋体"/>
          <w:b/>
          <w:sz w:val="44"/>
          <w:szCs w:val="44"/>
        </w:rPr>
        <w:t>无极县科学技术协会</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w:t>
      </w:r>
      <w:r>
        <w:rPr>
          <w:rFonts w:hint="eastAsia" w:eastAsia="黑体"/>
          <w:sz w:val="32"/>
          <w:szCs w:val="32"/>
        </w:rPr>
        <w:t>无极县科学技术协会</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numPr>
          <w:ilvl w:val="0"/>
          <w:numId w:val="1"/>
        </w:numPr>
        <w:spacing w:line="580" w:lineRule="exact"/>
        <w:ind w:firstLine="1273" w:firstLineChars="398"/>
        <w:rPr>
          <w:rFonts w:eastAsia="仿宋_GB2312"/>
          <w:sz w:val="32"/>
          <w:szCs w:val="32"/>
        </w:rPr>
      </w:pPr>
      <w:r>
        <w:rPr>
          <w:rFonts w:eastAsia="仿宋_GB2312"/>
          <w:sz w:val="32"/>
          <w:szCs w:val="32"/>
        </w:rPr>
        <w:t>部门决算单位构成</w:t>
      </w:r>
    </w:p>
    <w:p>
      <w:pPr>
        <w:widowControl/>
        <w:spacing w:line="580" w:lineRule="exact"/>
        <w:rPr>
          <w:rFonts w:eastAsia="仿宋_GB2312"/>
          <w:sz w:val="20"/>
          <w:szCs w:val="32"/>
        </w:rPr>
      </w:pPr>
      <w:r>
        <w:rPr>
          <w:rFonts w:eastAsia="黑体"/>
          <w:sz w:val="32"/>
          <w:szCs w:val="32"/>
        </w:rPr>
        <w:t>第二部分</w:t>
      </w:r>
      <w:r>
        <w:rPr>
          <w:rFonts w:hint="eastAsia" w:eastAsia="黑体"/>
          <w:sz w:val="32"/>
          <w:szCs w:val="32"/>
        </w:rPr>
        <w:t>无极县科学技术协会</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无极县科学技术协会</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第一部分部门概况</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一、部门职责</w:t>
      </w:r>
    </w:p>
    <w:p>
      <w:pPr>
        <w:spacing w:line="360" w:lineRule="auto"/>
        <w:ind w:firstLine="640" w:firstLineChars="200"/>
        <w:rPr>
          <w:rFonts w:ascii="仿宋" w:hAnsi="仿宋" w:eastAsia="仿宋"/>
          <w:sz w:val="32"/>
          <w:szCs w:val="28"/>
        </w:rPr>
      </w:pPr>
      <w:r>
        <w:rPr>
          <w:rFonts w:hint="eastAsia" w:ascii="仿宋" w:hAnsi="仿宋" w:eastAsia="仿宋"/>
          <w:sz w:val="32"/>
          <w:szCs w:val="28"/>
        </w:rPr>
        <w:t>1、开展学术交流，活跃学术思想，促进学科发展和知识创新。</w:t>
      </w:r>
    </w:p>
    <w:p>
      <w:pPr>
        <w:spacing w:line="360" w:lineRule="auto"/>
        <w:ind w:firstLine="640" w:firstLineChars="200"/>
        <w:rPr>
          <w:rFonts w:ascii="仿宋" w:hAnsi="仿宋" w:eastAsia="仿宋"/>
          <w:sz w:val="32"/>
          <w:szCs w:val="28"/>
        </w:rPr>
      </w:pPr>
      <w:r>
        <w:rPr>
          <w:rFonts w:hint="eastAsia" w:ascii="仿宋" w:hAnsi="仿宋" w:eastAsia="仿宋"/>
          <w:sz w:val="32"/>
          <w:szCs w:val="28"/>
        </w:rPr>
        <w:t>2、普及科学知识，传播科学思想和科学方法，推广先进技术，开展青少年科学技术教育普及活动。</w:t>
      </w:r>
    </w:p>
    <w:p>
      <w:pPr>
        <w:spacing w:line="360" w:lineRule="auto"/>
        <w:ind w:firstLine="640" w:firstLineChars="200"/>
        <w:rPr>
          <w:rFonts w:ascii="仿宋" w:hAnsi="仿宋" w:eastAsia="仿宋"/>
          <w:sz w:val="32"/>
          <w:szCs w:val="28"/>
        </w:rPr>
      </w:pPr>
      <w:r>
        <w:rPr>
          <w:rFonts w:hint="eastAsia" w:ascii="仿宋" w:hAnsi="仿宋" w:eastAsia="仿宋"/>
          <w:sz w:val="32"/>
          <w:szCs w:val="28"/>
        </w:rPr>
        <w:t>3、维护科学技术工作者的合法权益。反映科学技术工作者的意见和要求，组织科学技术工作者参与科技政策、有关地方性法规的拟定和国家事务的政治协商、科学决策、民主监督工作。组织实施科学技术普及法，完善建设“科技工作者之家”的各项举措，全心全意为科技工作服务。</w:t>
      </w:r>
    </w:p>
    <w:p>
      <w:pPr>
        <w:spacing w:line="360" w:lineRule="auto"/>
        <w:ind w:firstLine="640" w:firstLineChars="200"/>
        <w:rPr>
          <w:rFonts w:ascii="仿宋" w:hAnsi="仿宋" w:eastAsia="仿宋"/>
          <w:sz w:val="32"/>
          <w:szCs w:val="28"/>
        </w:rPr>
      </w:pPr>
      <w:r>
        <w:rPr>
          <w:rFonts w:hint="eastAsia" w:ascii="仿宋" w:hAnsi="仿宋" w:eastAsia="仿宋"/>
          <w:sz w:val="32"/>
          <w:szCs w:val="28"/>
        </w:rPr>
        <w:t>4、表彰奖励优秀科学技术工作者，举荐人才。</w:t>
      </w:r>
    </w:p>
    <w:p>
      <w:pPr>
        <w:spacing w:line="360" w:lineRule="auto"/>
        <w:ind w:firstLine="640" w:firstLineChars="200"/>
        <w:rPr>
          <w:rFonts w:ascii="仿宋" w:hAnsi="仿宋" w:eastAsia="仿宋"/>
          <w:sz w:val="32"/>
          <w:szCs w:val="28"/>
        </w:rPr>
      </w:pPr>
      <w:r>
        <w:rPr>
          <w:rFonts w:hint="eastAsia" w:ascii="仿宋" w:hAnsi="仿宋" w:eastAsia="仿宋"/>
          <w:sz w:val="32"/>
          <w:szCs w:val="28"/>
        </w:rPr>
        <w:t>5、开展科学论证、科技咨询服务工作，提出政策建议，促进科学技术成果的转化和技术创新。</w:t>
      </w:r>
    </w:p>
    <w:p>
      <w:pPr>
        <w:spacing w:line="360" w:lineRule="auto"/>
        <w:ind w:firstLine="640" w:firstLineChars="200"/>
        <w:rPr>
          <w:rFonts w:ascii="仿宋" w:hAnsi="仿宋" w:eastAsia="仿宋"/>
          <w:sz w:val="32"/>
          <w:szCs w:val="28"/>
        </w:rPr>
      </w:pPr>
      <w:r>
        <w:rPr>
          <w:rFonts w:hint="eastAsia" w:ascii="仿宋" w:hAnsi="仿宋" w:eastAsia="仿宋"/>
          <w:sz w:val="32"/>
          <w:szCs w:val="28"/>
        </w:rPr>
        <w:t>6、开展科技交流活动，发展科学技术团体和科学技术工作者的友好交往。</w:t>
      </w:r>
    </w:p>
    <w:p>
      <w:pPr>
        <w:spacing w:line="360" w:lineRule="auto"/>
        <w:ind w:firstLine="640" w:firstLineChars="200"/>
        <w:rPr>
          <w:rFonts w:ascii="仿宋" w:hAnsi="仿宋" w:eastAsia="仿宋"/>
          <w:sz w:val="32"/>
          <w:szCs w:val="28"/>
        </w:rPr>
      </w:pPr>
      <w:r>
        <w:rPr>
          <w:rFonts w:hint="eastAsia" w:ascii="仿宋" w:hAnsi="仿宋" w:eastAsia="仿宋"/>
          <w:sz w:val="32"/>
          <w:szCs w:val="28"/>
        </w:rPr>
        <w:t>7、开展科技工作者的继续教育和培训工作。</w:t>
      </w:r>
    </w:p>
    <w:p>
      <w:pPr>
        <w:spacing w:line="360" w:lineRule="auto"/>
        <w:ind w:firstLine="640" w:firstLineChars="200"/>
        <w:rPr>
          <w:rFonts w:ascii="仿宋" w:hAnsi="仿宋" w:eastAsia="仿宋"/>
          <w:sz w:val="32"/>
          <w:szCs w:val="28"/>
        </w:rPr>
      </w:pPr>
      <w:r>
        <w:rPr>
          <w:rFonts w:hint="eastAsia" w:ascii="仿宋" w:hAnsi="仿宋" w:eastAsia="仿宋"/>
          <w:sz w:val="32"/>
          <w:szCs w:val="28"/>
        </w:rPr>
        <w:t>8、负责指导本县各乡镇科协，企业科协及所主管的有关学会和科技类社会团体工作。</w:t>
      </w:r>
    </w:p>
    <w:p>
      <w:pPr>
        <w:spacing w:line="360" w:lineRule="auto"/>
        <w:ind w:firstLine="640" w:firstLineChars="200"/>
        <w:rPr>
          <w:rFonts w:ascii="仿宋" w:hAnsi="仿宋" w:eastAsia="仿宋"/>
          <w:sz w:val="32"/>
          <w:szCs w:val="28"/>
        </w:rPr>
      </w:pPr>
      <w:r>
        <w:rPr>
          <w:rFonts w:hint="eastAsia" w:ascii="仿宋" w:hAnsi="仿宋" w:eastAsia="仿宋"/>
          <w:sz w:val="32"/>
          <w:szCs w:val="28"/>
        </w:rPr>
        <w:t>9、参与指导全县的反邪教工作，积极组织全县科协系统开展反对伪科学、反科学活动。</w:t>
      </w:r>
    </w:p>
    <w:p>
      <w:pPr>
        <w:spacing w:line="360" w:lineRule="auto"/>
        <w:ind w:firstLine="640" w:firstLineChars="200"/>
        <w:rPr>
          <w:rFonts w:ascii="仿宋" w:hAnsi="仿宋" w:eastAsia="仿宋"/>
          <w:sz w:val="32"/>
          <w:szCs w:val="28"/>
        </w:rPr>
      </w:pPr>
      <w:r>
        <w:rPr>
          <w:rFonts w:hint="eastAsia" w:ascii="仿宋" w:hAnsi="仿宋" w:eastAsia="仿宋"/>
          <w:sz w:val="32"/>
          <w:szCs w:val="28"/>
        </w:rPr>
        <w:t>10、承担县委、县政府交办的有关事宜。</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年度，纳入本部门决算汇编范围的独立核算单位</w:t>
      </w:r>
    </w:p>
    <w:p>
      <w:pPr>
        <w:autoSpaceDE w:val="0"/>
        <w:autoSpaceDN w:val="0"/>
        <w:adjustRightInd w:val="0"/>
        <w:spacing w:after="0" w:line="560" w:lineRule="exact"/>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（以下简称“单位”）共1个，单位基本性质为行政单位，</w:t>
      </w:r>
    </w:p>
    <w:p>
      <w:pPr>
        <w:autoSpaceDE w:val="0"/>
        <w:autoSpaceDN w:val="0"/>
        <w:adjustRightInd w:val="0"/>
        <w:spacing w:after="0" w:line="560" w:lineRule="exact"/>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预算管理级次为一级预算单位，执行行政单位会计制度，</w:t>
      </w:r>
    </w:p>
    <w:p>
      <w:pPr>
        <w:spacing w:after="0" w:line="560" w:lineRule="exact"/>
        <w:rPr>
          <w:rFonts w:ascii="仿宋_GB2312" w:eastAsia="仿宋_GB2312" w:cs="ArialUnicodeMS" w:hAnsiTheme="minorHAnsi"/>
          <w:kern w:val="0"/>
          <w:sz w:val="32"/>
          <w:szCs w:val="32"/>
        </w:rPr>
        <w:sectPr>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较上年无增减变化。</w:t>
      </w:r>
    </w:p>
    <w:p>
      <w:pPr>
        <w:pStyle w:val="2"/>
        <w:spacing w:line="560" w:lineRule="exact"/>
        <w:ind w:firstLine="1325" w:firstLineChars="300"/>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line="580" w:lineRule="exact"/>
        <w:ind w:firstLine="3193" w:firstLineChars="998"/>
        <w:rPr>
          <w:rFonts w:hint="eastAsia" w:eastAsia="仿宋_GB2312"/>
          <w:sz w:val="32"/>
          <w:szCs w:val="32"/>
        </w:rPr>
      </w:pPr>
      <w:r>
        <w:rPr>
          <w:rFonts w:hint="eastAsia" w:eastAsia="仿宋_GB2312"/>
          <w:sz w:val="32"/>
          <w:szCs w:val="32"/>
        </w:rPr>
        <w:t>（详见附件）</w:t>
      </w:r>
    </w:p>
    <w:p>
      <w:pPr>
        <w:widowControl/>
        <w:spacing w:line="580" w:lineRule="exact"/>
        <w:ind w:firstLine="1273" w:firstLineChars="398"/>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autoSpaceDE w:val="0"/>
        <w:autoSpaceDN w:val="0"/>
        <w:adjustRightInd w:val="0"/>
        <w:spacing w:line="560" w:lineRule="exact"/>
        <w:jc w:val="left"/>
        <w:rPr>
          <w:rFonts w:cs="黑体" w:asciiTheme="majorEastAsia" w:hAnsiTheme="majorEastAsia" w:eastAsiaTheme="majorEastAsia"/>
          <w:b/>
          <w:color w:val="FF0000"/>
          <w:kern w:val="0"/>
          <w:sz w:val="44"/>
          <w:szCs w:val="44"/>
        </w:rPr>
      </w:pP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2.36万元，本年收入69.03万元；本年支出67.88万元、年末结转和结余3.51万元。与2016年度决算相比，本年收入减少6.25万元，降低8.3%，主要是人员工资减少；本年支出减少5.04万元，降低6.9%，主要是人员工资减少。</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本部门2017年度本年收入合计69.03万元，其中：财政拨款收入64.03万元，占9.27%；事业收入0万元，占0%；经营收入0万元，占0%；其他收入5万元，占7.2%。</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drawing>
          <wp:inline distT="0" distB="0" distL="114300" distR="114300">
            <wp:extent cx="4572000" cy="2743200"/>
            <wp:effectExtent l="4445" t="4445" r="14605"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本部门2017年度本年支出合计67.88万元，其中：基本支出61.91万元，占91.2%；项目支出5.96万元，占8.87%；经营支出0万元，占0%。</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drawing>
          <wp:inline distT="0" distB="0" distL="114300" distR="114300">
            <wp:extent cx="4572000" cy="2743200"/>
            <wp:effectExtent l="4445" t="4445" r="1460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adjustRightInd w:val="0"/>
        <w:snapToGrid w:val="0"/>
        <w:spacing w:after="0" w:line="560" w:lineRule="exact"/>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本部门2017年度财政拨款收支全部为一般公共预算财政拨款收支。一般公共预算财政拨款年初结转和结余2.36万元、本年收入6</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.03万元；本年支出6</w:t>
      </w:r>
      <w:r>
        <w:rPr>
          <w:rFonts w:hint="eastAsia" w:ascii="仿宋_GB2312" w:eastAsia="仿宋_GB2312" w:cs="DengXian-Regular"/>
          <w:sz w:val="32"/>
          <w:szCs w:val="32"/>
          <w:lang w:val="en-US" w:eastAsia="zh-CN"/>
        </w:rPr>
        <w:t>5.91</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0.47</w:t>
      </w:r>
      <w:r>
        <w:rPr>
          <w:rFonts w:hint="eastAsia" w:ascii="仿宋_GB2312" w:eastAsia="仿宋_GB2312" w:cs="DengXian-Regular"/>
          <w:sz w:val="32"/>
          <w:szCs w:val="32"/>
        </w:rPr>
        <w:t>万元。与2016年度决算相比，一般公共预算财政拨款本年收入减少</w:t>
      </w:r>
      <w:r>
        <w:rPr>
          <w:rFonts w:hint="eastAsia" w:ascii="仿宋_GB2312" w:eastAsia="仿宋_GB2312" w:cs="DengXian-Regular"/>
          <w:sz w:val="32"/>
          <w:szCs w:val="32"/>
          <w:lang w:val="en-US" w:eastAsia="zh-CN"/>
        </w:rPr>
        <w:t>11</w:t>
      </w:r>
      <w:r>
        <w:rPr>
          <w:rFonts w:hint="eastAsia" w:ascii="仿宋_GB2312" w:eastAsia="仿宋_GB2312" w:cs="DengXian-Regular"/>
          <w:sz w:val="32"/>
          <w:szCs w:val="32"/>
        </w:rPr>
        <w:t>.25万元，降低</w:t>
      </w:r>
      <w:r>
        <w:rPr>
          <w:rFonts w:hint="eastAsia" w:ascii="仿宋_GB2312" w:eastAsia="仿宋_GB2312" w:cs="DengXian-Regular"/>
          <w:sz w:val="32"/>
          <w:szCs w:val="32"/>
          <w:lang w:val="en-US" w:eastAsia="zh-CN"/>
        </w:rPr>
        <w:t>14.94</w:t>
      </w:r>
      <w:r>
        <w:rPr>
          <w:rFonts w:hint="eastAsia" w:ascii="仿宋_GB2312" w:eastAsia="仿宋_GB2312" w:cs="DengXian-Regular"/>
          <w:sz w:val="32"/>
          <w:szCs w:val="32"/>
        </w:rPr>
        <w:t>%，主要是人员工资减少；本年支出减少</w:t>
      </w:r>
      <w:r>
        <w:rPr>
          <w:rFonts w:hint="eastAsia" w:ascii="仿宋_GB2312" w:eastAsia="仿宋_GB2312" w:cs="DengXian-Regular"/>
          <w:sz w:val="32"/>
          <w:szCs w:val="32"/>
          <w:lang w:val="en-US" w:eastAsia="zh-CN"/>
        </w:rPr>
        <w:t>7.01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9.6</w:t>
      </w:r>
      <w:r>
        <w:rPr>
          <w:rFonts w:hint="eastAsia" w:ascii="仿宋_GB2312" w:eastAsia="仿宋_GB2312" w:cs="DengXian-Regular"/>
          <w:sz w:val="32"/>
          <w:szCs w:val="32"/>
        </w:rPr>
        <w:t>%，主要是人员工资减少。</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本部门2017年度一般公共预算财政拨款本年收入较2017年初预算减少1</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.41万元，降低</w:t>
      </w:r>
      <w:r>
        <w:rPr>
          <w:rFonts w:hint="eastAsia" w:ascii="仿宋_GB2312" w:eastAsia="仿宋_GB2312" w:cs="DengXian-Regular"/>
          <w:sz w:val="32"/>
          <w:szCs w:val="32"/>
          <w:lang w:val="en-US" w:eastAsia="zh-CN"/>
        </w:rPr>
        <w:t>20.4</w:t>
      </w:r>
      <w:r>
        <w:rPr>
          <w:rFonts w:hint="eastAsia" w:ascii="仿宋_GB2312" w:eastAsia="仿宋_GB2312" w:cs="DengXian-Regular"/>
          <w:sz w:val="32"/>
          <w:szCs w:val="32"/>
        </w:rPr>
        <w:t>%，主要是人员工资减少；本年支出减少</w:t>
      </w:r>
      <w:r>
        <w:rPr>
          <w:rFonts w:hint="eastAsia" w:ascii="仿宋_GB2312" w:eastAsia="仿宋_GB2312" w:cs="DengXian-Regular"/>
          <w:sz w:val="32"/>
          <w:szCs w:val="32"/>
          <w:lang w:val="en-US" w:eastAsia="zh-CN"/>
        </w:rPr>
        <w:t>14.53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18.06</w:t>
      </w:r>
      <w:bookmarkStart w:id="0" w:name="_GoBack"/>
      <w:bookmarkEnd w:id="0"/>
      <w:r>
        <w:rPr>
          <w:rFonts w:hint="eastAsia" w:ascii="仿宋_GB2312" w:eastAsia="仿宋_GB2312" w:cs="DengXian-Regular"/>
          <w:sz w:val="32"/>
          <w:szCs w:val="32"/>
        </w:rPr>
        <w:t>%，主要是人员工资减少。</w:t>
      </w:r>
    </w:p>
    <w:p>
      <w:pPr>
        <w:pStyle w:val="3"/>
        <w:spacing w:before="0" w:after="0" w:line="560" w:lineRule="exact"/>
        <w:ind w:firstLine="643" w:firstLineChars="200"/>
        <w:rPr>
          <w:rFonts w:ascii="黑体" w:eastAsia="黑体"/>
        </w:rPr>
      </w:pPr>
      <w:r>
        <w:rPr>
          <w:rFonts w:hint="eastAsia" w:ascii="黑体" w:eastAsia="黑体"/>
        </w:rPr>
        <w:t>五、“三公”经费支出决算情况说明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本部门2017年度“三公”经费支出共计0万元，较年初预算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lang w:val="en-US" w:eastAsia="zh-CN"/>
        </w:rPr>
        <w:t>较2016年度决算无增减变化</w:t>
      </w:r>
      <w:r>
        <w:rPr>
          <w:rFonts w:hint="eastAsia" w:ascii="仿宋_GB2312" w:eastAsia="仿宋_GB2312" w:cs="DengXian-Regular"/>
          <w:sz w:val="32"/>
          <w:szCs w:val="32"/>
          <w:lang w:eastAsia="zh-CN"/>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w:t>
      </w:r>
      <w:r>
        <w:rPr>
          <w:rFonts w:hint="eastAsia" w:ascii="仿宋_GB2312" w:eastAsia="仿宋_GB2312" w:cs="DengXian-Regular"/>
          <w:sz w:val="32"/>
          <w:szCs w:val="32"/>
          <w:lang w:eastAsia="zh-CN"/>
        </w:rPr>
        <w:t>未</w:t>
      </w:r>
      <w:r>
        <w:rPr>
          <w:rFonts w:hint="eastAsia" w:ascii="仿宋_GB2312" w:eastAsia="仿宋_GB2312" w:cs="DengXian-Regular"/>
          <w:sz w:val="32"/>
          <w:szCs w:val="32"/>
        </w:rPr>
        <w:t>参加其他单位组织的因公出国（境）团组。</w:t>
      </w:r>
      <w:r>
        <w:rPr>
          <w:rFonts w:hint="eastAsia" w:ascii="仿宋_GB2312" w:eastAsia="仿宋_GB2312" w:cs="DengXian-Regular"/>
          <w:sz w:val="32"/>
          <w:szCs w:val="32"/>
          <w:lang w:eastAsia="zh-CN"/>
        </w:rPr>
        <w:t>较年初预算无增减变化，</w:t>
      </w:r>
      <w:r>
        <w:rPr>
          <w:rFonts w:hint="eastAsia" w:ascii="仿宋_GB2312" w:eastAsia="仿宋_GB2312" w:cs="DengXian-Regular"/>
          <w:sz w:val="32"/>
          <w:szCs w:val="32"/>
          <w:lang w:val="en-US" w:eastAsia="zh-CN"/>
        </w:rPr>
        <w:t>较2016年度决算无增减变化</w:t>
      </w:r>
      <w:r>
        <w:rPr>
          <w:rFonts w:hint="eastAsia" w:ascii="仿宋_GB2312" w:eastAsia="仿宋_GB2312" w:cs="DengXian-Regular"/>
          <w:sz w:val="32"/>
          <w:szCs w:val="32"/>
          <w:lang w:eastAsia="zh-CN"/>
        </w:rPr>
        <w:t>。</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本部门2017年度公务用车购置及运行维护费较年初预算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lang w:val="en-US" w:eastAsia="zh-CN"/>
        </w:rPr>
        <w:t>较2016年度决算无增减变化</w:t>
      </w:r>
      <w:r>
        <w:rPr>
          <w:rFonts w:hint="eastAsia" w:ascii="仿宋_GB2312" w:eastAsia="仿宋_GB2312" w:cs="DengXian-Regular"/>
          <w:sz w:val="32"/>
          <w:szCs w:val="32"/>
          <w:lang w:eastAsia="zh-CN"/>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公务用车购置</w:t>
      </w:r>
      <w:r>
        <w:rPr>
          <w:rFonts w:hint="eastAsia" w:ascii="仿宋_GB2312" w:eastAsia="仿宋_GB2312" w:cs="DengXian-Regular"/>
          <w:sz w:val="32"/>
          <w:szCs w:val="32"/>
          <w:lang w:eastAsia="zh-CN"/>
        </w:rPr>
        <w:t>”经费支出，</w:t>
      </w:r>
      <w:r>
        <w:rPr>
          <w:rFonts w:hint="eastAsia" w:ascii="仿宋_GB2312" w:eastAsia="仿宋_GB2312" w:cs="DengXian-Regular"/>
          <w:sz w:val="32"/>
          <w:szCs w:val="32"/>
          <w:lang w:val="en-US" w:eastAsia="zh-CN"/>
        </w:rPr>
        <w:t>较2016年度决算无增减变化</w:t>
      </w:r>
      <w:r>
        <w:rPr>
          <w:rFonts w:hint="eastAsia" w:ascii="仿宋_GB2312" w:eastAsia="仿宋_GB2312" w:cs="DengXian-Regular"/>
          <w:sz w:val="32"/>
          <w:szCs w:val="32"/>
          <w:lang w:eastAsia="zh-CN"/>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辆。公车运行维护费支出较年初预算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lang w:val="en-US" w:eastAsia="zh-CN"/>
        </w:rPr>
        <w:t>较2016年度决算无增减变化</w:t>
      </w:r>
      <w:r>
        <w:rPr>
          <w:rFonts w:hint="eastAsia" w:ascii="仿宋_GB2312" w:eastAsia="仿宋_GB2312" w:cs="DengXian-Regular"/>
          <w:sz w:val="32"/>
          <w:szCs w:val="32"/>
          <w:lang w:eastAsia="zh-CN"/>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lang w:val="en-US" w:eastAsia="zh-CN"/>
        </w:rPr>
        <w:t>较2016年度决算无增减变化</w:t>
      </w:r>
      <w:r>
        <w:rPr>
          <w:rFonts w:hint="eastAsia" w:ascii="仿宋_GB2312" w:eastAsia="仿宋_GB2312" w:cs="DengXian-Regular"/>
          <w:sz w:val="32"/>
          <w:szCs w:val="32"/>
          <w:lang w:eastAsia="zh-CN"/>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ind w:firstLine="720" w:firstLineChars="225"/>
        <w:rPr>
          <w:rFonts w:hint="eastAsia" w:ascii="仿宋_GB2312" w:eastAsia="仿宋_GB2312" w:cs="DengXian-Regular"/>
          <w:sz w:val="32"/>
          <w:szCs w:val="32"/>
        </w:rPr>
      </w:pPr>
      <w:r>
        <w:rPr>
          <w:rFonts w:hint="eastAsia" w:ascii="仿宋" w:hAnsi="仿宋" w:eastAsia="仿宋" w:cs="仿宋"/>
          <w:sz w:val="32"/>
          <w:szCs w:val="32"/>
        </w:rPr>
        <w:t>　　</w:t>
      </w:r>
      <w:r>
        <w:rPr>
          <w:rFonts w:hint="eastAsia" w:ascii="仿宋_GB2312" w:eastAsia="仿宋_GB2312" w:cs="DengXian-Regular"/>
          <w:sz w:val="32"/>
          <w:szCs w:val="32"/>
        </w:rPr>
        <w:t>绩效管理工作开展情况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根据预算绩效管理要求，本单位组织对2017年度一般公共预算项目支出开展绩效自评，涉及</w:t>
      </w:r>
      <w:r>
        <w:rPr>
          <w:rFonts w:hint="eastAsia" w:ascii="仿宋_GB2312" w:eastAsia="仿宋_GB2312" w:cs="DengXian-Regular"/>
          <w:sz w:val="32"/>
          <w:szCs w:val="32"/>
          <w:lang w:eastAsia="zh-CN"/>
        </w:rPr>
        <w:t>老科协活动经费、全民科学素质经费、科普活动经费等三个</w:t>
      </w:r>
      <w:r>
        <w:rPr>
          <w:rFonts w:hint="eastAsia" w:ascii="仿宋_GB2312" w:eastAsia="仿宋_GB2312" w:cs="DengXian-Regular"/>
          <w:sz w:val="32"/>
          <w:szCs w:val="32"/>
        </w:rPr>
        <w:t>项目，涉及资金</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万元，自评结果为</w:t>
      </w:r>
      <w:r>
        <w:rPr>
          <w:rFonts w:hint="eastAsia" w:ascii="仿宋_GB2312" w:eastAsia="仿宋_GB2312" w:cs="DengXian-Regular"/>
          <w:sz w:val="32"/>
          <w:szCs w:val="32"/>
          <w:lang w:eastAsia="zh-CN"/>
        </w:rPr>
        <w:t>优秀的两个，自评结果为</w:t>
      </w:r>
      <w:r>
        <w:rPr>
          <w:rFonts w:hint="eastAsia" w:ascii="仿宋_GB2312" w:eastAsia="仿宋_GB2312" w:cs="DengXian-Regular"/>
          <w:sz w:val="32"/>
          <w:szCs w:val="32"/>
        </w:rPr>
        <w:t>良好</w:t>
      </w:r>
      <w:r>
        <w:rPr>
          <w:rFonts w:hint="eastAsia" w:ascii="仿宋_GB2312" w:eastAsia="仿宋_GB2312" w:cs="DengXian-Regular"/>
          <w:sz w:val="32"/>
          <w:szCs w:val="32"/>
          <w:lang w:eastAsia="zh-CN"/>
        </w:rPr>
        <w:t>的一个</w:t>
      </w:r>
      <w:r>
        <w:rPr>
          <w:rFonts w:hint="eastAsia" w:ascii="仿宋_GB2312" w:eastAsia="仿宋_GB2312" w:cs="DengXian-Regular"/>
          <w:sz w:val="32"/>
          <w:szCs w:val="32"/>
        </w:rPr>
        <w:t>。</w:t>
      </w:r>
    </w:p>
    <w:p>
      <w:pPr>
        <w:numPr>
          <w:ilvl w:val="0"/>
          <w:numId w:val="2"/>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预算项目绩效自评选例</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 本单位</w:t>
      </w:r>
      <w:r>
        <w:rPr>
          <w:rFonts w:hint="eastAsia" w:ascii="仿宋_GB2312" w:eastAsia="仿宋_GB2312" w:cs="DengXian-Regular"/>
          <w:sz w:val="32"/>
          <w:szCs w:val="32"/>
          <w:lang w:eastAsia="zh-CN"/>
        </w:rPr>
        <w:t>老科协活动</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lang w:eastAsia="zh-CN"/>
        </w:rPr>
        <w:t>老科协活动</w:t>
      </w:r>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万元。完成预算的100%。本单位</w:t>
      </w:r>
      <w:r>
        <w:rPr>
          <w:rFonts w:hint="eastAsia" w:ascii="仿宋_GB2312" w:eastAsia="仿宋_GB2312" w:cs="DengXian-Regular"/>
          <w:sz w:val="32"/>
          <w:szCs w:val="32"/>
          <w:lang w:eastAsia="zh-CN"/>
        </w:rPr>
        <w:t>全民科学素质活动</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lang w:eastAsia="zh-CN"/>
        </w:rPr>
        <w:t>全民科学素质活动</w:t>
      </w:r>
      <w:r>
        <w:rPr>
          <w:rFonts w:hint="eastAsia" w:ascii="仿宋_GB2312" w:eastAsia="仿宋_GB2312" w:cs="DengXian-Regular"/>
          <w:sz w:val="32"/>
          <w:szCs w:val="32"/>
        </w:rPr>
        <w:t>项目自评结果为良好。项目全年预算数为</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执行数</w:t>
      </w:r>
      <w:r>
        <w:rPr>
          <w:rFonts w:hint="eastAsia" w:ascii="仿宋_GB2312" w:eastAsia="仿宋_GB2312" w:cs="DengXian-Regular"/>
          <w:sz w:val="32"/>
          <w:szCs w:val="32"/>
          <w:lang w:val="en-US" w:eastAsia="zh-CN"/>
        </w:rPr>
        <w:t>1万元，</w:t>
      </w:r>
      <w:r>
        <w:rPr>
          <w:rFonts w:hint="eastAsia" w:ascii="仿宋_GB2312" w:eastAsia="仿宋_GB2312" w:cs="DengXian-Regular"/>
          <w:sz w:val="32"/>
          <w:szCs w:val="32"/>
        </w:rPr>
        <w:t>完成预算的</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%。本单位</w:t>
      </w:r>
      <w:r>
        <w:rPr>
          <w:rFonts w:hint="eastAsia" w:ascii="仿宋_GB2312" w:eastAsia="仿宋_GB2312" w:cs="DengXian-Regular"/>
          <w:sz w:val="32"/>
          <w:szCs w:val="32"/>
          <w:lang w:eastAsia="zh-CN"/>
        </w:rPr>
        <w:t>科普活动</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lang w:eastAsia="zh-CN"/>
        </w:rPr>
        <w:t>科普活动</w:t>
      </w:r>
      <w:r>
        <w:rPr>
          <w:rFonts w:hint="eastAsia" w:ascii="仿宋_GB2312" w:eastAsia="仿宋_GB2312" w:cs="DengXian-Regular"/>
          <w:sz w:val="32"/>
          <w:szCs w:val="32"/>
        </w:rPr>
        <w:t>项目项目自评结果为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万元。完成预算的100%。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部门2017年度机关运行经费支出8.34万元，比2016年度增加1.09万元，增长13.06%。主要原因是科普培训活动增加，培训产生经费增加。</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　0万元，其中：政府采购货物支出0万元、政府采购工程支出0万元、政府采购服务支出0万元。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截至2017年12月31日，本部门共有车辆0辆，其中，市级领导干部用车0辆、一般公务用车0辆、一般执法执勤用车0辆、特种专业技术用车0辆、其他用车0辆；单位价值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1、本部门2017年度07、08、10表无收支及结转结余情况，故07、08、10表以空表列示。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第四部分名词解释</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B7C1B5E"/>
    <w:multiLevelType w:val="singleLevel"/>
    <w:tmpl w:val="DB7C1B5E"/>
    <w:lvl w:ilvl="0" w:tentative="0">
      <w:start w:val="2"/>
      <w:numFmt w:val="chineseCounting"/>
      <w:suff w:val="nothing"/>
      <w:lvlText w:val="%1、"/>
      <w:lvlJc w:val="left"/>
      <w:rPr>
        <w:rFonts w:hint="eastAsia"/>
      </w:rPr>
    </w:lvl>
  </w:abstractNum>
  <w:abstractNum w:abstractNumId="1">
    <w:nsid w:val="0F3B8BC4"/>
    <w:multiLevelType w:val="singleLevel"/>
    <w:tmpl w:val="0F3B8BC4"/>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E2F81"/>
    <w:rsid w:val="00152FB8"/>
    <w:rsid w:val="00176DB6"/>
    <w:rsid w:val="001B3410"/>
    <w:rsid w:val="001C030D"/>
    <w:rsid w:val="00234609"/>
    <w:rsid w:val="002C04C4"/>
    <w:rsid w:val="002D08B0"/>
    <w:rsid w:val="00341C8F"/>
    <w:rsid w:val="00391D9D"/>
    <w:rsid w:val="003B6C51"/>
    <w:rsid w:val="003C1413"/>
    <w:rsid w:val="003C549F"/>
    <w:rsid w:val="003D5A16"/>
    <w:rsid w:val="005F4B66"/>
    <w:rsid w:val="00641318"/>
    <w:rsid w:val="0070664B"/>
    <w:rsid w:val="007071B8"/>
    <w:rsid w:val="007414DE"/>
    <w:rsid w:val="007905A9"/>
    <w:rsid w:val="007E5500"/>
    <w:rsid w:val="00840A97"/>
    <w:rsid w:val="008C0149"/>
    <w:rsid w:val="009A1ABE"/>
    <w:rsid w:val="00A35CE0"/>
    <w:rsid w:val="00A44AA4"/>
    <w:rsid w:val="00A61623"/>
    <w:rsid w:val="00A70C65"/>
    <w:rsid w:val="00A84687"/>
    <w:rsid w:val="00AD3B6E"/>
    <w:rsid w:val="00B56722"/>
    <w:rsid w:val="00BA1711"/>
    <w:rsid w:val="00C3774E"/>
    <w:rsid w:val="00C87FAB"/>
    <w:rsid w:val="00C91FF7"/>
    <w:rsid w:val="00C94E53"/>
    <w:rsid w:val="00DB35AF"/>
    <w:rsid w:val="00DF5B88"/>
    <w:rsid w:val="00E2595E"/>
    <w:rsid w:val="00E35374"/>
    <w:rsid w:val="00E50C19"/>
    <w:rsid w:val="00E856C9"/>
    <w:rsid w:val="00EB6A8B"/>
    <w:rsid w:val="00EE6CFF"/>
    <w:rsid w:val="00EF38C6"/>
    <w:rsid w:val="00FE3DC8"/>
    <w:rsid w:val="025C5016"/>
    <w:rsid w:val="03673DA4"/>
    <w:rsid w:val="0E64035A"/>
    <w:rsid w:val="0F204FA0"/>
    <w:rsid w:val="10F5441A"/>
    <w:rsid w:val="11FA443F"/>
    <w:rsid w:val="1FF82405"/>
    <w:rsid w:val="20BA6241"/>
    <w:rsid w:val="23A87729"/>
    <w:rsid w:val="2ACF0BE9"/>
    <w:rsid w:val="30E56CFD"/>
    <w:rsid w:val="32682CE8"/>
    <w:rsid w:val="32EE7595"/>
    <w:rsid w:val="34DA16A5"/>
    <w:rsid w:val="3DA807E3"/>
    <w:rsid w:val="3E2A2053"/>
    <w:rsid w:val="47B50709"/>
    <w:rsid w:val="50B47331"/>
    <w:rsid w:val="5E650FC7"/>
    <w:rsid w:val="5EF64241"/>
    <w:rsid w:val="6E1F5251"/>
    <w:rsid w:val="6E665F11"/>
    <w:rsid w:val="6FA85EBA"/>
    <w:rsid w:val="75384799"/>
    <w:rsid w:val="79F940F8"/>
    <w:rsid w:val="7C7135A1"/>
    <w:rsid w:val="7F0A320D"/>
    <w:rsid w:val="7F97658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6">
    <w:name w:val="Balloon Text"/>
    <w:basedOn w:val="1"/>
    <w:link w:val="19"/>
    <w:semiHidden/>
    <w:unhideWhenUsed/>
    <w:qFormat/>
    <w:uiPriority w:val="99"/>
    <w:rPr>
      <w:sz w:val="18"/>
      <w:szCs w:val="18"/>
    </w:rPr>
  </w:style>
  <w:style w:type="paragraph" w:styleId="7">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0">
    <w:name w:val="Normal (Web)"/>
    <w:basedOn w:val="1"/>
    <w:semiHidden/>
    <w:unhideWhenUsed/>
    <w:qFormat/>
    <w:uiPriority w:val="99"/>
    <w:pPr>
      <w:spacing w:before="120" w:after="120"/>
      <w:jc w:val="left"/>
    </w:pPr>
    <w:rPr>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2"/>
    <w:link w:val="8"/>
    <w:qFormat/>
    <w:uiPriority w:val="99"/>
    <w:rPr>
      <w:sz w:val="18"/>
      <w:szCs w:val="18"/>
    </w:rPr>
  </w:style>
  <w:style w:type="character" w:customStyle="1" w:styleId="16">
    <w:name w:val="页脚 Char"/>
    <w:basedOn w:val="12"/>
    <w:link w:val="7"/>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2"/>
    <w:link w:val="17"/>
    <w:qFormat/>
    <w:uiPriority w:val="1"/>
    <w:rPr>
      <w:kern w:val="0"/>
      <w:sz w:val="22"/>
    </w:rPr>
  </w:style>
  <w:style w:type="character" w:customStyle="1" w:styleId="19">
    <w:name w:val="批注框文本 Char"/>
    <w:basedOn w:val="12"/>
    <w:link w:val="6"/>
    <w:semiHidden/>
    <w:qFormat/>
    <w:uiPriority w:val="99"/>
    <w:rPr>
      <w:rFonts w:ascii="Times New Roman" w:hAnsi="Times New Roman" w:eastAsia="宋体" w:cs="Times New Roman"/>
      <w:sz w:val="18"/>
      <w:szCs w:val="18"/>
    </w:rPr>
  </w:style>
  <w:style w:type="character" w:customStyle="1" w:styleId="20">
    <w:name w:val="标题 Char"/>
    <w:basedOn w:val="12"/>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2"/>
    <w:link w:val="9"/>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2"/>
    <w:qFormat/>
    <w:uiPriority w:val="1"/>
    <w:rPr>
      <w:rFonts w:asciiTheme="minorHAnsi" w:hAnsiTheme="minorEastAsia" w:eastAsiaTheme="minorEastAsia" w:cstheme="minorBidi"/>
      <w:sz w:val="22"/>
      <w:szCs w:val="22"/>
      <w:lang w:eastAsia="zh-CN"/>
    </w:rPr>
  </w:style>
  <w:style w:type="character" w:customStyle="1" w:styleId="23">
    <w:name w:val="Style2"/>
    <w:basedOn w:val="12"/>
    <w:qFormat/>
    <w:uiPriority w:val="1"/>
    <w:rPr>
      <w:rFonts w:asciiTheme="minorHAnsi" w:hAnsiTheme="minorEastAsia" w:eastAsiaTheme="minorEastAsia" w:cstheme="minorBidi"/>
      <w:sz w:val="22"/>
      <w:szCs w:val="22"/>
      <w:lang w:eastAsia="zh-CN"/>
    </w:rPr>
  </w:style>
  <w:style w:type="character" w:customStyle="1" w:styleId="24">
    <w:name w:val="Style3"/>
    <w:basedOn w:val="12"/>
    <w:qFormat/>
    <w:uiPriority w:val="1"/>
    <w:rPr>
      <w:rFonts w:asciiTheme="minorHAnsi" w:hAnsiTheme="minorEastAsia" w:eastAsiaTheme="minorEastAsia" w:cstheme="minorBidi"/>
      <w:szCs w:val="22"/>
      <w:lang w:eastAsia="zh-CN"/>
    </w:rPr>
  </w:style>
  <w:style w:type="character" w:customStyle="1" w:styleId="25">
    <w:name w:val="Style4"/>
    <w:basedOn w:val="12"/>
    <w:qFormat/>
    <w:uiPriority w:val="1"/>
    <w:rPr>
      <w:rFonts w:asciiTheme="minorHAnsi" w:hAnsiTheme="minorEastAsia" w:eastAsiaTheme="minorEastAsia" w:cstheme="minorBidi"/>
      <w:szCs w:val="22"/>
      <w:lang w:eastAsia="zh-CN"/>
    </w:rPr>
  </w:style>
  <w:style w:type="character" w:customStyle="1" w:styleId="26">
    <w:name w:val="Style5"/>
    <w:basedOn w:val="12"/>
    <w:qFormat/>
    <w:uiPriority w:val="1"/>
    <w:rPr>
      <w:rFonts w:asciiTheme="minorHAnsi" w:hAnsiTheme="minorEastAsia" w:eastAsiaTheme="minorEastAsia" w:cstheme="minorBidi"/>
      <w:sz w:val="22"/>
      <w:szCs w:val="22"/>
      <w:lang w:eastAsia="zh-CN"/>
    </w:rPr>
  </w:style>
  <w:style w:type="character" w:customStyle="1" w:styleId="27">
    <w:name w:val="标题 1 Char"/>
    <w:basedOn w:val="12"/>
    <w:link w:val="2"/>
    <w:qFormat/>
    <w:uiPriority w:val="9"/>
    <w:rPr>
      <w:rFonts w:ascii="Times New Roman" w:hAnsi="Times New Roman" w:eastAsia="宋体" w:cs="Times New Roman"/>
      <w:b/>
      <w:bCs/>
      <w:kern w:val="44"/>
      <w:sz w:val="44"/>
      <w:szCs w:val="44"/>
    </w:rPr>
  </w:style>
  <w:style w:type="character" w:customStyle="1" w:styleId="28">
    <w:name w:val="标题 2 Char"/>
    <w:basedOn w:val="12"/>
    <w:link w:val="3"/>
    <w:qFormat/>
    <w:uiPriority w:val="9"/>
    <w:rPr>
      <w:rFonts w:asciiTheme="majorHAnsi" w:hAnsiTheme="majorHAnsi" w:eastAsiaTheme="majorEastAsia" w:cstheme="majorBidi"/>
      <w:b/>
      <w:bCs/>
      <w:sz w:val="32"/>
      <w:szCs w:val="32"/>
    </w:rPr>
  </w:style>
  <w:style w:type="character" w:customStyle="1" w:styleId="29">
    <w:name w:val="标题 3 Char"/>
    <w:basedOn w:val="12"/>
    <w:link w:val="4"/>
    <w:qFormat/>
    <w:uiPriority w:val="9"/>
    <w:rPr>
      <w:rFonts w:ascii="Times New Roman" w:hAnsi="Times New Roman" w:eastAsia="宋体" w:cs="Times New Roman"/>
      <w:b/>
      <w:bCs/>
      <w:sz w:val="32"/>
      <w:szCs w:val="32"/>
    </w:rPr>
  </w:style>
  <w:style w:type="character" w:customStyle="1" w:styleId="30">
    <w:name w:val="标题 4 Char"/>
    <w:basedOn w:val="12"/>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123\AppData\Local\Packages\Microsoft.MicrosoftEdge_8wekyb3d8bbwe\TempState\Downloads\20180927154969276927%20(1).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123\AppData\Local\Packages\Microsoft.MicrosoftEdge_8wekyb3d8bbwe\TempState\Downloads\20180927154969276927%20(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multiLvlStrRef>
              <c:f>'[20180927154969276927 (1).xls]Z03 收入决算表(公开02表)'!$F$4:$K$8</c:f>
              <c:multiLvlStrCache>
                <c:ptCount val="6"/>
                <c:lvl>
                  <c:pt idx="0">
                    <c:v>2</c:v>
                  </c:pt>
                  <c:pt idx="1">
                    <c:v>3</c:v>
                  </c:pt>
                  <c:pt idx="2">
                    <c:v>4</c:v>
                  </c:pt>
                  <c:pt idx="3">
                    <c:v>5</c:v>
                  </c:pt>
                  <c:pt idx="4">
                    <c:v>6</c:v>
                  </c:pt>
                  <c:pt idx="5">
                    <c:v>7</c:v>
                  </c:pt>
                </c:lvl>
                <c:lvl/>
                <c:lvl/>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'[20180927154969276927 (1).xls]Z03 收入决算表(公开02表)'!$F$9:$K$9</c:f>
              <c:numCache>
                <c:formatCode>#,##0.00</c:formatCode>
                <c:ptCount val="6"/>
                <c:pt idx="0">
                  <c:v>64.03</c:v>
                </c:pt>
                <c:pt idx="1">
                  <c:v>0</c:v>
                </c:pt>
                <c:pt idx="2">
                  <c:v>0</c:v>
                </c:pt>
                <c:pt idx="3">
                  <c:v>0</c:v>
                </c:pt>
                <c:pt idx="4">
                  <c:v>0</c:v>
                </c:pt>
                <c:pt idx="5">
                  <c:v>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multiLvlStrRef>
              <c:f>'[20180927154969276927 (1).xls]Z04 支出决算表(公开03表)'!$F$4:$J$8</c:f>
              <c:multiLvlStrCache>
                <c:ptCount val="5"/>
                <c:lvl>
                  <c:pt idx="0">
                    <c:v>2</c:v>
                  </c:pt>
                  <c:pt idx="1">
                    <c:v>3</c:v>
                  </c:pt>
                  <c:pt idx="2">
                    <c:v>4</c:v>
                  </c:pt>
                  <c:pt idx="3">
                    <c:v>5</c:v>
                  </c:pt>
                  <c:pt idx="4">
                    <c:v>6</c:v>
                  </c:pt>
                </c:lvl>
                <c:lvl/>
                <c:lvl/>
                <c:lvl/>
                <c:lvl>
                  <c:pt idx="0">
                    <c:v>基本支出</c:v>
                  </c:pt>
                  <c:pt idx="1">
                    <c:v>项目支出</c:v>
                  </c:pt>
                  <c:pt idx="2">
                    <c:v>上缴上级支出</c:v>
                  </c:pt>
                  <c:pt idx="3">
                    <c:v>经营支出</c:v>
                  </c:pt>
                  <c:pt idx="4">
                    <c:v>对附属单位补助支出</c:v>
                  </c:pt>
                </c:lvl>
              </c:multiLvlStrCache>
            </c:multiLvlStrRef>
          </c:cat>
          <c:val>
            <c:numRef>
              <c:f>'[20180927154969276927 (1).xls]Z04 支出决算表(公开03表)'!$F$9:$J$9</c:f>
              <c:numCache>
                <c:formatCode>#,##0.00</c:formatCode>
                <c:ptCount val="5"/>
                <c:pt idx="0">
                  <c:v>61.91</c:v>
                </c:pt>
                <c:pt idx="1">
                  <c:v>5.96</c:v>
                </c:pt>
                <c:pt idx="2">
                  <c:v>0</c:v>
                </c:pt>
                <c:pt idx="3">
                  <c:v>0</c:v>
                </c:pt>
                <c:pt idx="4">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C5535E33-78B7-4A5A-8BD4-5DA2A72B9F0C}">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760</Words>
  <Characters>4335</Characters>
  <Lines>36</Lines>
  <Paragraphs>10</Paragraphs>
  <TotalTime>29</TotalTime>
  <ScaleCrop>false</ScaleCrop>
  <LinksUpToDate>false</LinksUpToDate>
  <CharactersWithSpaces>5085</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Administrator</cp:lastModifiedBy>
  <dcterms:modified xsi:type="dcterms:W3CDTF">2019-03-18T07:56:41Z</dcterms:modified>
  <dc:subject>石家庄市xxx部门</dc:subject>
  <dc:title>2017年度部门决算</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