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rPr>
          <w:rFonts w:ascii="宋体" w:hAnsi="宋体" w:cs="宋体"/>
          <w:b/>
          <w:bCs/>
          <w:sz w:val="44"/>
          <w:szCs w:val="44"/>
        </w:rPr>
      </w:pPr>
    </w:p>
    <w:p>
      <w:pPr>
        <w:ind w:firstLine="4996" w:firstLineChars="1131"/>
        <w:rPr>
          <w:rFonts w:ascii="宋体" w:hAnsi="宋体" w:cs="宋体"/>
          <w:b/>
          <w:bCs/>
          <w:sz w:val="44"/>
          <w:szCs w:val="44"/>
        </w:rPr>
      </w:pPr>
      <w:r>
        <w:rPr>
          <w:rFonts w:hint="eastAsia" w:ascii="宋体" w:hAnsi="宋体" w:cs="宋体"/>
          <w:b/>
          <w:bCs/>
          <w:sz w:val="44"/>
          <w:szCs w:val="44"/>
        </w:rPr>
        <w:t xml:space="preserve">无极县广播电视台    </w:t>
      </w:r>
    </w:p>
    <w:p>
      <w:pPr>
        <w:jc w:val="center"/>
        <w:rPr>
          <w:rFonts w:ascii="宋体" w:hAnsi="宋体" w:cs="宋体"/>
          <w:b/>
          <w:bCs/>
          <w:sz w:val="44"/>
          <w:szCs w:val="44"/>
        </w:rPr>
      </w:pPr>
      <w:r>
        <w:rPr>
          <w:rFonts w:hint="eastAsia" w:ascii="宋体" w:hAnsi="宋体" w:cs="宋体"/>
          <w:b/>
          <w:bCs/>
          <w:sz w:val="44"/>
          <w:szCs w:val="44"/>
        </w:rPr>
        <w:t>2019年部门预算信息公开说明目录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按照《预算法》、《地方预决算公开操作规程》和《河北省省级预算公开办法》规定，现将无极县广播电视台2019年部门预算公开如下：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560"/>
        <w:rPr>
          <w:rFonts w:ascii="仿宋" w:hAnsi="仿宋" w:eastAsia="仿宋"/>
          <w:sz w:val="32"/>
          <w:szCs w:val="32"/>
        </w:rPr>
      </w:pPr>
      <w:r>
        <w:rPr>
          <w:rFonts w:hint="eastAsia" w:ascii="仿宋" w:hAnsi="仿宋" w:eastAsia="仿宋"/>
          <w:sz w:val="32"/>
          <w:szCs w:val="32"/>
        </w:rPr>
        <w:t>宣传贯彻执行党和国家的路线、方针政策；围绕县委、县政府的中心工作开展新闻宣传，做好各类广播电视节目制作、宣传、采访报道、传输发射、专题片等创作，做好新媒体运营，负责对各类电视广告的审查、制作，建立广播电视安全播出保障体系，加强安全播出管理。组织实施重大公益工程和公益活动。</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W w:w="96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3827"/>
        <w:gridCol w:w="1134"/>
        <w:gridCol w:w="1276"/>
        <w:gridCol w:w="3373"/>
      </w:tblGrid>
      <w:tr>
        <w:trPr>
          <w:trHeight w:val="312" w:hRule="atLeast"/>
          <w:tblHeader/>
          <w:jc w:val="center"/>
        </w:trPr>
        <w:tc>
          <w:tcPr>
            <w:tcW w:w="3827"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单位名称</w:t>
            </w:r>
          </w:p>
        </w:tc>
        <w:tc>
          <w:tcPr>
            <w:tcW w:w="1134"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单位性质</w:t>
            </w:r>
          </w:p>
        </w:tc>
        <w:tc>
          <w:tcPr>
            <w:tcW w:w="1276"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w:t>
            </w:r>
          </w:p>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规格</w:t>
            </w:r>
          </w:p>
        </w:tc>
        <w:tc>
          <w:tcPr>
            <w:tcW w:w="3373"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经费保障形式</w:t>
            </w:r>
          </w:p>
        </w:tc>
      </w:tr>
      <w:tr>
        <w:trPr>
          <w:trHeight w:val="312" w:hRule="atLeast"/>
          <w:tblHeader/>
          <w:jc w:val="center"/>
        </w:trPr>
        <w:tc>
          <w:tcPr>
            <w:tcW w:w="3827" w:type="dxa"/>
            <w:vMerge w:val="continue"/>
            <w:vAlign w:val="center"/>
          </w:tcPr>
          <w:p>
            <w:pPr>
              <w:spacing w:line="300" w:lineRule="exact"/>
              <w:jc w:val="center"/>
              <w:outlineLvl w:val="0"/>
              <w:rPr>
                <w:rFonts w:ascii="仿宋_GB2312" w:hAnsi="仿宋_GB2312" w:eastAsia="仿宋_GB2312" w:cs="仿宋_GB2312"/>
                <w:bCs/>
                <w:sz w:val="32"/>
                <w:szCs w:val="32"/>
              </w:rPr>
            </w:pPr>
          </w:p>
        </w:tc>
        <w:tc>
          <w:tcPr>
            <w:tcW w:w="1134" w:type="dxa"/>
            <w:vMerge w:val="continue"/>
            <w:vAlign w:val="center"/>
          </w:tcPr>
          <w:p>
            <w:pPr>
              <w:spacing w:line="300" w:lineRule="exact"/>
              <w:jc w:val="center"/>
              <w:outlineLvl w:val="0"/>
              <w:rPr>
                <w:rFonts w:ascii="仿宋_GB2312" w:hAnsi="仿宋_GB2312" w:eastAsia="仿宋_GB2312" w:cs="仿宋_GB2312"/>
                <w:bCs/>
                <w:sz w:val="32"/>
                <w:szCs w:val="32"/>
              </w:rPr>
            </w:pPr>
          </w:p>
        </w:tc>
        <w:tc>
          <w:tcPr>
            <w:tcW w:w="1276" w:type="dxa"/>
            <w:vMerge w:val="continue"/>
            <w:vAlign w:val="center"/>
          </w:tcPr>
          <w:p>
            <w:pPr>
              <w:spacing w:line="300" w:lineRule="exact"/>
              <w:jc w:val="center"/>
              <w:outlineLvl w:val="0"/>
              <w:rPr>
                <w:rFonts w:ascii="仿宋_GB2312" w:hAnsi="仿宋_GB2312" w:eastAsia="仿宋_GB2312" w:cs="仿宋_GB2312"/>
                <w:bCs/>
                <w:sz w:val="32"/>
                <w:szCs w:val="32"/>
              </w:rPr>
            </w:pPr>
          </w:p>
        </w:tc>
        <w:tc>
          <w:tcPr>
            <w:tcW w:w="3373" w:type="dxa"/>
            <w:vMerge w:val="continue"/>
            <w:vAlign w:val="center"/>
          </w:tcPr>
          <w:p>
            <w:pPr>
              <w:spacing w:line="300" w:lineRule="exact"/>
              <w:jc w:val="center"/>
              <w:outlineLvl w:val="0"/>
              <w:rPr>
                <w:rFonts w:ascii="仿宋_GB2312" w:hAnsi="仿宋_GB2312" w:eastAsia="仿宋_GB2312" w:cs="仿宋_GB2312"/>
                <w:bCs/>
                <w:sz w:val="32"/>
                <w:szCs w:val="32"/>
              </w:rPr>
            </w:pPr>
          </w:p>
        </w:tc>
      </w:tr>
      <w:tr>
        <w:trPr>
          <w:trHeight w:val="690" w:hRule="atLeast"/>
          <w:jc w:val="center"/>
        </w:trPr>
        <w:tc>
          <w:tcPr>
            <w:tcW w:w="3827"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无极县广播电视台</w:t>
            </w:r>
          </w:p>
        </w:tc>
        <w:tc>
          <w:tcPr>
            <w:tcW w:w="1134"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事业</w:t>
            </w:r>
          </w:p>
        </w:tc>
        <w:tc>
          <w:tcPr>
            <w:tcW w:w="1276"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正科级</w:t>
            </w:r>
          </w:p>
        </w:tc>
        <w:tc>
          <w:tcPr>
            <w:tcW w:w="3373"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财政性资金基本保证</w:t>
            </w:r>
          </w:p>
        </w:tc>
      </w:tr>
    </w:tbl>
    <w:p>
      <w:pPr>
        <w:jc w:val="center"/>
        <w:rPr>
          <w:rFonts w:ascii="仿宋_GB2312" w:hAnsi="仿宋_GB2312" w:eastAsia="仿宋_GB2312" w:cs="仿宋_GB2312"/>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 w:hAnsi="仿宋" w:eastAsia="仿宋"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 w:hAnsi="仿宋" w:eastAsia="仿宋" w:cs="仿宋_GB2312"/>
          <w:sz w:val="30"/>
          <w:szCs w:val="30"/>
        </w:rPr>
        <w:t>。</w:t>
      </w:r>
    </w:p>
    <w:p>
      <w:pPr>
        <w:pStyle w:val="5"/>
        <w:numPr>
          <w:ilvl w:val="0"/>
          <w:numId w:val="1"/>
        </w:numPr>
        <w:ind w:firstLineChars="0"/>
        <w:rPr>
          <w:rFonts w:ascii="楷体" w:hAnsi="楷体" w:eastAsia="楷体" w:cs="仿宋_GB2312"/>
          <w:sz w:val="32"/>
          <w:szCs w:val="32"/>
        </w:rPr>
      </w:pPr>
      <w:r>
        <w:rPr>
          <w:rFonts w:hint="eastAsia" w:ascii="楷体" w:hAnsi="楷体" w:eastAsia="楷体" w:cs="仿宋_GB2312"/>
          <w:sz w:val="32"/>
          <w:szCs w:val="32"/>
        </w:rPr>
        <w:t>收入说明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无极县广播电视台2019年预算收入总计551.08万元。其中，一般公共预算收入551.08万元、政府性基金收入</w:t>
      </w:r>
      <w:r>
        <w:rPr>
          <w:rFonts w:ascii="仿宋" w:hAnsi="仿宋" w:eastAsia="仿宋" w:cs="仿宋_GB2312"/>
          <w:bCs/>
          <w:sz w:val="32"/>
          <w:szCs w:val="32"/>
        </w:rPr>
        <w:t>0</w:t>
      </w:r>
      <w:r>
        <w:rPr>
          <w:rFonts w:hint="eastAsia" w:ascii="仿宋" w:hAnsi="仿宋" w:eastAsia="仿宋" w:cs="仿宋_GB2312"/>
          <w:bCs/>
          <w:sz w:val="32"/>
          <w:szCs w:val="32"/>
        </w:rPr>
        <w:t>万元、财政专户核拨收入0万元，其他来源收入</w:t>
      </w:r>
      <w:r>
        <w:rPr>
          <w:rFonts w:ascii="仿宋" w:hAnsi="仿宋" w:eastAsia="仿宋" w:cs="仿宋_GB2312"/>
          <w:bCs/>
          <w:sz w:val="32"/>
          <w:szCs w:val="32"/>
        </w:rPr>
        <w:t>0</w:t>
      </w:r>
      <w:r>
        <w:rPr>
          <w:rFonts w:hint="eastAsia" w:ascii="仿宋" w:hAnsi="仿宋" w:eastAsia="仿宋" w:cs="仿宋_GB2312"/>
          <w:bCs/>
          <w:sz w:val="32"/>
          <w:szCs w:val="32"/>
        </w:rPr>
        <w:t>万元。</w:t>
      </w:r>
    </w:p>
    <w:p>
      <w:pPr>
        <w:pStyle w:val="5"/>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收入预算总表支出栏、基本支出表、项目支出表按经济分类和支出功能分类科目编制，反映本部门年度预算中支出预算总体情况。2019年预算支出551.08万元。其中，人员经费支出354.36万元，正常公用经费</w:t>
      </w:r>
      <w:r>
        <w:rPr>
          <w:rFonts w:ascii="仿宋" w:hAnsi="仿宋" w:eastAsia="仿宋" w:cs="仿宋_GB2312"/>
          <w:bCs/>
          <w:sz w:val="32"/>
          <w:szCs w:val="32"/>
        </w:rPr>
        <w:t>0</w:t>
      </w:r>
      <w:r>
        <w:rPr>
          <w:rFonts w:hint="eastAsia" w:ascii="仿宋" w:hAnsi="仿宋" w:eastAsia="仿宋" w:cs="仿宋_GB2312"/>
          <w:bCs/>
          <w:sz w:val="32"/>
          <w:szCs w:val="32"/>
        </w:rPr>
        <w:t>万元，项目支出196.72万元。</w:t>
      </w:r>
    </w:p>
    <w:p>
      <w:pPr>
        <w:pStyle w:val="5"/>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ascii="仿宋" w:hAnsi="仿宋" w:eastAsia="仿宋"/>
          <w:sz w:val="32"/>
          <w:szCs w:val="32"/>
        </w:rPr>
      </w:pPr>
      <w:r>
        <w:rPr>
          <w:rFonts w:hint="eastAsia" w:ascii="仿宋" w:hAnsi="仿宋" w:eastAsia="仿宋" w:cs="仿宋_GB2312"/>
          <w:bCs/>
          <w:sz w:val="32"/>
          <w:szCs w:val="32"/>
        </w:rPr>
        <w:t>无极县广播电视台2019年预算收入与2018年相比减少233.21万元，减少原因办公地点搬迁项目的结束即项目支出减少。</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 w:hAnsi="仿宋" w:eastAsia="仿宋" w:cs="仿宋_GB2312"/>
          <w:sz w:val="32"/>
          <w:szCs w:val="32"/>
        </w:rPr>
        <w:t>2019年机关运行经费共计安排</w:t>
      </w:r>
      <w:r>
        <w:rPr>
          <w:rFonts w:ascii="仿宋" w:hAnsi="仿宋" w:eastAsia="仿宋" w:cs="仿宋_GB2312"/>
          <w:sz w:val="32"/>
          <w:szCs w:val="32"/>
        </w:rPr>
        <w:t>0</w:t>
      </w:r>
      <w:r>
        <w:rPr>
          <w:rFonts w:hint="eastAsia" w:ascii="仿宋" w:hAnsi="仿宋" w:eastAsia="仿宋" w:cs="仿宋_GB2312"/>
          <w:sz w:val="32"/>
          <w:szCs w:val="32"/>
        </w:rPr>
        <w:t>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ascii="仿宋" w:hAnsi="仿宋" w:eastAsia="仿宋" w:cs="仿宋_GB2312"/>
          <w:sz w:val="32"/>
          <w:szCs w:val="32"/>
        </w:rPr>
      </w:pPr>
      <w:r>
        <w:rPr>
          <w:rFonts w:hint="eastAsia" w:ascii="仿宋" w:hAnsi="仿宋" w:eastAsia="仿宋"/>
          <w:sz w:val="32"/>
          <w:szCs w:val="32"/>
        </w:rPr>
        <w:t>2019年本部门安排“三公”经费 3万元。</w:t>
      </w:r>
    </w:p>
    <w:p>
      <w:pPr>
        <w:autoSpaceDE w:val="0"/>
        <w:autoSpaceDN w:val="0"/>
        <w:adjustRightInd w:val="0"/>
        <w:ind w:firstLine="640" w:firstLineChars="200"/>
        <w:jc w:val="left"/>
        <w:rPr>
          <w:rFonts w:ascii="仿宋" w:hAnsi="仿宋" w:eastAsia="仿宋"/>
          <w:sz w:val="32"/>
          <w:szCs w:val="32"/>
        </w:rPr>
      </w:pPr>
      <w:r>
        <w:rPr>
          <w:rFonts w:hint="eastAsia" w:ascii="仿宋" w:hAnsi="仿宋" w:eastAsia="仿宋"/>
          <w:sz w:val="32"/>
          <w:szCs w:val="32"/>
        </w:rPr>
        <w:t>其中：</w:t>
      </w:r>
    </w:p>
    <w:p>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1、因公出国（境）费0万元。与上年持平，无增减变化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2、公务用车购置0万元，运行维护费3万元，与上年持平，无增减变化。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3、公务接待费0万元.。与上年持平，无增减变化</w:t>
      </w:r>
    </w:p>
    <w:p>
      <w:pPr>
        <w:ind w:firstLine="640" w:firstLineChars="200"/>
        <w:outlineLvl w:val="0"/>
        <w:rPr>
          <w:rFonts w:hint="eastAsia" w:ascii="仿宋" w:hAnsi="仿宋" w:eastAsia="仿宋"/>
          <w:sz w:val="32"/>
          <w:szCs w:val="32"/>
        </w:rPr>
      </w:pPr>
      <w:r>
        <w:rPr>
          <w:rFonts w:hint="eastAsia" w:ascii="仿宋" w:hAnsi="仿宋" w:eastAsia="仿宋"/>
          <w:sz w:val="32"/>
          <w:szCs w:val="32"/>
        </w:rPr>
        <w:t>2019年本部门</w:t>
      </w:r>
      <w:r>
        <w:rPr>
          <w:rFonts w:hint="eastAsia" w:ascii="仿宋" w:hAnsi="仿宋" w:eastAsia="仿宋" w:cs="仿宋_GB2312"/>
          <w:sz w:val="32"/>
          <w:szCs w:val="32"/>
        </w:rPr>
        <w:t>三公经费与2018年持平，无增减变化。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spacing w:line="500" w:lineRule="exact"/>
        <w:ind w:firstLine="560"/>
        <w:rPr>
          <w:rFonts w:ascii="楷体" w:hAnsi="楷体" w:eastAsia="楷体" w:cs="仿宋_GB2312"/>
          <w:sz w:val="32"/>
          <w:szCs w:val="32"/>
        </w:rPr>
      </w:pPr>
      <w:r>
        <w:rPr>
          <w:rFonts w:hint="eastAsia" w:ascii="楷体" w:hAnsi="楷体" w:eastAsia="楷体" w:cs="仿宋_GB2312"/>
          <w:sz w:val="32"/>
          <w:szCs w:val="32"/>
        </w:rPr>
        <w:t>（一）总体绩效目标</w:t>
      </w:r>
    </w:p>
    <w:p>
      <w:pPr>
        <w:ind w:firstLine="561"/>
        <w:rPr>
          <w:rFonts w:ascii="仿宋" w:hAnsi="仿宋" w:eastAsia="仿宋" w:cs="仿宋_GB2312"/>
          <w:sz w:val="32"/>
          <w:szCs w:val="32"/>
        </w:rPr>
      </w:pPr>
      <w:r>
        <w:rPr>
          <w:rFonts w:hint="eastAsia" w:ascii="仿宋" w:hAnsi="仿宋" w:eastAsia="仿宋" w:cs="仿宋_GB2312"/>
          <w:sz w:val="32"/>
          <w:szCs w:val="32"/>
        </w:rPr>
        <w:t>1、围绕县委、县政府中心工作，继续在精办栏目上下功夫。一是抓住全县工作重点和群众关心关注的热点，不断规范、丰富、创新报道形式。二是全方位打造风格各异、定位准确的电视节（栏）目，形成《无极新闻》严谨认真、《今个说交通》栏目轻松活泼、专题节目包罗万象、社会节目服务性强的格局，力争在“2019年期间推出吸引更多观众参与的互动节目。</w:t>
      </w:r>
    </w:p>
    <w:p>
      <w:pPr>
        <w:ind w:firstLine="561"/>
        <w:rPr>
          <w:rFonts w:ascii="仿宋" w:hAnsi="仿宋" w:eastAsia="仿宋" w:cs="仿宋_GB2312"/>
          <w:sz w:val="32"/>
          <w:szCs w:val="32"/>
        </w:rPr>
      </w:pPr>
      <w:r>
        <w:rPr>
          <w:rFonts w:hint="eastAsia" w:ascii="仿宋" w:hAnsi="仿宋" w:eastAsia="仿宋" w:cs="仿宋_GB2312"/>
          <w:sz w:val="32"/>
          <w:szCs w:val="32"/>
        </w:rPr>
        <w:t>2、抓住无极经济社会发展的特点和亮点，在多投稿、多用稿的前提下多投好稿，多用优稿，多推出一些被社会关注的重头报道，着重在提高外宣用稿质量和宣传效果上下苦功夫，做大文章，有效提高媒体的传播力。</w:t>
      </w:r>
    </w:p>
    <w:p>
      <w:pPr>
        <w:ind w:firstLine="561"/>
        <w:rPr>
          <w:rFonts w:ascii="仿宋" w:hAnsi="仿宋" w:eastAsia="仿宋" w:cs="仿宋_GB2312"/>
          <w:sz w:val="32"/>
          <w:szCs w:val="32"/>
        </w:rPr>
      </w:pPr>
      <w:r>
        <w:rPr>
          <w:rFonts w:hint="eastAsia" w:ascii="仿宋" w:hAnsi="仿宋" w:eastAsia="仿宋" w:cs="仿宋_GB2312"/>
          <w:sz w:val="32"/>
          <w:szCs w:val="32"/>
        </w:rPr>
        <w:t>3、根据传统媒体和新媒体融合发展的总体要求，大力拓展无极广电新媒体运营平台，把微信《魅力无极》、无极广电网、无极县电视台手机客户端等新媒体打造成我台的新亮点，完善融媒体的前期准备工作。</w:t>
      </w:r>
    </w:p>
    <w:p>
      <w:pPr>
        <w:ind w:firstLine="561"/>
        <w:rPr>
          <w:rFonts w:ascii="仿宋" w:hAnsi="仿宋" w:eastAsia="仿宋" w:cs="仿宋_GB2312"/>
          <w:sz w:val="32"/>
          <w:szCs w:val="32"/>
        </w:rPr>
      </w:pPr>
      <w:r>
        <w:rPr>
          <w:rFonts w:hint="eastAsia" w:ascii="仿宋" w:hAnsi="仿宋" w:eastAsia="仿宋" w:cs="仿宋_GB2312"/>
          <w:sz w:val="32"/>
          <w:szCs w:val="32"/>
        </w:rPr>
        <w:t>4、完整传输中央、省、市、县广播电视节目及公益无线数字电视传输，保证安全播出。</w:t>
      </w:r>
    </w:p>
    <w:p>
      <w:pPr>
        <w:ind w:firstLine="561"/>
        <w:rPr>
          <w:rFonts w:ascii="仿宋" w:hAnsi="仿宋" w:eastAsia="仿宋" w:cs="仿宋_GB2312"/>
          <w:sz w:val="32"/>
          <w:szCs w:val="32"/>
        </w:rPr>
      </w:pPr>
      <w:r>
        <w:rPr>
          <w:rFonts w:hint="eastAsia" w:ascii="仿宋" w:hAnsi="仿宋" w:eastAsia="仿宋" w:cs="仿宋_GB2312"/>
          <w:sz w:val="32"/>
          <w:szCs w:val="32"/>
        </w:rPr>
        <w:t>5、做好《无极之声》刊物的采访、出版，使刊物成为我县一个衔接上下、交流沟通的平台，县委、政府和群众的桥梁，宣传党和国家政策的重要阵地。</w:t>
      </w:r>
    </w:p>
    <w:p>
      <w:pPr>
        <w:ind w:firstLine="561"/>
        <w:rPr>
          <w:rFonts w:ascii="仿宋" w:hAnsi="仿宋" w:eastAsia="仿宋" w:cs="仿宋_GB2312"/>
          <w:sz w:val="32"/>
          <w:szCs w:val="32"/>
        </w:rPr>
      </w:pPr>
      <w:r>
        <w:rPr>
          <w:rFonts w:hint="eastAsia" w:ascii="仿宋" w:hAnsi="仿宋" w:eastAsia="仿宋" w:cs="仿宋_GB2312"/>
          <w:sz w:val="32"/>
          <w:szCs w:val="32"/>
        </w:rPr>
        <w:t>6、按照相关规定做好公益广告的播出，按照广告法经营好各类广告业务。</w:t>
      </w:r>
    </w:p>
    <w:p>
      <w:pPr>
        <w:ind w:firstLine="561"/>
        <w:rPr>
          <w:rFonts w:ascii="仿宋" w:hAnsi="仿宋" w:eastAsia="仿宋" w:cs="仿宋_GB2312"/>
          <w:sz w:val="32"/>
          <w:szCs w:val="32"/>
        </w:rPr>
      </w:pPr>
      <w:r>
        <w:rPr>
          <w:rFonts w:hint="eastAsia" w:ascii="仿宋" w:hAnsi="仿宋" w:eastAsia="仿宋" w:cs="仿宋_GB2312"/>
          <w:sz w:val="32"/>
          <w:szCs w:val="32"/>
        </w:rPr>
        <w:t>7、坚持以安全播出为硬要求，严格播审制度。</w:t>
      </w:r>
    </w:p>
    <w:p>
      <w:pPr>
        <w:ind w:firstLine="561"/>
        <w:rPr>
          <w:rFonts w:ascii="仿宋" w:hAnsi="仿宋" w:eastAsia="仿宋" w:cs="楷体_GB2312"/>
          <w:sz w:val="32"/>
          <w:szCs w:val="32"/>
        </w:rPr>
      </w:pPr>
      <w:r>
        <w:rPr>
          <w:rFonts w:hint="eastAsia" w:ascii="仿宋" w:hAnsi="仿宋" w:eastAsia="仿宋" w:cs="仿宋_GB2312"/>
          <w:sz w:val="32"/>
          <w:szCs w:val="32"/>
        </w:rPr>
        <w:t>8、通过引进、培养、提高等方式，培养一支过硬的广播电视专业队伍。</w:t>
      </w:r>
    </w:p>
    <w:p>
      <w:pPr>
        <w:spacing w:line="500" w:lineRule="exact"/>
        <w:ind w:firstLine="560"/>
        <w:rPr>
          <w:rFonts w:ascii="楷体" w:hAnsi="楷体" w:eastAsia="楷体"/>
          <w:sz w:val="32"/>
          <w:szCs w:val="32"/>
        </w:rPr>
      </w:pPr>
      <w:r>
        <w:rPr>
          <w:rFonts w:hint="eastAsia" w:ascii="楷体" w:hAnsi="楷体" w:eastAsia="楷体"/>
          <w:sz w:val="32"/>
          <w:szCs w:val="32"/>
        </w:rPr>
        <w:t>（二）职责分类绩效目标</w:t>
      </w:r>
    </w:p>
    <w:p>
      <w:pPr>
        <w:spacing w:line="500" w:lineRule="exact"/>
        <w:ind w:firstLine="560"/>
        <w:rPr>
          <w:rFonts w:ascii="仿宋" w:hAnsi="仿宋" w:eastAsia="仿宋" w:cs="仿宋_GB2312"/>
          <w:sz w:val="32"/>
          <w:szCs w:val="32"/>
        </w:rPr>
      </w:pPr>
      <w:r>
        <w:rPr>
          <w:rFonts w:hint="eastAsia" w:ascii="仿宋" w:hAnsi="仿宋" w:eastAsia="仿宋" w:cs="仿宋_GB2312"/>
          <w:sz w:val="32"/>
          <w:szCs w:val="32"/>
        </w:rPr>
        <w:t>1、新闻出版广播影视事业建设：把握正确的舆论导向，充分发挥党和政府的喉舌作用，宣传贯彻执行党和国家的路线、方针政策；围绕县委、县政府的中心工作开展新闻宣传，狠抓节目质量和管理水平。以服务稳定、发展、和谐这一主旋律，为全县社会、经济发展和精神文明建设创造良好的舆论氛围，配合省市台采访报道工作。负责自办节目的策划、采制包装及编播管理。两个频道和电台要各自定位清晰，节目编排合理。保证保证节目不出纰漏。按照相关规定做好公益广告的播出，按照广告法经营好各类广告业务，保证业务经费的收支平衡。认真做好技术设备的维护、保证机器设备的正常运转，保证广播电视节目安全健康播出。整安全传输中央、省、市、县广播电视节目及公益无线数字电视，安全优质播出节目。</w:t>
      </w:r>
    </w:p>
    <w:p>
      <w:pPr>
        <w:spacing w:line="500" w:lineRule="exact"/>
        <w:ind w:firstLine="560"/>
        <w:rPr>
          <w:rFonts w:ascii="仿宋" w:hAnsi="仿宋" w:eastAsia="仿宋" w:cs="仿宋_GB2312"/>
          <w:sz w:val="32"/>
          <w:szCs w:val="32"/>
        </w:rPr>
      </w:pPr>
      <w:r>
        <w:rPr>
          <w:rFonts w:hint="eastAsia" w:ascii="仿宋" w:hAnsi="仿宋" w:eastAsia="仿宋" w:cs="仿宋_GB2312"/>
          <w:sz w:val="32"/>
          <w:szCs w:val="32"/>
        </w:rPr>
        <w:t>2、新闻出版广播影视产业建设：新媒体的运营增加了全县人民接受信息的渠道，满足社会多元化需求。加快广电网、“无极风”及手机客户端等网络新媒体平台的建设。</w:t>
      </w:r>
    </w:p>
    <w:p>
      <w:pPr>
        <w:spacing w:line="500" w:lineRule="exact"/>
        <w:ind w:firstLine="560"/>
        <w:rPr>
          <w:rFonts w:hint="eastAsia" w:ascii="仿宋" w:hAnsi="仿宋" w:eastAsia="仿宋" w:cs="仿宋_GB2312"/>
          <w:sz w:val="32"/>
          <w:szCs w:val="32"/>
        </w:rPr>
      </w:pPr>
      <w:r>
        <w:rPr>
          <w:rFonts w:hint="eastAsia" w:ascii="仿宋" w:hAnsi="仿宋" w:eastAsia="仿宋" w:cs="仿宋_GB2312"/>
          <w:sz w:val="32"/>
          <w:szCs w:val="32"/>
        </w:rPr>
        <w:t>3、政务管理：</w:t>
      </w:r>
      <w:r>
        <w:rPr>
          <w:rFonts w:ascii="Calibri" w:hAnsi="Calibri" w:eastAsia="仿宋" w:cs="Calibri"/>
          <w:sz w:val="32"/>
          <w:szCs w:val="32"/>
        </w:rPr>
        <w:t> </w:t>
      </w:r>
      <w:r>
        <w:rPr>
          <w:rFonts w:hint="eastAsia" w:ascii="仿宋" w:hAnsi="仿宋" w:eastAsia="仿宋" w:cs="仿宋_GB2312"/>
          <w:sz w:val="32"/>
          <w:szCs w:val="32"/>
        </w:rPr>
        <w:t>完成广播发射塔的搬迁工作，完善好各种配套基础设施的建设，提高节目覆盖面积。</w:t>
      </w:r>
    </w:p>
    <w:p>
      <w:pPr>
        <w:spacing w:line="500" w:lineRule="exact"/>
        <w:ind w:firstLine="560"/>
        <w:rPr>
          <w:rFonts w:ascii="仿宋" w:hAnsi="仿宋" w:eastAsia="仿宋" w:cs="仿宋_GB2312"/>
          <w:sz w:val="32"/>
          <w:szCs w:val="32"/>
        </w:rPr>
      </w:pPr>
      <w:r>
        <w:rPr>
          <w:rFonts w:hint="eastAsia" w:ascii="仿宋" w:hAnsi="仿宋" w:eastAsia="仿宋" w:cs="仿宋_GB2312"/>
          <w:sz w:val="32"/>
          <w:szCs w:val="32"/>
        </w:rPr>
        <w:t>为了实现其年度绩效目标，我台将激发全台采编播人员、干部职工的工作积极性，鼓励创先争优，推行更加科学的绩效考核，加强从事新闻工作人员、新媒体人员的业务培训。多组织相关人员到省、市等先进台学习考察，及时掌握栏目创新的新经验，拓展新媒体的发展途径。保障及时对各项新设备的更新，按照项目资金的要求加大技术和资金投入，保障安全播出。申请发射塔建设资金及附属基础设施配套资金</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jc w:val="center"/>
        <w:outlineLvl w:val="0"/>
        <w:rPr>
          <w:rFonts w:ascii="方正小标宋_GBK" w:eastAsia="方正小标宋_GBK"/>
          <w:sz w:val="32"/>
        </w:rPr>
      </w:pPr>
      <w:bookmarkStart w:id="0" w:name="_Toc510263859"/>
      <w:r>
        <w:rPr>
          <w:rFonts w:hint="eastAsia" w:ascii="方正小标宋_GBK" w:eastAsia="方正小标宋_GBK"/>
          <w:sz w:val="32"/>
        </w:rPr>
        <w:t>部门职责-工作活动绩效目标</w:t>
      </w:r>
      <w:bookmarkEnd w:id="0"/>
    </w:p>
    <w:tbl>
      <w:tblPr>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2341"/>
        <w:gridCol w:w="1276"/>
        <w:gridCol w:w="2976"/>
        <w:gridCol w:w="2976"/>
        <w:gridCol w:w="1417"/>
        <w:gridCol w:w="737"/>
        <w:gridCol w:w="737"/>
        <w:gridCol w:w="737"/>
        <w:gridCol w:w="737"/>
      </w:tblGrid>
      <w:tr>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广播电视台</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一、新闻出版广播影视事业建设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154.49</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做好各类广播电视节目制作、宣传、采访报道、传输发射实验以及影视剧、专题片等创作生产。建立广播电视安全播出保障体系，加强台站、安全播出管理。组织实施重大公益工程和公益活动。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宣传党的路线、方针、政策和县委、县政府的工作部署，坚持正确舆论导向，发挥主流媒体作用；办好各类广播电视节目；开展各类宣传工作；配合上级台完成我县的采访报道工作并提供各类节目；承担县委、县政府宣传片的创作生产、专题片等的创作生产。负责相关设备的正常运行和维护。</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、广播影视节目制作播出</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19</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坚持正确舆论导向，发挥主流媒体作用，加强内容形式以及方法手段创新，提高广播电视覆盖人口规模与数量，提升电台、电视台影响力。</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研发新节目，打造品牌活动；媒体识别度和影响力进一步提升，收听收看群体扩大；广告创收任务完成。</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开办新栏目、新节目数量（个）</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&lt;2</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对上报道录用率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ascii="方正书宋_GBK" w:eastAsia="方正书宋_GBK"/>
              </w:rPr>
            </w:pPr>
            <w:r>
              <w:rPr>
                <w:rFonts w:ascii="方正书宋_GBK" w:eastAsia="方正书宋_GBK"/>
              </w:rPr>
              <w:t>&lt;75%</w:t>
            </w:r>
          </w:p>
        </w:tc>
      </w:tr>
      <w:tr>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、广播影视节目制作能力建设</w:t>
            </w:r>
          </w:p>
        </w:tc>
        <w:tc>
          <w:tcPr>
            <w:tcW w:w="1276" w:type="dxa"/>
            <w:vMerge w:val="restart"/>
            <w:vAlign w:val="center"/>
          </w:tcPr>
          <w:p>
            <w:pPr>
              <w:spacing w:line="300" w:lineRule="exact"/>
              <w:jc w:val="left"/>
              <w:rPr>
                <w:rFonts w:ascii="方正书宋_GBK" w:eastAsia="方正书宋_GBK"/>
              </w:rPr>
            </w:pPr>
            <w:r>
              <w:rPr>
                <w:rFonts w:hint="eastAsia" w:ascii="方正书宋_GBK" w:eastAsia="方正书宋_GBK"/>
              </w:rPr>
              <w:t>87</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加强技术管理、技术升级改造及设备设施维护，开展新技术应用。向移动互联网跨越发展，打造智能生活服务类客户端，促进媒体融合。</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通过技术升级，实现县级台内容资源互通互享，提高节目制力和传播能力；拓展新媒体传播途径，开拓新型业务。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新媒体的融合度</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新媒体设备利用率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数字化设备更新率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、安全播出管理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48.49</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对广播电视节目传输、覆盖及网络和新媒体内容等的安全播出情况进行监管；对发射台的运行维护管理。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建立起完备的广播电视安全播出保障体系，私开、私设频率（频道）违法行为和非法音视频内容查处有力。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违规违法查处案件完成率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、公共服务工程推广</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根据省市下达的任务目标，完成全县广播电视直播卫星户户通工程、县城数字影院升级改造、农家书屋建设、全民阅读活动、老放映员生活补助。</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重大公益工程和公益活动推进扎实，新闻出版广播影视惠民政策成效显著。</w:t>
            </w:r>
          </w:p>
        </w:tc>
        <w:tc>
          <w:tcPr>
            <w:tcW w:w="1417" w:type="dxa"/>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户户通</w:t>
            </w:r>
            <w:r>
              <w:rPr>
                <w:rFonts w:hint="cs" w:ascii="方正书宋_GBK" w:eastAsia="方正书宋_GBK"/>
              </w:rPr>
              <w:t>”</w:t>
            </w:r>
            <w:r>
              <w:rPr>
                <w:rFonts w:hint="eastAsia" w:ascii="方正书宋_GBK" w:eastAsia="方正书宋_GBK"/>
              </w:rPr>
              <w:t>入户数</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二、新闻出版广播影视产业建设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统筹规划并组织实施新闻出版广播影视产业发展</w:t>
            </w:r>
            <w:r>
              <w:rPr>
                <w:rFonts w:ascii="方正书宋_GBK" w:eastAsia="方正书宋_GBK"/>
              </w:rPr>
              <w:t>,</w:t>
            </w:r>
            <w:r>
              <w:rPr>
                <w:rFonts w:hint="eastAsia" w:ascii="方正书宋_GBK" w:eastAsia="方正书宋_GBK"/>
              </w:rPr>
              <w:t>推进广电网与电信网、互联网三网融合</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统筹规划并组织实施新闻出版广播影视产业发展</w:t>
            </w:r>
            <w:r>
              <w:rPr>
                <w:rFonts w:ascii="方正书宋_GBK" w:eastAsia="方正书宋_GBK"/>
              </w:rPr>
              <w:t>,</w:t>
            </w:r>
            <w:r>
              <w:rPr>
                <w:rFonts w:hint="eastAsia" w:ascii="方正书宋_GBK" w:eastAsia="方正书宋_GBK"/>
              </w:rPr>
              <w:t>推进广电网与电信网、互联网三网融合</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、新闻出版广播影视产业发展</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指导、协调产业项目开展，推动</w:t>
            </w:r>
            <w:r>
              <w:rPr>
                <w:rFonts w:ascii="方正书宋_GBK" w:eastAsia="方正书宋_GBK"/>
              </w:rPr>
              <w:t>IPTV</w:t>
            </w:r>
            <w:r>
              <w:rPr>
                <w:rFonts w:hint="eastAsia" w:ascii="方正书宋_GBK" w:eastAsia="方正书宋_GBK"/>
              </w:rPr>
              <w:t>播控平台功能完善工作，监督、指导相关单位在全县全面推开</w:t>
            </w:r>
            <w:r>
              <w:rPr>
                <w:rFonts w:ascii="方正书宋_GBK" w:eastAsia="方正书宋_GBK"/>
              </w:rPr>
              <w:t>IPTV</w:t>
            </w:r>
            <w:r>
              <w:rPr>
                <w:rFonts w:hint="eastAsia" w:ascii="方正书宋_GBK" w:eastAsia="方正书宋_GBK"/>
              </w:rPr>
              <w:t>业务。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新闻出版广播影视产业不断发展壮大。</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发展</w:t>
            </w:r>
            <w:r>
              <w:rPr>
                <w:rFonts w:ascii="方正书宋_GBK" w:eastAsia="方正书宋_GBK"/>
              </w:rPr>
              <w:t>IPTV</w:t>
            </w:r>
            <w:r>
              <w:rPr>
                <w:rFonts w:hint="eastAsia" w:ascii="方正书宋_GBK" w:eastAsia="方正书宋_GBK"/>
              </w:rPr>
              <w:t>任务目标完成率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三、政务管理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42.23</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拟定新闻出版广播影视产业发展规划；新闻出版物、广播影视节目内容和质量监督管理；负责市场经营活动的监督管理工作</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拟定新闻出版广播影视产业发展规划；开展新闻出版影视行业监督管理；监督管理市场经营活动。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42.23</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开展的新闻出版广播电视研究、培训、后勤保障以及其他各项基础性保障工作。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 w:hAnsi="仿宋" w:eastAsia="仿宋"/>
          <w:sz w:val="30"/>
          <w:szCs w:val="30"/>
        </w:rPr>
      </w:pPr>
      <w:r>
        <w:rPr>
          <w:rFonts w:hint="eastAsia" w:ascii="仿宋" w:hAnsi="仿宋" w:eastAsia="仿宋"/>
          <w:sz w:val="30"/>
          <w:szCs w:val="30"/>
        </w:rPr>
        <w:t>201</w:t>
      </w:r>
      <w:r>
        <w:rPr>
          <w:rFonts w:ascii="仿宋" w:hAnsi="仿宋" w:eastAsia="仿宋"/>
          <w:sz w:val="30"/>
          <w:szCs w:val="30"/>
        </w:rPr>
        <w:t>9</w:t>
      </w:r>
      <w:r>
        <w:rPr>
          <w:rFonts w:hint="eastAsia" w:ascii="仿宋" w:hAnsi="仿宋" w:eastAsia="仿宋"/>
          <w:sz w:val="30"/>
          <w:szCs w:val="30"/>
        </w:rPr>
        <w:t>年我部门没有安排政府采购预算，政府采购预算金额0元。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无极县广播电视台上年末固定资产金额为</w:t>
      </w:r>
      <w:r>
        <w:rPr>
          <w:rFonts w:hint="eastAsia" w:ascii="仿宋" w:hAnsi="仿宋" w:eastAsia="仿宋" w:cs="宋体"/>
          <w:kern w:val="0"/>
          <w:sz w:val="32"/>
          <w:szCs w:val="32"/>
        </w:rPr>
        <w:t>2207.717247</w:t>
      </w:r>
      <w:r>
        <w:rPr>
          <w:rFonts w:hint="eastAsia" w:ascii="仿宋" w:hAnsi="仿宋" w:eastAsia="仿宋" w:cs="仿宋"/>
          <w:sz w:val="32"/>
          <w:szCs w:val="32"/>
        </w:rPr>
        <w:t>万元（详见下表）。本年度拟购置固定资产金额为</w:t>
      </w:r>
      <w:r>
        <w:rPr>
          <w:rFonts w:hint="eastAsia" w:ascii="仿宋" w:hAnsi="仿宋" w:eastAsia="仿宋" w:cs="仿宋"/>
          <w:sz w:val="32"/>
          <w:szCs w:val="32"/>
          <w:lang w:val="en-US" w:eastAsia="zh-CN"/>
        </w:rPr>
        <w:t>0</w:t>
      </w:r>
      <w:bookmarkStart w:id="1" w:name="_GoBack"/>
      <w:bookmarkEnd w:id="1"/>
      <w:r>
        <w:rPr>
          <w:rFonts w:hint="eastAsia" w:ascii="仿宋" w:hAnsi="仿宋" w:eastAsia="仿宋" w:cs="仿宋"/>
          <w:sz w:val="32"/>
          <w:szCs w:val="32"/>
        </w:rPr>
        <w:t>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无极县广播电视台固定资产占用情况表</w:t>
      </w:r>
    </w:p>
    <w:tbl>
      <w:tblPr>
        <w:tblW w:w="141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
      <w:tblGrid>
        <w:gridCol w:w="6735"/>
        <w:gridCol w:w="3009"/>
        <w:gridCol w:w="4396"/>
      </w:tblGrid>
      <w:tr>
        <w:trPr>
          <w:trHeight w:val="576" w:hRule="atLeast"/>
        </w:trPr>
        <w:tc>
          <w:tcPr>
            <w:tcW w:w="9744" w:type="dxa"/>
            <w:gridSpan w:val="2"/>
            <w:tcBorders>
              <w:top w:val="nil"/>
              <w:left w:val="nil"/>
              <w:bottom w:val="nil"/>
              <w:right w:val="nil"/>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编制部门：无极县广播电视台</w:t>
            </w:r>
          </w:p>
        </w:tc>
        <w:tc>
          <w:tcPr>
            <w:tcW w:w="4396" w:type="dxa"/>
            <w:tcBorders>
              <w:top w:val="nil"/>
              <w:left w:val="nil"/>
              <w:bottom w:val="nil"/>
              <w:right w:val="nil"/>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 xml:space="preserve">截止时间：2018年12月31日  </w:t>
            </w:r>
          </w:p>
        </w:tc>
      </w:tr>
      <w:tr>
        <w:trPr>
          <w:trHeight w:val="728" w:hRule="atLeast"/>
        </w:trPr>
        <w:tc>
          <w:tcPr>
            <w:tcW w:w="673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项   目</w:t>
            </w:r>
          </w:p>
        </w:tc>
        <w:tc>
          <w:tcPr>
            <w:tcW w:w="3009"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数量</w:t>
            </w:r>
          </w:p>
        </w:tc>
        <w:tc>
          <w:tcPr>
            <w:tcW w:w="4396"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bCs/>
                <w:kern w:val="0"/>
                <w:sz w:val="32"/>
                <w:szCs w:val="32"/>
              </w:rPr>
            </w:pPr>
            <w:r>
              <w:rPr>
                <w:rFonts w:hint="eastAsia" w:ascii="仿宋_GB2312" w:hAnsi="仿宋" w:eastAsia="仿宋_GB2312" w:cs="宋体"/>
                <w:b/>
                <w:bCs/>
                <w:kern w:val="0"/>
                <w:sz w:val="32"/>
                <w:szCs w:val="32"/>
              </w:rPr>
              <w:t>价值（金额单位：万元）</w:t>
            </w:r>
          </w:p>
        </w:tc>
      </w:tr>
      <w:tr>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资产总额</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2207.717247</w:t>
            </w:r>
          </w:p>
        </w:tc>
      </w:tr>
      <w:tr>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1、房屋（平方米）</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2000</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257.02379</w:t>
            </w:r>
          </w:p>
        </w:tc>
      </w:tr>
      <w:tr>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 xml:space="preserve">  其中：办公用房（平方米）</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2000</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257.02379</w:t>
            </w:r>
          </w:p>
        </w:tc>
      </w:tr>
      <w:tr>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2、车辆（台、辆）</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1</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16.47</w:t>
            </w:r>
          </w:p>
        </w:tc>
      </w:tr>
      <w:tr>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3、单价在50万元以上设备</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65</w:t>
            </w:r>
          </w:p>
        </w:tc>
      </w:tr>
      <w:tr>
        <w:trPr>
          <w:trHeight w:val="728" w:hRule="atLeast"/>
        </w:trPr>
        <w:tc>
          <w:tcPr>
            <w:tcW w:w="6735" w:type="dxa"/>
            <w:tcBorders>
              <w:top w:val="nil"/>
              <w:left w:val="single" w:color="auto" w:sz="4" w:space="0"/>
              <w:bottom w:val="single" w:color="auto" w:sz="4" w:space="0"/>
              <w:right w:val="single" w:color="auto" w:sz="4" w:space="0"/>
            </w:tcBorders>
            <w:vAlign w:val="center"/>
          </w:tcPr>
          <w:p>
            <w:pPr>
              <w:widowControl/>
              <w:jc w:val="left"/>
              <w:rPr>
                <w:rFonts w:ascii="仿宋_GB2312" w:hAnsi="仿宋" w:eastAsia="仿宋_GB2312" w:cs="宋体"/>
                <w:kern w:val="0"/>
                <w:sz w:val="32"/>
                <w:szCs w:val="32"/>
              </w:rPr>
            </w:pPr>
            <w:r>
              <w:rPr>
                <w:rFonts w:hint="eastAsia" w:ascii="仿宋_GB2312" w:hAnsi="仿宋" w:eastAsia="仿宋_GB2312" w:cs="宋体"/>
                <w:kern w:val="0"/>
                <w:sz w:val="32"/>
                <w:szCs w:val="32"/>
              </w:rPr>
              <w:t>4、其他固定资产</w:t>
            </w:r>
          </w:p>
        </w:tc>
        <w:tc>
          <w:tcPr>
            <w:tcW w:w="300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w:t>
            </w:r>
          </w:p>
        </w:tc>
        <w:tc>
          <w:tcPr>
            <w:tcW w:w="4396"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kern w:val="0"/>
                <w:sz w:val="32"/>
                <w:szCs w:val="32"/>
              </w:rPr>
            </w:pPr>
            <w:r>
              <w:rPr>
                <w:rFonts w:hint="eastAsia" w:ascii="仿宋_GB2312" w:hAnsi="仿宋" w:eastAsia="仿宋_GB2312" w:cs="宋体"/>
                <w:kern w:val="0"/>
                <w:sz w:val="32"/>
                <w:szCs w:val="32"/>
              </w:rPr>
              <w:t>1869.223457</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楷体" w:hAnsi="楷体" w:eastAsia="楷体"/>
          <w:b/>
          <w:sz w:val="32"/>
          <w:szCs w:val="32"/>
        </w:rPr>
      </w:pPr>
      <w:r>
        <w:rPr>
          <w:rFonts w:hint="eastAsia" w:ascii="楷体" w:hAnsi="楷体" w:eastAsia="楷体"/>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楷体" w:hAnsi="楷体" w:eastAsia="楷体"/>
          <w:b/>
          <w:sz w:val="32"/>
          <w:szCs w:val="32"/>
        </w:rPr>
      </w:pPr>
      <w:r>
        <w:rPr>
          <w:rFonts w:hint="eastAsia" w:ascii="楷体" w:hAnsi="楷体" w:eastAsia="楷体"/>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楷体" w:hAnsi="楷体" w:eastAsia="楷体"/>
          <w:b/>
          <w:sz w:val="32"/>
          <w:szCs w:val="32"/>
        </w:rPr>
      </w:pPr>
      <w:r>
        <w:rPr>
          <w:rFonts w:hint="eastAsia" w:ascii="楷体" w:hAnsi="楷体" w:eastAsia="楷体"/>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楷体" w:hAnsi="楷体" w:eastAsia="楷体"/>
          <w:b/>
          <w:sz w:val="32"/>
          <w:szCs w:val="32"/>
        </w:rPr>
      </w:pPr>
      <w:r>
        <w:rPr>
          <w:rFonts w:hint="eastAsia" w:ascii="楷体" w:hAnsi="楷体" w:eastAsia="楷体"/>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楷体" w:hAnsi="楷体" w:eastAsia="楷体"/>
          <w:b/>
          <w:sz w:val="32"/>
          <w:szCs w:val="32"/>
        </w:rPr>
      </w:pPr>
      <w:r>
        <w:rPr>
          <w:rFonts w:hint="eastAsia" w:ascii="楷体" w:hAnsi="楷体" w:eastAsia="楷体"/>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楷体" w:hAnsi="楷体" w:eastAsia="楷体"/>
          <w:b/>
          <w:sz w:val="32"/>
          <w:szCs w:val="32"/>
        </w:rPr>
      </w:pPr>
      <w:r>
        <w:rPr>
          <w:rFonts w:hint="eastAsia" w:ascii="楷体" w:hAnsi="楷体" w:eastAsia="楷体"/>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楷体" w:hAnsi="楷体" w:eastAsia="楷体"/>
          <w:b/>
          <w:sz w:val="32"/>
          <w:szCs w:val="32"/>
        </w:rPr>
      </w:pPr>
      <w:r>
        <w:rPr>
          <w:rFonts w:hint="eastAsia" w:ascii="楷体" w:hAnsi="楷体" w:eastAsia="楷体"/>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800" w:right="1440" w:bottom="1800" w:left="1440" w:header="851" w:footer="992" w:gutter="0"/>
      <w:cols w:space="425"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altName w:val="黑体"/>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altName w:val="仿宋_GB2312"/>
    <w:panose1 w:val="02010609060101010101"/>
    <w:charset w:val="86"/>
    <w:family w:val="auto"/>
    <w:pitch w:val="default"/>
    <w:sig w:usb0="800002BF" w:usb1="38CF7CFA" w:usb2="00000016" w:usb3="00000000" w:csb0="00040001" w:csb1="00000000"/>
  </w:font>
  <w:font w:name="楷体">
    <w:altName w:val="楷体_GB2312"/>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Calibri">
    <w:altName w:val="Arial Rounded MT Bold"/>
    <w:panose1 w:val="020F0502020204030204"/>
    <w:charset w:val="00"/>
    <w:family w:val="auto"/>
    <w:pitch w:val="default"/>
    <w:sig w:usb0="E0002AFF" w:usb1="C000247B" w:usb2="00000009" w:usb3="00000000" w:csb0="000001FF" w:csb1="00000000"/>
  </w:font>
  <w:font w:name="方正小标宋_GBK">
    <w:altName w:val="宋体"/>
    <w:panose1 w:val="00000000000000000000"/>
    <w:charset w:val="86"/>
    <w:family w:val="auto"/>
    <w:pitch w:val="default"/>
    <w:sig w:usb0="00000000" w:usb1="080E0000" w:usb2="00000010" w:usb3="00000000" w:csb0="00040000" w:csb1="00000000"/>
  </w:font>
  <w:font w:name="方正书宋_GBK">
    <w:altName w:val="宋体"/>
    <w:panose1 w:val="00000000000000000000"/>
    <w:charset w:val="86"/>
    <w:family w:val="auto"/>
    <w:pitch w:val="default"/>
    <w:sig w:usb0="00000000" w:usb1="00000000" w:usb2="00000000" w:usb3="00000000" w:csb0="00040001" w:csb1="00000000"/>
  </w:font>
  <w:font w:name="Cambria">
    <w:altName w:val="Palatino Linotype"/>
    <w:panose1 w:val="02040503050406030204"/>
    <w:charset w:val="00"/>
    <w:family w:val="auto"/>
    <w:pitch w:val="default"/>
    <w:sig w:usb0="E00006FF" w:usb1="420024FF" w:usb2="02000000" w:usb3="00000000" w:csb0="0000019F" w:csb1="00000000"/>
  </w:font>
  <w:font w:name="Arial Rounded MT Bold">
    <w:panose1 w:val="020F0704030504030204"/>
    <w:charset w:val="00"/>
    <w:family w:val="auto"/>
    <w:pitch w:val="default"/>
    <w:sig w:usb0="00000003" w:usb1="00000000" w:usb2="00000000" w:usb3="00000000" w:csb0="20000001" w:csb1="00000000"/>
  </w:font>
  <w:font w:name="Palatino Linotype">
    <w:panose1 w:val="02040502050505030304"/>
    <w:charset w:val="00"/>
    <w:family w:val="auto"/>
    <w:pitch w:val="default"/>
    <w:sig w:usb0="E0000387" w:usb1="40000013"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5">
    <w:nsid w:val="00000005"/>
    <w:multiLevelType w:val="multilevel"/>
    <w:tmpl w:val="00000005"/>
    <w:lvl w:ilvl="0" w:tentative="1">
      <w:start w:val="1"/>
      <w:numFmt w:val="japaneseCounting"/>
      <w:lvlText w:val="（%1）"/>
      <w:lvlJc w:val="left"/>
      <w:pPr>
        <w:ind w:left="1647" w:hanging="1080"/>
      </w:pPr>
      <w:rPr>
        <w:rFonts w:hint="default"/>
      </w:rPr>
    </w:lvl>
    <w:lvl w:ilvl="1" w:tentative="1">
      <w:start w:val="1"/>
      <w:numFmt w:val="lowerLetter"/>
      <w:lvlText w:val="%2)"/>
      <w:lvlJc w:val="left"/>
      <w:pPr>
        <w:ind w:left="1440" w:hanging="420"/>
      </w:pPr>
    </w:lvl>
    <w:lvl w:ilvl="2" w:tentative="1">
      <w:start w:val="1"/>
      <w:numFmt w:val="lowerRoman"/>
      <w:lvlText w:val="%3."/>
      <w:lvlJc w:val="right"/>
      <w:pPr>
        <w:ind w:left="1860" w:hanging="420"/>
      </w:pPr>
    </w:lvl>
    <w:lvl w:ilvl="3" w:tentative="1">
      <w:start w:val="1"/>
      <w:numFmt w:val="decimal"/>
      <w:lvlText w:val="%4."/>
      <w:lvlJc w:val="left"/>
      <w:pPr>
        <w:ind w:left="2280" w:hanging="420"/>
      </w:pPr>
    </w:lvl>
    <w:lvl w:ilvl="4" w:tentative="1">
      <w:start w:val="1"/>
      <w:numFmt w:val="lowerLetter"/>
      <w:lvlText w:val="%5)"/>
      <w:lvlJc w:val="left"/>
      <w:pPr>
        <w:ind w:left="2700" w:hanging="420"/>
      </w:pPr>
    </w:lvl>
    <w:lvl w:ilvl="5" w:tentative="1">
      <w:start w:val="1"/>
      <w:numFmt w:val="lowerRoman"/>
      <w:lvlText w:val="%6."/>
      <w:lvlJc w:val="right"/>
      <w:pPr>
        <w:ind w:left="3120" w:hanging="420"/>
      </w:pPr>
    </w:lvl>
    <w:lvl w:ilvl="6" w:tentative="1">
      <w:start w:val="1"/>
      <w:numFmt w:val="decimal"/>
      <w:lvlText w:val="%7."/>
      <w:lvlJc w:val="left"/>
      <w:pPr>
        <w:ind w:left="3540" w:hanging="420"/>
      </w:pPr>
    </w:lvl>
    <w:lvl w:ilvl="7" w:tentative="1">
      <w:start w:val="1"/>
      <w:numFmt w:val="lowerLetter"/>
      <w:lvlText w:val="%8)"/>
      <w:lvlJc w:val="left"/>
      <w:pPr>
        <w:ind w:left="3960" w:hanging="420"/>
      </w:pPr>
    </w:lvl>
    <w:lvl w:ilvl="8" w:tentative="1">
      <w:start w:val="1"/>
      <w:numFmt w:val="lowerRoman"/>
      <w:lvlText w:val="%9."/>
      <w:lvlJc w:val="right"/>
      <w:pPr>
        <w:ind w:left="4380" w:hanging="420"/>
      </w:pPr>
    </w:lvl>
  </w:abstractNum>
  <w:num w:numId="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tyle>
  <w:style w:type="paragraph" w:styleId="2">
    <w:name w:val="footer"/>
    <w:basedOn w:val="1"/>
    <w:link w:val="7"/>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6"/>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customStyle="1" w:styleId="5">
    <w:name w:val="List Paragraph"/>
    <w:basedOn w:val="1"/>
    <w:pPr>
      <w:ind w:firstLine="420" w:firstLineChars="200"/>
    </w:pPr>
  </w:style>
  <w:style w:type="character" w:customStyle="1" w:styleId="6">
    <w:name w:val="页眉 字符"/>
    <w:basedOn w:val="4"/>
    <w:link w:val="3"/>
    <w:semiHidden/>
    <w:rPr>
      <w:rFonts w:ascii="Times New Roman" w:hAnsi="Times New Roman" w:eastAsia="宋体" w:cs="Times New Roman"/>
      <w:sz w:val="18"/>
      <w:szCs w:val="18"/>
    </w:rPr>
  </w:style>
  <w:style w:type="character" w:customStyle="1" w:styleId="7">
    <w:name w:val="页脚 字符"/>
    <w:basedOn w:val="4"/>
    <w:link w:val="2"/>
    <w:semiHidden/>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13</Pages>
  <Words>707</Words>
  <Characters>4032</Characters>
  <Lines>33</Lines>
  <Paragraphs>9</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dcterms:modified xsi:type="dcterms:W3CDTF">2019-12-30T17:23:14Z</dcterms:modified>
  <dc:title>谷 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