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jc w:val="center"/>
        <w:rPr>
          <w:rFonts w:ascii="宋体" w:hAnsi="宋体" w:cs="宋体"/>
          <w:b/>
          <w:bCs/>
          <w:sz w:val="44"/>
          <w:szCs w:val="44"/>
        </w:rPr>
      </w:pPr>
    </w:p>
    <w:p>
      <w:pPr>
        <w:jc w:val="center"/>
        <w:rPr>
          <w:rFonts w:ascii="宋体" w:hAnsi="宋体" w:cs="宋体"/>
          <w:b/>
          <w:bCs/>
          <w:sz w:val="44"/>
          <w:szCs w:val="44"/>
        </w:rPr>
      </w:pPr>
      <w:r>
        <w:rPr>
          <w:rFonts w:hint="eastAsia" w:ascii="宋体" w:hAnsi="宋体" w:cs="宋体"/>
          <w:b/>
          <w:bCs/>
          <w:sz w:val="44"/>
          <w:szCs w:val="44"/>
        </w:rPr>
        <w:t>无极县卫生健康局</w:t>
      </w:r>
    </w:p>
    <w:p>
      <w:pPr>
        <w:jc w:val="center"/>
        <w:rPr>
          <w:rFonts w:ascii="宋体" w:hAnsi="宋体" w:cs="宋体"/>
          <w:b/>
          <w:bCs/>
          <w:sz w:val="44"/>
          <w:szCs w:val="44"/>
        </w:rPr>
      </w:pPr>
      <w:r>
        <w:rPr>
          <w:rFonts w:hint="eastAsia" w:ascii="宋体" w:hAnsi="宋体" w:cs="宋体"/>
          <w:b/>
          <w:bCs/>
          <w:sz w:val="44"/>
          <w:szCs w:val="44"/>
        </w:rPr>
        <w:t>2019年部门预算信息公开说明目录</w:t>
      </w:r>
    </w:p>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
    <w:p/>
    <w:p/>
    <w:p/>
    <w:p>
      <w:pPr>
        <w:ind w:firstLine="640" w:firstLineChars="200"/>
        <w:rPr>
          <w:rFonts w:ascii="仿宋" w:hAnsi="仿宋" w:eastAsia="仿宋" w:cs="仿宋"/>
          <w:sz w:val="32"/>
          <w:szCs w:val="32"/>
        </w:rPr>
      </w:pPr>
      <w:r>
        <w:rPr>
          <w:rFonts w:hint="eastAsia" w:ascii="仿宋" w:hAnsi="仿宋" w:eastAsia="仿宋" w:cs="仿宋"/>
          <w:sz w:val="32"/>
          <w:szCs w:val="32"/>
        </w:rPr>
        <w:t>按照《预算法》、《地方预决算公开操作规程》和《河北省省级预算公开办法》规定，现将无极县卫生健康局2019年部门预算公开如下：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560"/>
        <w:rPr>
          <w:rFonts w:ascii="仿宋" w:hAnsi="仿宋" w:eastAsia="仿宋" w:cs="仿宋_GB2312"/>
          <w:sz w:val="32"/>
          <w:szCs w:val="32"/>
        </w:rPr>
      </w:pPr>
      <w:r>
        <w:rPr>
          <w:rFonts w:hint="eastAsia" w:ascii="仿宋" w:hAnsi="仿宋" w:eastAsia="仿宋" w:cs="仿宋_GB2312"/>
          <w:sz w:val="32"/>
          <w:szCs w:val="32"/>
        </w:rPr>
        <w:t>1、贯彻执行党和国家卫生和计划生育方针、政策、法律、法规，严格执行《人口和计划生育》和《河北省人口和计划生育条例》，推进医药卫生体制改革，拟定有关卫生工作的地方规章、技术标准和技术规范，并监督实施。</w:t>
      </w:r>
    </w:p>
    <w:p>
      <w:pPr>
        <w:ind w:firstLine="560"/>
        <w:rPr>
          <w:rFonts w:ascii="仿宋" w:hAnsi="仿宋" w:eastAsia="仿宋" w:cs="仿宋_GB2312"/>
          <w:sz w:val="32"/>
          <w:szCs w:val="32"/>
        </w:rPr>
      </w:pPr>
      <w:r>
        <w:rPr>
          <w:rFonts w:hint="eastAsia" w:ascii="仿宋" w:hAnsi="仿宋" w:eastAsia="仿宋" w:cs="仿宋_GB2312"/>
          <w:sz w:val="32"/>
          <w:szCs w:val="32"/>
        </w:rPr>
        <w:t>2、拟定全县卫生事业发展规划，会同有关部门编制全县人口发展的中长期规划；负责全县医疗机构的设置规划及监督管理以及负责实行人口和计划生育有限目标管理责任制和考核工作；依法查处各种非法医疗活动，合理配置卫生资源；</w:t>
      </w:r>
    </w:p>
    <w:p>
      <w:pPr>
        <w:ind w:firstLine="560"/>
        <w:rPr>
          <w:rFonts w:ascii="仿宋" w:hAnsi="仿宋" w:eastAsia="仿宋" w:cs="仿宋_GB2312"/>
          <w:sz w:val="32"/>
          <w:szCs w:val="32"/>
        </w:rPr>
      </w:pPr>
      <w:r>
        <w:rPr>
          <w:rFonts w:hint="eastAsia" w:ascii="仿宋" w:hAnsi="仿宋" w:eastAsia="仿宋" w:cs="仿宋_GB2312"/>
          <w:sz w:val="32"/>
          <w:szCs w:val="32"/>
        </w:rPr>
        <w:t>3、负责对全县范围内传染病的预防、控制和疫情检测进行监督管理，依法查处各种违法行为。负责全县儿童计划免疫工作；负责全县地方病防治工作。负责组织实施国家基本药物制度相关工作。负责组织实施国家基本药物制度相关工作。负责全县计划生育技术服务管理，知道各乡镇计生技术工作，做好全县范围内避孕药具和节育器械供应、发放、管理，做好优生优育工作。负责全县计划生育基层基础建设，规划实施对县、乡、村、组计划生育干部培训工作。</w:t>
      </w:r>
    </w:p>
    <w:p>
      <w:pPr>
        <w:ind w:firstLine="560"/>
        <w:rPr>
          <w:rFonts w:ascii="仿宋" w:hAnsi="仿宋" w:eastAsia="仿宋" w:cs="仿宋_GB2312"/>
          <w:sz w:val="32"/>
          <w:szCs w:val="32"/>
        </w:rPr>
      </w:pPr>
      <w:r>
        <w:rPr>
          <w:rFonts w:hint="eastAsia" w:ascii="仿宋" w:hAnsi="仿宋" w:eastAsia="仿宋" w:cs="仿宋_GB2312"/>
          <w:sz w:val="32"/>
          <w:szCs w:val="32"/>
        </w:rPr>
        <w:t>4、督促各乡镇落实计划生育经费投入并检查使用情况，监督计划生育财务及社会抚养费的征管工作。调查研究全县人口和计划生育工作情况，总结推广经验，检查和指导各乡镇及县直各部门的人口与计划生育工作，及时向县委、县政府反映情况，提出建议和意见。协同县直有关部门齐抓共管，保证人口和计划生育工作实施综合治理，共同推动人口和计划生育各工作的开展，承办县人口和计划生育领导小组的日常工作，指导有关人口和计划生育社会团体工作。</w:t>
      </w:r>
    </w:p>
    <w:p>
      <w:pPr>
        <w:ind w:firstLine="560"/>
        <w:rPr>
          <w:rFonts w:ascii="仿宋" w:hAnsi="仿宋" w:eastAsia="仿宋" w:cs="仿宋_GB2312"/>
          <w:sz w:val="32"/>
          <w:szCs w:val="32"/>
        </w:rPr>
      </w:pPr>
      <w:r>
        <w:rPr>
          <w:rFonts w:hint="eastAsia" w:ascii="仿宋" w:hAnsi="仿宋" w:eastAsia="仿宋" w:cs="仿宋_GB2312"/>
          <w:sz w:val="32"/>
          <w:szCs w:val="32"/>
        </w:rPr>
        <w:t>5、受理群众来访来信，调查违反计划生育法律、法规的各种案件，并提出处理意见和建议。</w:t>
      </w:r>
    </w:p>
    <w:p>
      <w:pPr>
        <w:ind w:firstLine="560"/>
        <w:rPr>
          <w:rFonts w:ascii="仿宋" w:hAnsi="仿宋" w:eastAsia="仿宋" w:cs="仿宋_GB2312"/>
          <w:sz w:val="32"/>
          <w:szCs w:val="32"/>
        </w:rPr>
      </w:pPr>
      <w:r>
        <w:rPr>
          <w:rFonts w:hint="eastAsia" w:ascii="仿宋" w:hAnsi="仿宋" w:eastAsia="仿宋" w:cs="仿宋_GB2312"/>
          <w:sz w:val="32"/>
          <w:szCs w:val="32"/>
        </w:rPr>
        <w:t>6、组织开展人口与计划生育的宣传教育工作，创建新型生育文化，大力开展关注女性生殖健康、关爱女孩行动，认真做好出生人口性别比治理工作。</w:t>
      </w:r>
    </w:p>
    <w:p>
      <w:pPr>
        <w:ind w:firstLine="560"/>
        <w:rPr>
          <w:rFonts w:ascii="仿宋" w:hAnsi="仿宋" w:eastAsia="仿宋" w:cs="仿宋_GB2312"/>
          <w:sz w:val="32"/>
          <w:szCs w:val="32"/>
        </w:rPr>
      </w:pPr>
      <w:r>
        <w:rPr>
          <w:rFonts w:hint="eastAsia" w:ascii="仿宋" w:hAnsi="仿宋" w:eastAsia="仿宋" w:cs="仿宋_GB2312"/>
          <w:sz w:val="32"/>
          <w:szCs w:val="32"/>
        </w:rPr>
        <w:t>7、承担食品安全综合协调，组织查处食品重大事故的职责。指导和监督同级食品药品管理部门的业务工作按职责分工，负责职业卫生、放射卫生、环境卫生、和学校卫生的监督管理。组织开展母婴保健工作，依法监督全县的母婴保健，查处各种违法行为。</w:t>
      </w:r>
    </w:p>
    <w:p>
      <w:pPr>
        <w:ind w:firstLine="560"/>
        <w:rPr>
          <w:rFonts w:ascii="仿宋" w:hAnsi="仿宋" w:eastAsia="仿宋" w:cs="仿宋_GB2312"/>
          <w:sz w:val="32"/>
          <w:szCs w:val="32"/>
        </w:rPr>
      </w:pPr>
      <w:r>
        <w:rPr>
          <w:rFonts w:hint="eastAsia" w:ascii="仿宋" w:hAnsi="仿宋" w:eastAsia="仿宋" w:cs="仿宋_GB2312"/>
          <w:sz w:val="32"/>
          <w:szCs w:val="32"/>
        </w:rPr>
        <w:t>8、积极组织对自然灾害和突发事件中的伤病人员及受害者进行救助；开展卫生救护和防病知识的宣传普及工作；参与输血献血活动，推动无偿献血；接受和处理各种救助物资的款项。承担县爱国卫生动员会的具体工作。</w:t>
      </w:r>
    </w:p>
    <w:p>
      <w:pPr>
        <w:ind w:firstLine="560"/>
        <w:rPr>
          <w:rFonts w:ascii="仿宋" w:hAnsi="仿宋" w:eastAsia="仿宋" w:cs="仿宋_GB2312"/>
          <w:sz w:val="32"/>
          <w:szCs w:val="32"/>
        </w:rPr>
      </w:pPr>
      <w:r>
        <w:rPr>
          <w:rFonts w:hint="eastAsia" w:ascii="仿宋" w:hAnsi="仿宋" w:eastAsia="仿宋" w:cs="仿宋_GB2312"/>
          <w:sz w:val="32"/>
          <w:szCs w:val="32"/>
        </w:rPr>
        <w:t>9、在县初级卫生保健委员会的领导下，组织、实施、协调、检查、评价全县的初级卫生保健工作及农村卫生组织的建设工作。</w:t>
      </w:r>
    </w:p>
    <w:p>
      <w:pPr>
        <w:ind w:firstLine="560"/>
        <w:rPr>
          <w:rFonts w:ascii="仿宋" w:hAnsi="仿宋" w:eastAsia="仿宋" w:cs="仿宋_GB2312"/>
          <w:sz w:val="32"/>
          <w:szCs w:val="32"/>
        </w:rPr>
      </w:pPr>
      <w:r>
        <w:rPr>
          <w:rFonts w:hint="eastAsia" w:ascii="仿宋" w:hAnsi="仿宋" w:eastAsia="仿宋" w:cs="仿宋_GB2312"/>
          <w:sz w:val="32"/>
          <w:szCs w:val="32"/>
        </w:rPr>
        <w:t>10、拟定实施全县卫生人才发展规划，组织指导卫生人才队伍建设工作。</w:t>
      </w:r>
    </w:p>
    <w:p>
      <w:pPr>
        <w:ind w:firstLine="560"/>
        <w:rPr>
          <w:rFonts w:ascii="仿宋" w:hAnsi="仿宋" w:eastAsia="仿宋" w:cs="仿宋_GB2312"/>
          <w:sz w:val="32"/>
          <w:szCs w:val="32"/>
        </w:rPr>
      </w:pPr>
      <w:r>
        <w:rPr>
          <w:rFonts w:hint="eastAsia" w:ascii="仿宋" w:hAnsi="仿宋" w:eastAsia="仿宋" w:cs="仿宋_GB2312"/>
          <w:sz w:val="32"/>
          <w:szCs w:val="32"/>
        </w:rPr>
        <w:t>11、完成县委、县政府交办的其他工作。</w:t>
      </w:r>
    </w:p>
    <w:p>
      <w:pPr>
        <w:ind w:firstLine="560"/>
        <w:rPr>
          <w:rFonts w:ascii="仿宋" w:hAnsi="仿宋" w:eastAsia="仿宋" w:cs="仿宋_GB2312"/>
          <w:sz w:val="32"/>
          <w:szCs w:val="32"/>
        </w:rPr>
      </w:pPr>
      <w:r>
        <w:rPr>
          <w:rFonts w:hint="eastAsia" w:ascii="仿宋" w:hAnsi="仿宋" w:eastAsia="仿宋" w:cs="仿宋_GB2312"/>
          <w:sz w:val="32"/>
          <w:szCs w:val="32"/>
        </w:rPr>
        <w:t>贯彻执行党和国家卫生和计划生育方针、政策、法律、法规，严格执行《人口和计划生育》和《河北省人口和计划生育条例》，推进医药卫生体制改革，拟定有关卫生工作的地方规章、技术标准和技术规范，并监督实施。</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outlineLvl w:val="0"/>
        <w:rPr>
          <w:rFonts w:ascii="方正小标宋_GBK" w:eastAsia="方正小标宋_GBK"/>
          <w:b/>
          <w:sz w:val="32"/>
        </w:rPr>
      </w:pPr>
      <w:r>
        <w:rPr>
          <w:rFonts w:hint="eastAsia" w:ascii="方正小标宋_GBK" w:eastAsia="方正小标宋_GBK"/>
          <w:b/>
          <w:sz w:val="32"/>
        </w:rPr>
        <w:t>部门机构设置情况</w:t>
      </w:r>
    </w:p>
    <w:tbl>
      <w:tblPr>
        <w:tblW w:w="142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3827"/>
        <w:gridCol w:w="1134"/>
        <w:gridCol w:w="1276"/>
        <w:gridCol w:w="2353"/>
        <w:gridCol w:w="709"/>
        <w:gridCol w:w="709"/>
        <w:gridCol w:w="709"/>
        <w:gridCol w:w="709"/>
        <w:gridCol w:w="709"/>
        <w:gridCol w:w="709"/>
        <w:gridCol w:w="709"/>
        <w:gridCol w:w="709"/>
      </w:tblGrid>
      <w:tr>
        <w:trPr>
          <w:trHeight w:val="227" w:hRule="atLeast"/>
          <w:tblHeader/>
          <w:jc w:val="center"/>
        </w:trPr>
        <w:tc>
          <w:tcPr>
            <w:tcW w:w="10008"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361</w:t>
            </w:r>
            <w:r>
              <w:rPr>
                <w:rFonts w:hint="eastAsia" w:ascii="方正小标宋_GBK" w:eastAsia="方正小标宋_GBK"/>
                <w:sz w:val="24"/>
              </w:rPr>
              <w:t>卫健局</w:t>
            </w:r>
          </w:p>
        </w:tc>
        <w:tc>
          <w:tcPr>
            <w:tcW w:w="42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rPr>
          <w:trHeight w:val="227" w:hRule="atLeast"/>
          <w:tblHeader/>
          <w:jc w:val="center"/>
        </w:trPr>
        <w:tc>
          <w:tcPr>
            <w:tcW w:w="382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418" w:type="dxa"/>
            <w:gridSpan w:val="2"/>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418" w:type="dxa"/>
            <w:gridSpan w:val="2"/>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2127" w:type="dxa"/>
            <w:gridSpan w:val="3"/>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rPr>
          <w:trHeight w:val="227" w:hRule="atLeast"/>
          <w:tblHeader/>
          <w:jc w:val="center"/>
        </w:trPr>
        <w:tc>
          <w:tcPr>
            <w:tcW w:w="3827" w:type="dxa"/>
            <w:vMerge w:val="continue"/>
            <w:vAlign w:val="center"/>
          </w:tcPr>
          <w:p>
            <w:pPr>
              <w:spacing w:line="300" w:lineRule="exact"/>
              <w:jc w:val="left"/>
              <w:outlineLvl w:val="0"/>
            </w:pPr>
          </w:p>
        </w:tc>
        <w:tc>
          <w:tcPr>
            <w:tcW w:w="1134"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353" w:type="dxa"/>
            <w:vMerge w:val="continue"/>
            <w:vAlign w:val="center"/>
          </w:tcPr>
          <w:p>
            <w:pPr>
              <w:spacing w:line="300" w:lineRule="exact"/>
              <w:jc w:val="left"/>
              <w:outlineLvl w:val="0"/>
            </w:pPr>
          </w:p>
        </w:tc>
        <w:tc>
          <w:tcPr>
            <w:tcW w:w="709" w:type="dxa"/>
            <w:vMerge w:val="continue"/>
            <w:vAlign w:val="center"/>
          </w:tcPr>
          <w:p>
            <w:pPr>
              <w:spacing w:line="300" w:lineRule="exact"/>
              <w:jc w:val="left"/>
              <w:outlineLvl w:val="0"/>
            </w:pP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退职</w:t>
            </w:r>
          </w:p>
        </w:tc>
      </w:tr>
      <w:tr>
        <w:trPr>
          <w:trHeight w:val="227" w:hRule="atLeast"/>
          <w:jc w:val="center"/>
        </w:trPr>
        <w:tc>
          <w:tcPr>
            <w:tcW w:w="3827" w:type="dxa"/>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vAlign w:val="center"/>
          </w:tcPr>
          <w:p>
            <w:pPr>
              <w:spacing w:line="300" w:lineRule="exact"/>
              <w:jc w:val="center"/>
              <w:rPr>
                <w:rFonts w:ascii="方正书宋_GBK" w:eastAsia="方正书宋_GBK"/>
                <w:b/>
              </w:rPr>
            </w:pPr>
          </w:p>
        </w:tc>
        <w:tc>
          <w:tcPr>
            <w:tcW w:w="1276" w:type="dxa"/>
            <w:vAlign w:val="center"/>
          </w:tcPr>
          <w:p>
            <w:pPr>
              <w:spacing w:line="300" w:lineRule="exact"/>
              <w:jc w:val="center"/>
              <w:rPr>
                <w:rFonts w:ascii="方正书宋_GBK" w:eastAsia="方正书宋_GBK"/>
                <w:b/>
              </w:rPr>
            </w:pPr>
          </w:p>
        </w:tc>
        <w:tc>
          <w:tcPr>
            <w:tcW w:w="2353" w:type="dxa"/>
            <w:vAlign w:val="center"/>
          </w:tcPr>
          <w:p>
            <w:pPr>
              <w:spacing w:line="300" w:lineRule="exact"/>
              <w:jc w:val="center"/>
              <w:rPr>
                <w:rFonts w:ascii="方正书宋_GBK" w:eastAsia="方正书宋_GBK"/>
                <w:b/>
              </w:rPr>
            </w:pPr>
          </w:p>
        </w:tc>
        <w:tc>
          <w:tcPr>
            <w:tcW w:w="709" w:type="dxa"/>
            <w:vAlign w:val="center"/>
          </w:tcPr>
          <w:p>
            <w:pPr>
              <w:spacing w:line="300" w:lineRule="exact"/>
              <w:jc w:val="center"/>
              <w:rPr>
                <w:rFonts w:ascii="方正书宋_GBK" w:eastAsia="方正书宋_GBK"/>
                <w:b/>
              </w:rPr>
            </w:pPr>
            <w:r>
              <w:rPr>
                <w:rFonts w:ascii="方正书宋_GBK" w:eastAsia="方正书宋_GBK"/>
                <w:b/>
              </w:rPr>
              <w:t>11</w:t>
            </w:r>
          </w:p>
        </w:tc>
        <w:tc>
          <w:tcPr>
            <w:tcW w:w="709" w:type="dxa"/>
            <w:vAlign w:val="center"/>
          </w:tcPr>
          <w:p>
            <w:pPr>
              <w:spacing w:line="300" w:lineRule="exact"/>
              <w:jc w:val="center"/>
              <w:rPr>
                <w:rFonts w:ascii="方正书宋_GBK" w:eastAsia="方正书宋_GBK"/>
                <w:b/>
              </w:rPr>
            </w:pPr>
            <w:r>
              <w:rPr>
                <w:rFonts w:ascii="方正书宋_GBK" w:eastAsia="方正书宋_GBK"/>
                <w:b/>
              </w:rPr>
              <w:t>99</w:t>
            </w:r>
          </w:p>
        </w:tc>
        <w:tc>
          <w:tcPr>
            <w:tcW w:w="709" w:type="dxa"/>
            <w:vAlign w:val="center"/>
          </w:tcPr>
          <w:p>
            <w:pPr>
              <w:spacing w:line="300" w:lineRule="exact"/>
              <w:jc w:val="center"/>
              <w:rPr>
                <w:rFonts w:ascii="方正书宋_GBK" w:eastAsia="方正书宋_GBK"/>
                <w:b/>
              </w:rPr>
            </w:pPr>
            <w:r>
              <w:rPr>
                <w:rFonts w:ascii="方正书宋_GBK" w:eastAsia="方正书宋_GBK"/>
                <w:b/>
              </w:rPr>
              <w:t>140</w:t>
            </w:r>
          </w:p>
        </w:tc>
        <w:tc>
          <w:tcPr>
            <w:tcW w:w="709" w:type="dxa"/>
            <w:vAlign w:val="center"/>
          </w:tcPr>
          <w:p>
            <w:pPr>
              <w:spacing w:line="300" w:lineRule="exact"/>
              <w:jc w:val="center"/>
              <w:rPr>
                <w:rFonts w:ascii="方正书宋_GBK" w:eastAsia="方正书宋_GBK"/>
                <w:b/>
              </w:rPr>
            </w:pPr>
            <w:r>
              <w:rPr>
                <w:rFonts w:ascii="方正书宋_GBK" w:eastAsia="方正书宋_GBK"/>
                <w:b/>
              </w:rPr>
              <w:t>60</w:t>
            </w:r>
          </w:p>
        </w:tc>
        <w:tc>
          <w:tcPr>
            <w:tcW w:w="709" w:type="dxa"/>
            <w:vAlign w:val="center"/>
          </w:tcPr>
          <w:p>
            <w:pPr>
              <w:spacing w:line="300" w:lineRule="exact"/>
              <w:jc w:val="center"/>
              <w:rPr>
                <w:rFonts w:ascii="方正书宋_GBK" w:eastAsia="方正书宋_GBK"/>
                <w:b/>
              </w:rPr>
            </w:pPr>
            <w:r>
              <w:rPr>
                <w:rFonts w:ascii="方正书宋_GBK" w:eastAsia="方正书宋_GBK"/>
                <w:b/>
              </w:rPr>
              <w:t>66</w:t>
            </w:r>
          </w:p>
        </w:tc>
        <w:tc>
          <w:tcPr>
            <w:tcW w:w="709" w:type="dxa"/>
            <w:vAlign w:val="center"/>
          </w:tcPr>
          <w:p>
            <w:pPr>
              <w:spacing w:line="300" w:lineRule="exact"/>
              <w:jc w:val="center"/>
              <w:rPr>
                <w:rFonts w:ascii="方正书宋_GBK" w:eastAsia="方正书宋_GBK"/>
                <w:b/>
              </w:rPr>
            </w:pPr>
          </w:p>
        </w:tc>
        <w:tc>
          <w:tcPr>
            <w:tcW w:w="709" w:type="dxa"/>
            <w:vAlign w:val="center"/>
          </w:tcPr>
          <w:p>
            <w:pPr>
              <w:spacing w:line="300" w:lineRule="exact"/>
              <w:jc w:val="center"/>
              <w:rPr>
                <w:rFonts w:ascii="方正书宋_GBK" w:eastAsia="方正书宋_GBK"/>
                <w:b/>
              </w:rPr>
            </w:pPr>
            <w:r>
              <w:rPr>
                <w:rFonts w:ascii="方正书宋_GBK" w:eastAsia="方正书宋_GBK"/>
                <w:b/>
              </w:rPr>
              <w:t>70</w:t>
            </w:r>
          </w:p>
        </w:tc>
        <w:tc>
          <w:tcPr>
            <w:tcW w:w="709" w:type="dxa"/>
            <w:vAlign w:val="center"/>
          </w:tcPr>
          <w:p>
            <w:pPr>
              <w:spacing w:line="300" w:lineRule="exact"/>
              <w:jc w:val="center"/>
              <w:rPr>
                <w:rFonts w:ascii="方正书宋_GBK" w:eastAsia="方正书宋_GBK"/>
                <w:b/>
              </w:rPr>
            </w:pPr>
          </w:p>
        </w:tc>
      </w:tr>
      <w:tr>
        <w:trPr>
          <w:trHeight w:val="227" w:hRule="atLeast"/>
          <w:jc w:val="center"/>
        </w:trPr>
        <w:tc>
          <w:tcPr>
            <w:tcW w:w="3827" w:type="dxa"/>
            <w:vAlign w:val="center"/>
          </w:tcPr>
          <w:p>
            <w:pPr>
              <w:spacing w:line="300" w:lineRule="exact"/>
              <w:jc w:val="left"/>
              <w:rPr>
                <w:rFonts w:ascii="方正书宋_GBK" w:eastAsia="方正书宋_GBK"/>
              </w:rPr>
            </w:pPr>
            <w:r>
              <w:rPr>
                <w:rFonts w:hint="eastAsia" w:ascii="方正书宋_GBK" w:eastAsia="方正书宋_GBK"/>
              </w:rPr>
              <w:t>无极县卫生健康局</w:t>
            </w:r>
          </w:p>
        </w:tc>
        <w:tc>
          <w:tcPr>
            <w:tcW w:w="1134" w:type="dxa"/>
            <w:vAlign w:val="center"/>
          </w:tcPr>
          <w:p>
            <w:pPr>
              <w:spacing w:line="300" w:lineRule="exact"/>
              <w:jc w:val="center"/>
              <w:rPr>
                <w:rFonts w:ascii="方正书宋_GBK" w:eastAsia="方正书宋_GBK"/>
              </w:rPr>
            </w:pPr>
            <w:r>
              <w:rPr>
                <w:rFonts w:hint="eastAsia" w:ascii="方正书宋_GBK" w:eastAsia="方正书宋_GBK"/>
              </w:rPr>
              <w:t>行政</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3" w:type="dxa"/>
            <w:vAlign w:val="center"/>
          </w:tcPr>
          <w:p>
            <w:pPr>
              <w:spacing w:line="300" w:lineRule="exact"/>
              <w:jc w:val="center"/>
              <w:rPr>
                <w:rFonts w:ascii="方正书宋_GBK" w:eastAsia="方正书宋_GBK"/>
              </w:rPr>
            </w:pPr>
            <w:r>
              <w:rPr>
                <w:rFonts w:hint="eastAsia" w:ascii="方正书宋_GBK" w:eastAsia="方正书宋_GBK"/>
              </w:rPr>
              <w:t>财政拨款</w:t>
            </w:r>
          </w:p>
        </w:tc>
        <w:tc>
          <w:tcPr>
            <w:tcW w:w="709" w:type="dxa"/>
            <w:vAlign w:val="center"/>
          </w:tcPr>
          <w:p>
            <w:pPr>
              <w:spacing w:line="300" w:lineRule="exact"/>
              <w:jc w:val="center"/>
              <w:rPr>
                <w:rFonts w:ascii="方正书宋_GBK" w:eastAsia="方正书宋_GBK"/>
              </w:rPr>
            </w:pPr>
            <w:r>
              <w:rPr>
                <w:rFonts w:ascii="方正书宋_GBK" w:eastAsia="方正书宋_GBK"/>
              </w:rPr>
              <w:t>1</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9</w:t>
            </w: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r>
              <w:rPr>
                <w:rFonts w:hint="eastAsia" w:ascii="方正书宋_GBK" w:eastAsia="方正书宋_GBK"/>
              </w:rPr>
              <w:t>20</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41</w:t>
            </w: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r>
              <w:rPr>
                <w:rFonts w:ascii="方正书宋_GBK" w:eastAsia="方正书宋_GBK"/>
              </w:rPr>
              <w:t>51</w:t>
            </w:r>
          </w:p>
        </w:tc>
        <w:tc>
          <w:tcPr>
            <w:tcW w:w="709" w:type="dxa"/>
            <w:vAlign w:val="center"/>
          </w:tcPr>
          <w:p>
            <w:pPr>
              <w:spacing w:line="300" w:lineRule="exact"/>
              <w:jc w:val="center"/>
              <w:rPr>
                <w:rFonts w:ascii="方正书宋_GBK" w:eastAsia="方正书宋_GBK"/>
              </w:rPr>
            </w:pPr>
          </w:p>
        </w:tc>
      </w:tr>
      <w:tr>
        <w:trPr>
          <w:trHeight w:val="227" w:hRule="atLeast"/>
          <w:jc w:val="center"/>
        </w:trPr>
        <w:tc>
          <w:tcPr>
            <w:tcW w:w="3827" w:type="dxa"/>
            <w:vAlign w:val="center"/>
          </w:tcPr>
          <w:p>
            <w:pPr>
              <w:spacing w:line="300" w:lineRule="exact"/>
              <w:jc w:val="left"/>
              <w:rPr>
                <w:rFonts w:ascii="方正书宋_GBK" w:eastAsia="方正书宋_GBK"/>
              </w:rPr>
            </w:pPr>
            <w:r>
              <w:rPr>
                <w:rFonts w:hint="eastAsia" w:ascii="方正书宋_GBK" w:eastAsia="方正书宋_GBK"/>
              </w:rPr>
              <w:t>无极县疾病预防控制中心</w:t>
            </w:r>
          </w:p>
        </w:tc>
        <w:tc>
          <w:tcPr>
            <w:tcW w:w="1134"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2353" w:type="dxa"/>
            <w:vAlign w:val="center"/>
          </w:tcPr>
          <w:p>
            <w:pPr>
              <w:spacing w:line="300" w:lineRule="exact"/>
              <w:jc w:val="center"/>
              <w:rPr>
                <w:rFonts w:ascii="方正书宋_GBK" w:eastAsia="方正书宋_GBK"/>
              </w:rPr>
            </w:pPr>
            <w:r>
              <w:rPr>
                <w:rFonts w:hint="eastAsia" w:ascii="方正书宋_GBK" w:eastAsia="方正书宋_GBK"/>
              </w:rPr>
              <w:t>财政性资金定额或定项补助</w:t>
            </w:r>
          </w:p>
        </w:tc>
        <w:tc>
          <w:tcPr>
            <w:tcW w:w="709" w:type="dxa"/>
            <w:vAlign w:val="center"/>
          </w:tcPr>
          <w:p>
            <w:pPr>
              <w:spacing w:line="300" w:lineRule="exact"/>
              <w:jc w:val="center"/>
              <w:rPr>
                <w:rFonts w:ascii="方正书宋_GBK" w:eastAsia="方正书宋_GBK"/>
              </w:rPr>
            </w:pPr>
            <w:r>
              <w:rPr>
                <w:rFonts w:ascii="方正书宋_GBK" w:eastAsia="方正书宋_GBK"/>
              </w:rPr>
              <w:t>5</w:t>
            </w: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r>
              <w:rPr>
                <w:rFonts w:ascii="方正书宋_GBK" w:eastAsia="方正书宋_GBK"/>
              </w:rPr>
              <w:t>33</w:t>
            </w: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r>
      <w:tr>
        <w:trPr>
          <w:trHeight w:val="227" w:hRule="atLeast"/>
          <w:jc w:val="center"/>
        </w:trPr>
        <w:tc>
          <w:tcPr>
            <w:tcW w:w="3827" w:type="dxa"/>
            <w:vAlign w:val="center"/>
          </w:tcPr>
          <w:p>
            <w:pPr>
              <w:spacing w:line="300" w:lineRule="exact"/>
              <w:jc w:val="left"/>
              <w:rPr>
                <w:rFonts w:ascii="方正书宋_GBK" w:eastAsia="方正书宋_GBK"/>
              </w:rPr>
            </w:pPr>
            <w:r>
              <w:rPr>
                <w:rFonts w:hint="eastAsia" w:ascii="方正书宋_GBK" w:eastAsia="方正书宋_GBK"/>
              </w:rPr>
              <w:t>无极县妇幼保健院</w:t>
            </w:r>
          </w:p>
        </w:tc>
        <w:tc>
          <w:tcPr>
            <w:tcW w:w="1134"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2353"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09" w:type="dxa"/>
            <w:vAlign w:val="center"/>
          </w:tcPr>
          <w:p>
            <w:pPr>
              <w:spacing w:line="300" w:lineRule="exact"/>
              <w:jc w:val="center"/>
              <w:rPr>
                <w:rFonts w:ascii="方正书宋_GBK" w:eastAsia="方正书宋_GBK"/>
              </w:rPr>
            </w:pPr>
            <w:r>
              <w:rPr>
                <w:rFonts w:ascii="方正书宋_GBK" w:eastAsia="方正书宋_GBK"/>
              </w:rPr>
              <w:t>2</w:t>
            </w:r>
          </w:p>
        </w:tc>
        <w:tc>
          <w:tcPr>
            <w:tcW w:w="709" w:type="dxa"/>
            <w:vAlign w:val="center"/>
          </w:tcPr>
          <w:p>
            <w:pPr>
              <w:spacing w:line="300" w:lineRule="exact"/>
              <w:jc w:val="center"/>
              <w:rPr>
                <w:rFonts w:ascii="方正书宋_GBK" w:eastAsia="方正书宋_GBK"/>
              </w:rPr>
            </w:pPr>
            <w:r>
              <w:rPr>
                <w:rFonts w:ascii="方正书宋_GBK" w:eastAsia="方正书宋_GBK"/>
              </w:rPr>
              <w:t>90</w:t>
            </w:r>
          </w:p>
        </w:tc>
        <w:tc>
          <w:tcPr>
            <w:tcW w:w="709" w:type="dxa"/>
            <w:vAlign w:val="center"/>
          </w:tcPr>
          <w:p>
            <w:pPr>
              <w:spacing w:line="300" w:lineRule="exact"/>
              <w:jc w:val="center"/>
              <w:rPr>
                <w:rFonts w:ascii="方正书宋_GBK" w:eastAsia="方正书宋_GBK"/>
              </w:rPr>
            </w:pPr>
            <w:r>
              <w:rPr>
                <w:rFonts w:ascii="方正书宋_GBK" w:eastAsia="方正书宋_GBK"/>
              </w:rPr>
              <w:t>90</w:t>
            </w: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r>
              <w:rPr>
                <w:rFonts w:ascii="方正书宋_GBK" w:eastAsia="方正书宋_GBK"/>
              </w:rPr>
              <w:t>13</w:t>
            </w: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r>
              <w:rPr>
                <w:rFonts w:ascii="方正书宋_GBK" w:eastAsia="方正书宋_GBK"/>
              </w:rPr>
              <w:t>19</w:t>
            </w:r>
          </w:p>
        </w:tc>
        <w:tc>
          <w:tcPr>
            <w:tcW w:w="709" w:type="dxa"/>
            <w:vAlign w:val="center"/>
          </w:tcPr>
          <w:p>
            <w:pPr>
              <w:spacing w:line="300" w:lineRule="exact"/>
              <w:jc w:val="center"/>
              <w:rPr>
                <w:rFonts w:ascii="方正书宋_GBK" w:eastAsia="方正书宋_GBK"/>
              </w:rPr>
            </w:pPr>
          </w:p>
        </w:tc>
      </w:tr>
      <w:tr>
        <w:trPr>
          <w:trHeight w:val="227" w:hRule="atLeast"/>
          <w:jc w:val="center"/>
        </w:trPr>
        <w:tc>
          <w:tcPr>
            <w:tcW w:w="3827" w:type="dxa"/>
            <w:vAlign w:val="center"/>
          </w:tcPr>
          <w:p>
            <w:pPr>
              <w:spacing w:line="300" w:lineRule="exact"/>
              <w:jc w:val="left"/>
              <w:rPr>
                <w:rFonts w:ascii="方正书宋_GBK" w:eastAsia="方正书宋_GBK"/>
              </w:rPr>
            </w:pPr>
            <w:r>
              <w:rPr>
                <w:rFonts w:hint="eastAsia" w:ascii="方正书宋_GBK" w:eastAsia="方正书宋_GBK"/>
              </w:rPr>
              <w:t>无极县卫生学校</w:t>
            </w:r>
          </w:p>
        </w:tc>
        <w:tc>
          <w:tcPr>
            <w:tcW w:w="1134"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2353"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r>
      <w:tr>
        <w:trPr>
          <w:trHeight w:val="227" w:hRule="atLeast"/>
          <w:jc w:val="center"/>
        </w:trPr>
        <w:tc>
          <w:tcPr>
            <w:tcW w:w="3827" w:type="dxa"/>
            <w:vAlign w:val="center"/>
          </w:tcPr>
          <w:p>
            <w:pPr>
              <w:spacing w:line="300" w:lineRule="exact"/>
              <w:jc w:val="left"/>
              <w:rPr>
                <w:rFonts w:ascii="方正书宋_GBK" w:eastAsia="方正书宋_GBK"/>
              </w:rPr>
            </w:pPr>
            <w:r>
              <w:rPr>
                <w:rFonts w:hint="eastAsia" w:ascii="方正书宋_GBK" w:eastAsia="方正书宋_GBK"/>
              </w:rPr>
              <w:t>无极县卫生监督所</w:t>
            </w:r>
          </w:p>
        </w:tc>
        <w:tc>
          <w:tcPr>
            <w:tcW w:w="1134"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2353" w:type="dxa"/>
            <w:vAlign w:val="center"/>
          </w:tcPr>
          <w:p>
            <w:pPr>
              <w:spacing w:line="300" w:lineRule="exact"/>
              <w:jc w:val="center"/>
              <w:rPr>
                <w:rFonts w:ascii="方正书宋_GBK" w:eastAsia="方正书宋_GBK"/>
              </w:rPr>
            </w:pPr>
            <w:r>
              <w:rPr>
                <w:rFonts w:hint="eastAsia" w:ascii="方正书宋_GBK" w:eastAsia="方正书宋_GBK"/>
              </w:rPr>
              <w:t>财政性资金定额或定项补助</w:t>
            </w:r>
          </w:p>
        </w:tc>
        <w:tc>
          <w:tcPr>
            <w:tcW w:w="709" w:type="dxa"/>
            <w:vAlign w:val="center"/>
          </w:tcPr>
          <w:p>
            <w:pPr>
              <w:spacing w:line="300" w:lineRule="exact"/>
              <w:jc w:val="center"/>
              <w:rPr>
                <w:rFonts w:ascii="方正书宋_GBK" w:eastAsia="方正书宋_GBK"/>
              </w:rPr>
            </w:pPr>
            <w:r>
              <w:rPr>
                <w:rFonts w:ascii="方正书宋_GBK" w:eastAsia="方正书宋_GBK"/>
              </w:rPr>
              <w:t>3</w:t>
            </w: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r>
              <w:rPr>
                <w:rFonts w:ascii="方正书宋_GBK" w:eastAsia="方正书宋_GBK"/>
              </w:rPr>
              <w:t>50</w:t>
            </w: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r>
              <w:rPr>
                <w:rFonts w:ascii="方正书宋_GBK" w:eastAsia="方正书宋_GBK"/>
              </w:rPr>
              <w:t>20</w:t>
            </w: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r>
      <w:tr>
        <w:trPr>
          <w:trHeight w:val="227" w:hRule="atLeast"/>
          <w:jc w:val="center"/>
        </w:trPr>
        <w:tc>
          <w:tcPr>
            <w:tcW w:w="3827" w:type="dxa"/>
            <w:vAlign w:val="center"/>
          </w:tcPr>
          <w:p>
            <w:pPr>
              <w:spacing w:line="300" w:lineRule="exact"/>
              <w:jc w:val="left"/>
              <w:rPr>
                <w:rFonts w:ascii="方正书宋_GBK" w:eastAsia="方正书宋_GBK"/>
              </w:rPr>
            </w:pPr>
            <w:r>
              <w:rPr>
                <w:rFonts w:hint="eastAsia" w:ascii="方正书宋_GBK" w:eastAsia="方正书宋_GBK"/>
              </w:rPr>
              <w:t>无极县医院</w:t>
            </w:r>
          </w:p>
        </w:tc>
        <w:tc>
          <w:tcPr>
            <w:tcW w:w="1134"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2353" w:type="dxa"/>
            <w:vAlign w:val="center"/>
          </w:tcPr>
          <w:p>
            <w:pPr>
              <w:spacing w:line="300" w:lineRule="exact"/>
              <w:jc w:val="center"/>
              <w:rPr>
                <w:rFonts w:ascii="方正书宋_GBK" w:eastAsia="方正书宋_GBK"/>
              </w:rPr>
            </w:pPr>
            <w:r>
              <w:rPr>
                <w:rFonts w:hint="eastAsia" w:ascii="方正书宋_GBK" w:eastAsia="方正书宋_GBK"/>
              </w:rPr>
              <w:t>财政性资金零补助</w:t>
            </w: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r>
      <w:tr>
        <w:trPr>
          <w:trHeight w:val="227" w:hRule="atLeast"/>
          <w:jc w:val="center"/>
        </w:trPr>
        <w:tc>
          <w:tcPr>
            <w:tcW w:w="3827" w:type="dxa"/>
            <w:vAlign w:val="center"/>
          </w:tcPr>
          <w:p>
            <w:pPr>
              <w:spacing w:line="300" w:lineRule="exact"/>
              <w:jc w:val="left"/>
              <w:rPr>
                <w:rFonts w:ascii="方正书宋_GBK" w:eastAsia="方正书宋_GBK"/>
              </w:rPr>
            </w:pPr>
            <w:r>
              <w:rPr>
                <w:rFonts w:hint="eastAsia" w:ascii="方正书宋_GBK" w:eastAsia="方正书宋_GBK"/>
              </w:rPr>
              <w:t>无极县中医院</w:t>
            </w:r>
          </w:p>
        </w:tc>
        <w:tc>
          <w:tcPr>
            <w:tcW w:w="1134"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2353" w:type="dxa"/>
            <w:vAlign w:val="center"/>
          </w:tcPr>
          <w:p>
            <w:pPr>
              <w:spacing w:line="300" w:lineRule="exact"/>
              <w:jc w:val="center"/>
              <w:rPr>
                <w:rFonts w:ascii="方正书宋_GBK" w:eastAsia="方正书宋_GBK"/>
              </w:rPr>
            </w:pPr>
            <w:r>
              <w:rPr>
                <w:rFonts w:hint="eastAsia" w:ascii="方正书宋_GBK" w:eastAsia="方正书宋_GBK"/>
              </w:rPr>
              <w:t>财政性资金零补助</w:t>
            </w: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r>
    </w:tbl>
    <w:p>
      <w:pPr>
        <w:spacing w:line="300" w:lineRule="exact"/>
        <w:jc w:val="left"/>
        <w:outlineLvl w:val="0"/>
        <w:sectPr>
          <w:headerReference r:id="rId7" w:type="first"/>
          <w:footerReference r:id="rId10" w:type="first"/>
          <w:headerReference r:id="rId5" w:type="default"/>
          <w:footerReference r:id="rId8" w:type="default"/>
          <w:headerReference r:id="rId6" w:type="even"/>
          <w:footerReference r:id="rId9" w:type="even"/>
          <w:pgSz w:w="16839" w:h="11907" w:orient="landscape"/>
          <w:pgMar w:top="1020" w:right="1361" w:bottom="1020" w:left="1361" w:header="851" w:footer="992" w:gutter="0"/>
          <w:cols w:space="425" w:num="1"/>
          <w:docGrid w:type="lines" w:linePitch="312"/>
        </w:sect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仿宋" w:hAnsi="仿宋" w:eastAsia="仿宋"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w:t>
      </w:r>
    </w:p>
    <w:p>
      <w:pPr>
        <w:pStyle w:val="10"/>
        <w:numPr>
          <w:ilvl w:val="0"/>
          <w:numId w:val="1"/>
        </w:numPr>
        <w:adjustRightInd w:val="0"/>
        <w:snapToGrid w:val="0"/>
        <w:spacing w:line="600" w:lineRule="exact"/>
        <w:ind w:firstLineChars="0"/>
        <w:jc w:val="left"/>
        <w:rPr>
          <w:rFonts w:ascii="楷体" w:hAnsi="楷体" w:eastAsia="楷体" w:cs="仿宋_GB2312"/>
          <w:sz w:val="32"/>
          <w:szCs w:val="32"/>
        </w:rPr>
      </w:pPr>
      <w:r>
        <w:rPr>
          <w:rFonts w:hint="eastAsia" w:ascii="楷体" w:hAnsi="楷体" w:eastAsia="楷体" w:cs="仿宋_GB2312"/>
          <w:sz w:val="32"/>
          <w:szCs w:val="32"/>
        </w:rPr>
        <w:t>收入说明</w:t>
      </w:r>
    </w:p>
    <w:p>
      <w:pPr>
        <w:adjustRightInd w:val="0"/>
        <w:snapToGrid w:val="0"/>
        <w:spacing w:line="600" w:lineRule="exact"/>
        <w:ind w:firstLine="640" w:firstLineChars="200"/>
        <w:jc w:val="left"/>
        <w:rPr>
          <w:rFonts w:ascii="仿宋" w:hAnsi="仿宋" w:eastAsia="仿宋" w:cs="仿宋_GB2312"/>
          <w:bCs/>
          <w:sz w:val="32"/>
          <w:szCs w:val="32"/>
        </w:rPr>
      </w:pPr>
      <w:r>
        <w:rPr>
          <w:rFonts w:hint="eastAsia" w:ascii="仿宋" w:hAnsi="仿宋" w:eastAsia="仿宋" w:cs="仿宋_GB2312"/>
          <w:bCs/>
          <w:sz w:val="32"/>
          <w:szCs w:val="32"/>
        </w:rPr>
        <w:t>无极县卫健局2019年预算收入总入13089.62万元。其中，一般公共预算收入13089.62万元、政府性基金收入0万元、财政专户核拨收入0万元，其他来源收入0万元。</w:t>
      </w:r>
    </w:p>
    <w:p>
      <w:pPr>
        <w:pStyle w:val="10"/>
        <w:numPr>
          <w:ilvl w:val="0"/>
          <w:numId w:val="1"/>
        </w:numPr>
        <w:ind w:firstLineChars="0"/>
        <w:rPr>
          <w:rFonts w:ascii="楷体" w:hAnsi="楷体" w:eastAsia="楷体"/>
          <w:sz w:val="32"/>
          <w:szCs w:val="32"/>
        </w:rPr>
      </w:pPr>
      <w:r>
        <w:rPr>
          <w:rFonts w:hint="eastAsia" w:ascii="楷体" w:hAnsi="楷体" w:eastAsia="楷体"/>
          <w:sz w:val="32"/>
          <w:szCs w:val="32"/>
        </w:rPr>
        <w:t>支出说明</w:t>
      </w:r>
    </w:p>
    <w:p>
      <w:pPr>
        <w:ind w:firstLine="640" w:firstLineChars="200"/>
        <w:rPr>
          <w:rFonts w:ascii="仿宋" w:hAnsi="仿宋" w:eastAsia="仿宋"/>
          <w:sz w:val="32"/>
          <w:szCs w:val="32"/>
        </w:rPr>
      </w:pPr>
      <w:r>
        <w:rPr>
          <w:rFonts w:hint="eastAsia" w:ascii="仿宋" w:hAnsi="仿宋" w:eastAsia="仿宋" w:cs="仿宋_GB2312"/>
          <w:bCs/>
          <w:sz w:val="32"/>
          <w:szCs w:val="32"/>
        </w:rPr>
        <w:t>2019年预算支出13089.62万元。其中，人员经费支出</w:t>
      </w:r>
      <w:r>
        <w:rPr>
          <w:rFonts w:hint="eastAsia" w:ascii="仿宋" w:hAnsi="仿宋" w:eastAsia="仿宋" w:cs="仿宋_GB2312"/>
          <w:bCs/>
          <w:sz w:val="32"/>
          <w:szCs w:val="32"/>
          <w:lang w:val="en-US" w:eastAsia="zh-CN"/>
        </w:rPr>
        <w:t>1038.3</w:t>
      </w:r>
      <w:r>
        <w:rPr>
          <w:rFonts w:hint="eastAsia" w:ascii="仿宋" w:hAnsi="仿宋" w:eastAsia="仿宋" w:cs="仿宋_GB2312"/>
          <w:bCs/>
          <w:sz w:val="32"/>
          <w:szCs w:val="32"/>
        </w:rPr>
        <w:t>万元，正常公用经费40万元，项目支出12011.32万元。</w:t>
      </w:r>
    </w:p>
    <w:p>
      <w:pPr>
        <w:pStyle w:val="10"/>
        <w:numPr>
          <w:ilvl w:val="0"/>
          <w:numId w:val="1"/>
        </w:numPr>
        <w:ind w:firstLineChars="0"/>
        <w:rPr>
          <w:rFonts w:ascii="楷体" w:hAnsi="楷体" w:eastAsia="楷体"/>
          <w:sz w:val="32"/>
          <w:szCs w:val="32"/>
        </w:rPr>
      </w:pPr>
      <w:r>
        <w:rPr>
          <w:rFonts w:hint="eastAsia" w:ascii="楷体" w:hAnsi="楷体" w:eastAsia="楷体"/>
          <w:sz w:val="32"/>
          <w:szCs w:val="32"/>
        </w:rPr>
        <w:t>比上年增减情况</w:t>
      </w:r>
    </w:p>
    <w:p>
      <w:pPr>
        <w:ind w:firstLine="640" w:firstLineChars="200"/>
        <w:rPr>
          <w:rFonts w:ascii="仿宋" w:hAnsi="仿宋" w:eastAsia="仿宋" w:cs="仿宋_GB2312"/>
          <w:sz w:val="32"/>
          <w:szCs w:val="32"/>
        </w:rPr>
      </w:pPr>
      <w:r>
        <w:rPr>
          <w:rFonts w:hint="eastAsia" w:ascii="仿宋" w:hAnsi="仿宋" w:eastAsia="仿宋" w:cs="仿宋_GB2312"/>
          <w:sz w:val="32"/>
          <w:szCs w:val="32"/>
        </w:rPr>
        <w:t>2019年部门预算支出较2018年增加4667.49万元，其中：一、基本支出减少46.81万元，主要是：人员流动和公用经费减少。二、项目支出增加4714.3万元，主要是由于上级提前下达项目变动和部分专项资金增加。</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autoSpaceDE w:val="0"/>
        <w:autoSpaceDN w:val="0"/>
        <w:adjustRightInd w:val="0"/>
        <w:ind w:left="198" w:firstLine="640" w:firstLineChars="200"/>
        <w:jc w:val="left"/>
        <w:rPr>
          <w:rFonts w:ascii="仿宋" w:hAnsi="仿宋" w:eastAsia="仿宋" w:cs="仿宋_GB2312"/>
          <w:sz w:val="32"/>
          <w:szCs w:val="32"/>
        </w:rPr>
      </w:pPr>
      <w:r>
        <w:rPr>
          <w:rFonts w:hint="eastAsia" w:ascii="仿宋" w:hAnsi="仿宋" w:eastAsia="仿宋" w:cs="仿宋_GB2312"/>
          <w:sz w:val="32"/>
          <w:szCs w:val="32"/>
        </w:rPr>
        <w:t>机关运行经费共计安排40万元，主要用于保证机关正常运转的办公及印刷费、邮电费、差旅费、会议费、福利费、专用材料及一般设备购置费、办公用房水电费、办公用房取暖费、日常维修费、办公楼物业管理费、公务车运行维护费等支出。</w:t>
      </w:r>
    </w:p>
    <w:p>
      <w:pPr>
        <w:ind w:firstLine="640" w:firstLineChars="200"/>
        <w:rPr>
          <w:rFonts w:ascii="仿宋_GB2312" w:hAnsi="仿宋_GB2312" w:eastAsia="仿宋_GB2312" w:cs="仿宋_GB2312"/>
          <w:sz w:val="32"/>
          <w:szCs w:val="32"/>
        </w:rPr>
      </w:pPr>
      <w:r>
        <w:rPr>
          <w:rFonts w:hint="eastAsia" w:ascii="黑体" w:hAnsi="黑体" w:eastAsia="黑体" w:cs="仿宋_GB2312"/>
          <w:sz w:val="32"/>
          <w:szCs w:val="32"/>
        </w:rPr>
        <w:t>四、财政拨款“三公”经费预算情况及增减变化原因</w:t>
      </w:r>
      <w:r>
        <w:rPr>
          <w:rFonts w:hint="eastAsia" w:ascii="仿宋_GB2312" w:hAnsi="仿宋_GB2312" w:eastAsia="仿宋_GB2312" w:cs="仿宋_GB2312"/>
          <w:sz w:val="32"/>
          <w:szCs w:val="32"/>
        </w:rPr>
        <w:t>。</w:t>
      </w:r>
    </w:p>
    <w:p>
      <w:pPr>
        <w:ind w:firstLine="640" w:firstLineChars="200"/>
        <w:outlineLvl w:val="0"/>
        <w:rPr>
          <w:rFonts w:ascii="仿宋" w:hAnsi="仿宋" w:eastAsia="仿宋"/>
          <w:sz w:val="32"/>
          <w:szCs w:val="32"/>
        </w:rPr>
      </w:pPr>
      <w:r>
        <w:rPr>
          <w:rFonts w:hint="eastAsia" w:ascii="仿宋" w:hAnsi="仿宋" w:eastAsia="仿宋"/>
          <w:sz w:val="32"/>
          <w:szCs w:val="32"/>
        </w:rPr>
        <w:t>2019年本部门安排“三公”经费3.04万元，与去年持平，无增减变化。其中：</w:t>
      </w:r>
    </w:p>
    <w:p>
      <w:pPr>
        <w:ind w:firstLine="640" w:firstLineChars="200"/>
        <w:outlineLvl w:val="0"/>
        <w:rPr>
          <w:rFonts w:ascii="仿宋" w:hAnsi="仿宋" w:eastAsia="仿宋"/>
          <w:sz w:val="32"/>
          <w:szCs w:val="32"/>
        </w:rPr>
      </w:pPr>
      <w:r>
        <w:rPr>
          <w:rFonts w:hint="eastAsia" w:ascii="仿宋" w:hAnsi="仿宋" w:eastAsia="仿宋"/>
          <w:sz w:val="32"/>
          <w:szCs w:val="32"/>
        </w:rPr>
        <w:t>（一）、因公出国（境）费0万元，与去年持平，无增减变化。</w:t>
      </w:r>
    </w:p>
    <w:p>
      <w:pPr>
        <w:ind w:firstLine="640" w:firstLineChars="200"/>
        <w:outlineLvl w:val="0"/>
        <w:rPr>
          <w:rFonts w:ascii="仿宋" w:hAnsi="仿宋" w:eastAsia="仿宋"/>
          <w:sz w:val="32"/>
          <w:szCs w:val="32"/>
        </w:rPr>
      </w:pPr>
      <w:r>
        <w:rPr>
          <w:rFonts w:hint="eastAsia" w:ascii="仿宋" w:hAnsi="仿宋" w:eastAsia="仿宋"/>
          <w:sz w:val="32"/>
          <w:szCs w:val="32"/>
        </w:rPr>
        <w:t>（二）、公务用车购置及运行维护费 3万元，与去年持平，无增减变化。其中：公务用车购置0万元，与去年持平，无增减变化；公务用车运行维护费3万元，与去年持平，无增减变化。</w:t>
      </w:r>
    </w:p>
    <w:p>
      <w:pPr>
        <w:ind w:firstLine="640" w:firstLineChars="200"/>
        <w:outlineLvl w:val="0"/>
        <w:rPr>
          <w:rFonts w:ascii="仿宋_GB2312" w:hAnsi="仿宋" w:eastAsia="仿宋_GB2312"/>
          <w:sz w:val="32"/>
          <w:szCs w:val="32"/>
        </w:rPr>
      </w:pPr>
      <w:r>
        <w:rPr>
          <w:rFonts w:hint="eastAsia" w:ascii="仿宋" w:hAnsi="仿宋" w:eastAsia="仿宋"/>
          <w:sz w:val="32"/>
          <w:szCs w:val="32"/>
        </w:rPr>
        <w:t>（三）、公务接待费0.4万元，与去年持平，无增减变化。</w:t>
      </w:r>
    </w:p>
    <w:p>
      <w:pPr>
        <w:ind w:firstLine="560"/>
        <w:rPr>
          <w:rFonts w:ascii="仿宋_GB2312" w:hAnsi="仿宋_GB2312" w:eastAsia="仿宋_GB2312" w:cs="仿宋_GB2312"/>
          <w:sz w:val="32"/>
          <w:szCs w:val="32"/>
        </w:rPr>
      </w:pPr>
      <w:r>
        <w:rPr>
          <w:rFonts w:hint="eastAsia" w:ascii="黑体" w:hAnsi="黑体" w:eastAsia="黑体" w:cs="仿宋_GB2312"/>
          <w:sz w:val="32"/>
          <w:szCs w:val="32"/>
        </w:rPr>
        <w:t>五、绩效预算信息</w:t>
      </w:r>
    </w:p>
    <w:p>
      <w:pPr>
        <w:ind w:firstLine="560"/>
        <w:rPr>
          <w:rFonts w:ascii="楷体" w:hAnsi="楷体" w:eastAsia="楷体"/>
          <w:sz w:val="32"/>
          <w:szCs w:val="32"/>
        </w:rPr>
      </w:pPr>
      <w:r>
        <w:rPr>
          <w:rFonts w:hint="eastAsia" w:ascii="楷体" w:hAnsi="楷体" w:eastAsia="楷体"/>
          <w:sz w:val="32"/>
          <w:szCs w:val="32"/>
        </w:rPr>
        <w:t>（一）总体绩效目标</w:t>
      </w:r>
    </w:p>
    <w:p>
      <w:pPr>
        <w:ind w:firstLine="1040" w:firstLineChars="325"/>
        <w:rPr>
          <w:rFonts w:ascii="仿宋" w:hAnsi="仿宋" w:eastAsia="仿宋" w:cs="仿宋_GB2312"/>
          <w:sz w:val="32"/>
          <w:szCs w:val="32"/>
        </w:rPr>
      </w:pPr>
      <w:r>
        <w:rPr>
          <w:rFonts w:hint="eastAsia" w:ascii="仿宋" w:hAnsi="仿宋" w:eastAsia="仿宋" w:cs="仿宋_GB2312"/>
          <w:sz w:val="32"/>
          <w:szCs w:val="32"/>
        </w:rPr>
        <w:t>1、贯彻执行党和国家卫生和计划生育方针、政策、法律、法规，严格执行《人口和计划生育》和《河北省人口和计划生育条例》，推进医药卫生体制改革，拟定有关卫生工作的地方规章、技术标准和技术规范，并监督实施。拟定全县卫生事业发展规划，会同有关部门编制全县人口发展的中长期规划；负责全县医疗机构的设置规划、审批及监督管理以及负责实行人口和计划生育有限目标管理责任制和考核工作；依法查处各种非法医疗活动，合理配置卫生资源；负责对全县范围内传染病的预防、控制和疫情检测进行监督管理，依法查处各种违法行为。负责全县儿童计划免疫工作；负责全县地方病防治工作。负责组织实施国家基本药物制度相关工作。负责组织实施国家基本药物制度相关工作。负责全县计划生育技术服务管理，知道各乡镇计生技术工作，做好全县范围内避孕药具和节育器械供应、发放、管理，做好优生优育工作。负责全县计划生育基层基础建设，规划实施对县、乡、村、组计划生育干部培训工作。</w:t>
      </w:r>
    </w:p>
    <w:p>
      <w:pPr>
        <w:ind w:left="283" w:leftChars="135" w:firstLine="480" w:firstLineChars="150"/>
        <w:rPr>
          <w:rFonts w:ascii="仿宋" w:hAnsi="仿宋" w:eastAsia="仿宋" w:cs="仿宋"/>
          <w:sz w:val="32"/>
          <w:szCs w:val="32"/>
        </w:rPr>
      </w:pPr>
      <w:r>
        <w:rPr>
          <w:rFonts w:hint="eastAsia" w:ascii="仿宋" w:hAnsi="仿宋" w:eastAsia="仿宋" w:cs="仿宋"/>
          <w:sz w:val="32"/>
          <w:szCs w:val="32"/>
        </w:rPr>
        <w:t>2、实现年度发展规划目标的保障措施</w:t>
      </w:r>
    </w:p>
    <w:p>
      <w:pPr>
        <w:ind w:firstLine="560"/>
        <w:rPr>
          <w:rFonts w:ascii="仿宋" w:hAnsi="仿宋" w:eastAsia="仿宋"/>
          <w:sz w:val="32"/>
          <w:szCs w:val="32"/>
        </w:rPr>
      </w:pPr>
      <w:r>
        <w:rPr>
          <w:rFonts w:hint="eastAsia" w:ascii="仿宋" w:hAnsi="仿宋" w:eastAsia="仿宋"/>
          <w:sz w:val="32"/>
          <w:szCs w:val="32"/>
        </w:rPr>
        <w:t xml:space="preserve">深化监督评价机制。县政府成立专门的监督评价工作队，组织开展区域卫生规划实施进度和效果评价工作，及时发现问题，研究解决对策，促使规划落地。深化行业管理机制。按照《执业医师法》、《母婴保健法》、《献血法》、《护士管理条例》等法律法规，加强医疗卫生机构的执业行为和专业技术人员的管理，确保服务质量和安全 </w:t>
      </w:r>
      <w:r>
        <w:rPr>
          <w:rFonts w:ascii="仿宋" w:hAnsi="仿宋" w:eastAsia="仿宋"/>
          <w:sz w:val="32"/>
          <w:szCs w:val="32"/>
        </w:rPr>
        <w:t>。</w:t>
      </w:r>
    </w:p>
    <w:p>
      <w:pPr>
        <w:ind w:firstLine="480" w:firstLineChars="150"/>
        <w:rPr>
          <w:rFonts w:ascii="楷体" w:hAnsi="楷体" w:eastAsia="楷体"/>
          <w:sz w:val="32"/>
          <w:szCs w:val="32"/>
        </w:rPr>
      </w:pPr>
      <w:r>
        <w:rPr>
          <w:rFonts w:hint="eastAsia" w:ascii="楷体" w:hAnsi="楷体" w:eastAsia="楷体"/>
          <w:sz w:val="32"/>
          <w:szCs w:val="32"/>
        </w:rPr>
        <w:t>（二）职责分类绩效目标情况</w:t>
      </w:r>
    </w:p>
    <w:p>
      <w:pPr>
        <w:ind w:firstLine="560"/>
        <w:rPr>
          <w:rFonts w:ascii="仿宋" w:hAnsi="仿宋" w:eastAsia="仿宋"/>
          <w:sz w:val="32"/>
          <w:szCs w:val="32"/>
        </w:rPr>
      </w:pPr>
      <w:r>
        <w:rPr>
          <w:rFonts w:hint="eastAsia" w:ascii="仿宋" w:hAnsi="仿宋" w:eastAsia="仿宋"/>
          <w:sz w:val="32"/>
          <w:szCs w:val="32"/>
        </w:rPr>
        <w:t>1、机构</w:t>
      </w:r>
    </w:p>
    <w:p>
      <w:pPr>
        <w:ind w:firstLine="560"/>
        <w:rPr>
          <w:rFonts w:ascii="仿宋" w:hAnsi="仿宋" w:eastAsia="仿宋"/>
          <w:sz w:val="32"/>
          <w:szCs w:val="32"/>
        </w:rPr>
      </w:pPr>
      <w:r>
        <w:rPr>
          <w:rFonts w:hint="eastAsia" w:ascii="仿宋" w:hAnsi="仿宋" w:eastAsia="仿宋"/>
          <w:sz w:val="32"/>
          <w:szCs w:val="32"/>
        </w:rPr>
        <w:t>—— 全县各级各类医疗机构（综合医院、专科医院、中医类医院）、公共卫生机构（疾病预防控制、卫生监督、妇幼保健）、社区医疗卫生服务（乡镇卫生院、村卫生室、门诊部、诊所、医务室）等机构的总体布局、设施建设、标准及要求，按照《石家庄市都市区医疗卫生设施建设规划（2009—2020）》执行。</w:t>
      </w:r>
    </w:p>
    <w:p>
      <w:pPr>
        <w:ind w:firstLine="560"/>
        <w:rPr>
          <w:rFonts w:ascii="仿宋" w:hAnsi="仿宋" w:eastAsia="仿宋"/>
          <w:sz w:val="32"/>
          <w:szCs w:val="32"/>
        </w:rPr>
      </w:pPr>
      <w:r>
        <w:rPr>
          <w:rFonts w:hint="eastAsia" w:ascii="仿宋" w:hAnsi="仿宋" w:eastAsia="仿宋"/>
          <w:sz w:val="32"/>
          <w:szCs w:val="32"/>
        </w:rPr>
        <w:t>2、床位</w:t>
      </w:r>
    </w:p>
    <w:p>
      <w:pPr>
        <w:ind w:firstLine="560"/>
        <w:rPr>
          <w:rFonts w:ascii="仿宋" w:hAnsi="仿宋" w:eastAsia="仿宋"/>
          <w:sz w:val="32"/>
          <w:szCs w:val="32"/>
        </w:rPr>
      </w:pPr>
      <w:r>
        <w:rPr>
          <w:rFonts w:hint="eastAsia" w:ascii="仿宋" w:hAnsi="仿宋" w:eastAsia="仿宋"/>
          <w:sz w:val="32"/>
          <w:szCs w:val="32"/>
        </w:rPr>
        <w:t>——规划期内，本县医疗卫生机构总床位控制在千人口3.5张，基层医疗卫生机构1.2张。县办综合性医院床位适宜规模500张。县办综合性医院床位超出配置标准的，不再扩床增编，可延续现有规模，严格管控病种结构，强化分级使用质量，适时向资源薄弱区域疏解超编床位。</w:t>
      </w:r>
    </w:p>
    <w:p>
      <w:pPr>
        <w:ind w:firstLine="560"/>
        <w:rPr>
          <w:rFonts w:ascii="仿宋" w:hAnsi="仿宋" w:eastAsia="仿宋"/>
          <w:sz w:val="32"/>
          <w:szCs w:val="32"/>
        </w:rPr>
      </w:pPr>
      <w:r>
        <w:rPr>
          <w:rFonts w:hint="eastAsia" w:ascii="仿宋" w:hAnsi="仿宋" w:eastAsia="仿宋"/>
          <w:sz w:val="32"/>
          <w:szCs w:val="32"/>
        </w:rPr>
        <w:t>3、人员</w:t>
      </w:r>
    </w:p>
    <w:p>
      <w:pPr>
        <w:ind w:firstLine="560"/>
        <w:rPr>
          <w:rFonts w:ascii="仿宋" w:hAnsi="仿宋" w:eastAsia="仿宋"/>
          <w:sz w:val="32"/>
          <w:szCs w:val="32"/>
        </w:rPr>
      </w:pPr>
      <w:r>
        <w:rPr>
          <w:rFonts w:hint="eastAsia" w:ascii="仿宋" w:hAnsi="仿宋" w:eastAsia="仿宋"/>
          <w:sz w:val="32"/>
          <w:szCs w:val="32"/>
        </w:rPr>
        <w:t>——充分适应医学专业分工精细化、执业多点化、人口老龄化、以及社会办医对人力资源增量的需要和要求，适度提高医生配置标准，大幅度提高护士配置水平。到2020年千人口执业（助理）医师2.8人，千人口注册护士数2人。</w:t>
      </w:r>
    </w:p>
    <w:p>
      <w:pPr>
        <w:ind w:firstLine="560"/>
        <w:rPr>
          <w:rFonts w:ascii="仿宋" w:hAnsi="仿宋" w:eastAsia="仿宋"/>
          <w:sz w:val="32"/>
          <w:szCs w:val="32"/>
        </w:rPr>
      </w:pPr>
      <w:r>
        <w:rPr>
          <w:rFonts w:hint="eastAsia" w:ascii="仿宋" w:hAnsi="仿宋" w:eastAsia="仿宋"/>
          <w:sz w:val="32"/>
          <w:szCs w:val="32"/>
        </w:rPr>
        <w:t>——充分应对疾病谱变化和疾病预防控制需要，进一步加强公共卫生机构人员队伍建设。到2020年，千人口专业公共卫生机构人员数约0.83人。万人口卫生监督员数约0.75人。</w:t>
      </w:r>
    </w:p>
    <w:p>
      <w:pPr>
        <w:ind w:firstLine="560"/>
        <w:rPr>
          <w:rFonts w:ascii="仿宋" w:hAnsi="仿宋" w:eastAsia="仿宋"/>
          <w:sz w:val="32"/>
          <w:szCs w:val="32"/>
        </w:rPr>
      </w:pPr>
      <w:r>
        <w:rPr>
          <w:rFonts w:hint="eastAsia" w:ascii="仿宋" w:hAnsi="仿宋" w:eastAsia="仿宋"/>
          <w:sz w:val="32"/>
          <w:szCs w:val="32"/>
        </w:rPr>
        <w:t>4、设备</w:t>
      </w:r>
    </w:p>
    <w:p>
      <w:pPr>
        <w:ind w:firstLine="560"/>
        <w:rPr>
          <w:rFonts w:ascii="仿宋" w:hAnsi="仿宋" w:eastAsia="仿宋"/>
          <w:sz w:val="32"/>
          <w:szCs w:val="32"/>
        </w:rPr>
      </w:pPr>
      <w:r>
        <w:rPr>
          <w:rFonts w:hint="eastAsia" w:ascii="仿宋" w:hAnsi="仿宋" w:eastAsia="仿宋"/>
          <w:sz w:val="32"/>
          <w:szCs w:val="32"/>
        </w:rPr>
        <w:t>——根据功能定位、技术水平、学科发展和健康需求，严格按照 《大型医用设备配置与应用管理办法》和河北省乙型大型医用设备配置规划，优化全县大型医用设备资源，引导医疗机构合理配置适宜设备。</w:t>
      </w:r>
    </w:p>
    <w:p>
      <w:pPr>
        <w:ind w:firstLine="560"/>
        <w:rPr>
          <w:rFonts w:ascii="仿宋" w:hAnsi="仿宋" w:eastAsia="仿宋"/>
          <w:sz w:val="32"/>
          <w:szCs w:val="32"/>
        </w:rPr>
      </w:pPr>
      <w:r>
        <w:rPr>
          <w:rFonts w:hint="eastAsia" w:ascii="仿宋" w:hAnsi="仿宋" w:eastAsia="仿宋"/>
          <w:sz w:val="32"/>
          <w:szCs w:val="32"/>
        </w:rPr>
        <w:t>5、用地</w:t>
      </w:r>
    </w:p>
    <w:p>
      <w:pPr>
        <w:ind w:firstLine="560"/>
        <w:rPr>
          <w:rFonts w:ascii="仿宋" w:hAnsi="仿宋" w:eastAsia="仿宋"/>
          <w:sz w:val="32"/>
          <w:szCs w:val="32"/>
        </w:rPr>
      </w:pPr>
      <w:r>
        <w:rPr>
          <w:rFonts w:hint="eastAsia" w:ascii="仿宋" w:hAnsi="仿宋" w:eastAsia="仿宋"/>
          <w:sz w:val="32"/>
          <w:szCs w:val="32"/>
        </w:rPr>
        <w:t>——各级各类医疗卫生机构用地配置标准，按照《石家庄市都市区医疗卫生设施建设规划（2009—2020）》执行。</w:t>
      </w:r>
    </w:p>
    <w:p>
      <w:pPr>
        <w:pStyle w:val="10"/>
        <w:numPr>
          <w:ilvl w:val="0"/>
          <w:numId w:val="1"/>
        </w:numPr>
        <w:ind w:firstLineChars="0"/>
        <w:rPr>
          <w:rFonts w:hint="eastAsia" w:ascii="楷体" w:hAnsi="楷体" w:eastAsia="楷体"/>
          <w:sz w:val="32"/>
          <w:szCs w:val="32"/>
        </w:rPr>
      </w:pPr>
      <w:r>
        <w:rPr>
          <w:rFonts w:hint="eastAsia" w:ascii="楷体" w:hAnsi="楷体" w:eastAsia="楷体"/>
          <w:sz w:val="32"/>
          <w:szCs w:val="32"/>
        </w:rPr>
        <w:t>部门职责-工作活动绩效目标</w:t>
      </w:r>
    </w:p>
    <w:p>
      <w:pPr>
        <w:pStyle w:val="10"/>
        <w:ind w:left="1680" w:firstLine="0" w:firstLineChars="0"/>
        <w:rPr>
          <w:rFonts w:hint="eastAsia" w:ascii="楷体" w:hAnsi="楷体" w:eastAsia="楷体"/>
          <w:sz w:val="32"/>
          <w:szCs w:val="32"/>
        </w:rPr>
      </w:pPr>
    </w:p>
    <w:p>
      <w:pPr>
        <w:jc w:val="center"/>
        <w:outlineLvl w:val="0"/>
        <w:rPr>
          <w:rFonts w:ascii="方正小标宋_GBK" w:eastAsia="方正小标宋_GBK"/>
          <w:color w:val="FFFFFF"/>
          <w:sz w:val="32"/>
        </w:rPr>
      </w:pPr>
      <w:bookmarkStart w:id="0" w:name="_Toc2578859"/>
      <w:r>
        <w:rPr>
          <w:rFonts w:hint="eastAsia" w:ascii="方正小标宋_GBK" w:eastAsia="方正小标宋_GBK"/>
          <w:sz w:val="32"/>
        </w:rPr>
        <w:t>部门职责-工作活动绩效目标</w:t>
      </w:r>
      <w:r>
        <w:rPr>
          <w:rFonts w:ascii="方正小标宋_GBK" w:eastAsia="方正小标宋_GBK"/>
          <w:color w:val="FFFFFF"/>
          <w:sz w:val="32"/>
          <w:vertAlign w:val="superscript"/>
        </w:rPr>
        <w:sym w:font="Symbol" w:char="F020"/>
      </w:r>
      <w:bookmarkEnd w:id="0"/>
      <w:r>
        <w:rPr>
          <w:rFonts w:ascii="方正小标宋_GBK" w:eastAsia="方正小标宋_GBK"/>
          <w:color w:val="FFFFFF"/>
          <w:sz w:val="32"/>
        </w:rPr>
        <w:footnoteReference w:id="0" w:customMarkFollows="1"/>
      </w:r>
    </w:p>
    <w:tbl>
      <w:tblPr>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361</w:t>
            </w:r>
            <w:r>
              <w:rPr>
                <w:rFonts w:hint="eastAsia" w:ascii="方正小标宋_GBK" w:eastAsia="方正小标宋_GBK"/>
                <w:sz w:val="24"/>
              </w:rPr>
              <w:t>卫生局</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一、公共卫生</w:t>
            </w:r>
          </w:p>
        </w:tc>
        <w:tc>
          <w:tcPr>
            <w:tcW w:w="1276" w:type="dxa"/>
            <w:vAlign w:val="center"/>
          </w:tcPr>
          <w:p>
            <w:pPr>
              <w:spacing w:line="300" w:lineRule="exact"/>
              <w:jc w:val="left"/>
              <w:rPr>
                <w:rFonts w:ascii="方正书宋_GBK" w:eastAsia="方正书宋_GBK"/>
              </w:rPr>
            </w:pPr>
            <w:r>
              <w:rPr>
                <w:rFonts w:ascii="方正书宋_GBK" w:eastAsia="方正书宋_GBK"/>
              </w:rPr>
              <w:t>6509.06</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公共卫生是保障人民大众身心健康的公共事业，包括提供基本公共卫生服务，疾病预防控制，对突发公共卫生事件的应急处置，促进妇女儿童健康，食品安全风险监管等各项工作。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推进基本公共卫生服务均等化；控制各类重大疾病的发生与传播；有效应对我县突发公共卫生事件；保障妇女儿童身心健康；提高食品安全风险预警能力，为保障食品安全提供技术支撑。</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rPr>
          <w:trHeight w:val="227" w:hRule="atLeast"/>
          <w:jc w:val="center"/>
        </w:trPr>
        <w:tc>
          <w:tcPr>
            <w:tcW w:w="2341" w:type="dxa"/>
            <w:vMerge w:val="restart"/>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、基本公共卫生服务</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4063.06</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按照国家基本公共卫生服务项目《规范》，组织全县基层医疗卫生机构开展实施基本公共卫生服务项目。</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对城乡居民健康实行干预，减少危害健康的因素，有效预防传染病及慢性病，使其享有平等的基本卫生服务。</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免费健康体检率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城乡居民电子档案建档率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城乡居民健康档案建档率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rPr>
          <w:trHeight w:val="227" w:hRule="atLeast"/>
          <w:jc w:val="center"/>
        </w:trPr>
        <w:tc>
          <w:tcPr>
            <w:tcW w:w="2341" w:type="dxa"/>
            <w:vMerge w:val="restart"/>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、疾病预防控制</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1356.00</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组织落实重大疾病防治规划、国家免疫规划及严重危害人民健康公共卫生问题的干预措施，防止和控制疾病发生和疫情蔓延，组织开展全县爱国卫生工作。</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预防和控制疾病的发生、流动和传播，提高全县人民健康水平。</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重性精神疾病患者健康管理率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ascii="方正书宋_GBK" w:eastAsia="方正书宋_GBK"/>
              </w:rPr>
              <w:t>&lt;40%</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国家免疫规划疫苗接种率</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rPr>
          <w:trHeight w:val="227" w:hRule="atLeast"/>
          <w:jc w:val="center"/>
        </w:trPr>
        <w:tc>
          <w:tcPr>
            <w:tcW w:w="2341" w:type="dxa"/>
            <w:vMerge w:val="restart"/>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、突发公共卫生事件应急处置</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负责全县卫生应急体系和能力建设，突发公共卫生事件的预防准备、监测预警、处置救援、总结评估等工作。</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提高突发公共卫生事件的应急处置能力，有效应对突发公共卫生事件，保障人民群众健康和生命安全。</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突发公共卫生事件信息报告率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99%</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97%</w:t>
            </w:r>
          </w:p>
        </w:tc>
        <w:tc>
          <w:tcPr>
            <w:tcW w:w="737" w:type="dxa"/>
            <w:vAlign w:val="center"/>
          </w:tcPr>
          <w:p>
            <w:pPr>
              <w:spacing w:line="300" w:lineRule="exact"/>
              <w:jc w:val="center"/>
              <w:rPr>
                <w:rFonts w:ascii="方正书宋_GBK" w:eastAsia="方正书宋_GBK"/>
              </w:rPr>
            </w:pPr>
            <w:r>
              <w:rPr>
                <w:rFonts w:ascii="方正书宋_GBK" w:eastAsia="方正书宋_GBK"/>
              </w:rPr>
              <w:t>&lt;97%</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突发公共事件卫生应急处置率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96%</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94%</w:t>
            </w:r>
          </w:p>
        </w:tc>
        <w:tc>
          <w:tcPr>
            <w:tcW w:w="737" w:type="dxa"/>
            <w:vAlign w:val="center"/>
          </w:tcPr>
          <w:p>
            <w:pPr>
              <w:spacing w:line="300" w:lineRule="exact"/>
              <w:jc w:val="center"/>
              <w:rPr>
                <w:rFonts w:ascii="方正书宋_GBK" w:eastAsia="方正书宋_GBK"/>
              </w:rPr>
            </w:pPr>
            <w:r>
              <w:rPr>
                <w:rFonts w:ascii="方正书宋_GBK" w:eastAsia="方正书宋_GBK"/>
              </w:rPr>
              <w:t>&lt;94%</w:t>
            </w:r>
          </w:p>
        </w:tc>
      </w:tr>
      <w:tr>
        <w:trPr>
          <w:trHeight w:val="227" w:hRule="atLeast"/>
          <w:jc w:val="center"/>
        </w:trPr>
        <w:tc>
          <w:tcPr>
            <w:tcW w:w="2341" w:type="dxa"/>
            <w:vMerge w:val="restart"/>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、妇幼健康服务</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1090.00</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落实上级妇幼健康服务项目，开展母婴保健、辅助生殖技术管理、妇女儿童常见病和多发病防治、出生缺陷综合防治、出生医学证明等母婴保健法律证件管理等各项工作。</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提高妇女儿童健康水平和出生人口素质。</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住院分娩率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96%</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94%</w:t>
            </w:r>
          </w:p>
        </w:tc>
        <w:tc>
          <w:tcPr>
            <w:tcW w:w="737" w:type="dxa"/>
            <w:vAlign w:val="center"/>
          </w:tcPr>
          <w:p>
            <w:pPr>
              <w:spacing w:line="300" w:lineRule="exact"/>
              <w:jc w:val="center"/>
              <w:rPr>
                <w:rFonts w:ascii="方正书宋_GBK" w:eastAsia="方正书宋_GBK"/>
              </w:rPr>
            </w:pPr>
            <w:r>
              <w:rPr>
                <w:rFonts w:ascii="方正书宋_GBK" w:eastAsia="方正书宋_GBK"/>
              </w:rPr>
              <w:t>&lt;94%</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ascii="方正书宋_GBK" w:eastAsia="方正书宋_GBK"/>
              </w:rPr>
              <w:t>5</w:t>
            </w:r>
            <w:r>
              <w:rPr>
                <w:rFonts w:hint="eastAsia" w:ascii="方正书宋_GBK" w:eastAsia="方正书宋_GBK"/>
              </w:rPr>
              <w:t>岁婴儿死亡率（</w:t>
            </w:r>
            <w:r>
              <w:rPr>
                <w:rFonts w:hint="cs" w:ascii="方正书宋_GBK" w:eastAsia="方正书宋_GBK"/>
              </w:rPr>
              <w:t>‰</w:t>
            </w:r>
            <w:r>
              <w:rPr>
                <w:rFonts w:hint="eastAsia" w:ascii="方正书宋_GBK" w:eastAsia="方正书宋_GBK"/>
              </w:rPr>
              <w:t>）</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&lt;7‰</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8‰</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9‰</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新生儿疾病筛查率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&lt;80%</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产前筛查率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45%</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ascii="方正书宋_GBK" w:eastAsia="方正书宋_GBK"/>
              </w:rPr>
              <w:t>&lt;40%</w:t>
            </w:r>
          </w:p>
        </w:tc>
      </w:tr>
      <w:tr>
        <w:trPr>
          <w:trHeight w:val="227" w:hRule="atLeast"/>
          <w:jc w:val="center"/>
        </w:trPr>
        <w:tc>
          <w:tcPr>
            <w:tcW w:w="2341" w:type="dxa"/>
            <w:vMerge w:val="restart"/>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、食品安全保障</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开展食品安全风险监测和食源性疾病监测，贯彻宣传食品安全标准并跟踪评价，加强食品安全标准和风险监测评估能力建设，提供全县食品安全监管技术支持。</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健全我县食品安全风险监测体系，提高我县食品安全风险监测预警能力，保障人民群众身体健康。</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食品安全标准跟踪评价完成率</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食品污染物及有害因素监测任务完成率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二、医疗卫生</w:t>
            </w:r>
          </w:p>
        </w:tc>
        <w:tc>
          <w:tcPr>
            <w:tcW w:w="1276" w:type="dxa"/>
            <w:vAlign w:val="center"/>
          </w:tcPr>
          <w:p>
            <w:pPr>
              <w:spacing w:line="300" w:lineRule="exact"/>
              <w:jc w:val="left"/>
              <w:rPr>
                <w:rFonts w:ascii="方正书宋_GBK" w:eastAsia="方正书宋_GBK"/>
              </w:rPr>
            </w:pPr>
            <w:r>
              <w:rPr>
                <w:rFonts w:ascii="方正书宋_GBK" w:eastAsia="方正书宋_GBK"/>
              </w:rPr>
              <w:t>4588.26</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以医疗技术为基本服务手段，通过各级各类医疗机构，向广大人民群众提供的医疗、预防、保健及康复等服务。</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提高医疗机构的疾病救治能力，强化公立医院和基层医疗卫生机构综合改革，满足各类人民群众的医疗服务需求。</w:t>
            </w:r>
          </w:p>
        </w:tc>
        <w:tc>
          <w:tcPr>
            <w:tcW w:w="1417" w:type="dxa"/>
            <w:vAlign w:val="center"/>
          </w:tcPr>
          <w:p>
            <w:pPr>
              <w:spacing w:line="300" w:lineRule="exact"/>
              <w:jc w:val="left"/>
              <w:rPr>
                <w:rFonts w:hint="eastAsia"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ascii="方正书宋_GBK" w:eastAsia="方正书宋_GBK"/>
              </w:rPr>
            </w:pPr>
          </w:p>
        </w:tc>
      </w:tr>
      <w:tr>
        <w:trPr>
          <w:trHeight w:val="227" w:hRule="atLeast"/>
          <w:jc w:val="center"/>
        </w:trPr>
        <w:tc>
          <w:tcPr>
            <w:tcW w:w="2341" w:type="dxa"/>
            <w:vMerge w:val="restart"/>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、医疗服务</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针对不同类型的疾病提供预防、检查、诊断、治疗和康复等各类医疗服务，健全我县医疗机构和医疗服务全行业管理制度，开展医疗惠民工程等各类医疗服务工作。</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提高医疗救治水平，满足各类患者的医疗服务需求。</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患者死亡率</w:t>
            </w:r>
          </w:p>
        </w:tc>
        <w:tc>
          <w:tcPr>
            <w:tcW w:w="737" w:type="dxa"/>
            <w:vAlign w:val="center"/>
          </w:tcPr>
          <w:p>
            <w:pPr>
              <w:spacing w:line="300" w:lineRule="exact"/>
              <w:jc w:val="center"/>
              <w:rPr>
                <w:rFonts w:ascii="方正书宋_GBK" w:eastAsia="方正书宋_GBK"/>
              </w:rPr>
            </w:pPr>
            <w:r>
              <w:rPr>
                <w:rFonts w:ascii="方正书宋_GBK" w:eastAsia="方正书宋_GBK"/>
              </w:rPr>
              <w:t>&lt;3‰</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&lt;5‰</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ascii="方正书宋_GBK" w:eastAsia="方正书宋_GBK"/>
              </w:rPr>
              <w:t>&gt;5‰</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入出院诊断符合率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&lt;85%</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门急诊服务窗口平均等候时间（分钟）</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&lt;10</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&lt;15</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&lt;20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病床使用率</w:t>
            </w:r>
            <w:r>
              <w:rPr>
                <w:rFonts w:ascii="方正书宋_GBK" w:eastAsia="方正书宋_GBK"/>
              </w:rPr>
              <w:t>(</w:t>
            </w:r>
            <w:r>
              <w:rPr>
                <w:rFonts w:hint="eastAsia" w:ascii="方正书宋_GBK" w:eastAsia="方正书宋_GBK"/>
              </w:rPr>
              <w:t>个）</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&lt;10</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出院者平均住院天数</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&lt;7</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&lt;9</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&lt;10</w:t>
            </w:r>
          </w:p>
        </w:tc>
        <w:tc>
          <w:tcPr>
            <w:tcW w:w="737" w:type="dxa"/>
            <w:vAlign w:val="center"/>
          </w:tcPr>
          <w:p>
            <w:pPr>
              <w:spacing w:line="300" w:lineRule="exact"/>
              <w:jc w:val="center"/>
              <w:rPr>
                <w:rFonts w:ascii="方正书宋_GBK" w:eastAsia="方正书宋_GBK"/>
              </w:rPr>
            </w:pPr>
            <w:r>
              <w:rPr>
                <w:rFonts w:ascii="方正书宋_GBK" w:eastAsia="方正书宋_GBK"/>
              </w:rPr>
              <w:t>&gt;10</w:t>
            </w:r>
          </w:p>
        </w:tc>
      </w:tr>
      <w:tr>
        <w:trPr>
          <w:trHeight w:val="227" w:hRule="atLeast"/>
          <w:jc w:val="center"/>
        </w:trPr>
        <w:tc>
          <w:tcPr>
            <w:tcW w:w="2341" w:type="dxa"/>
            <w:vMerge w:val="restart"/>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、医疗保障</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通过建立和实施新型农村合作医疗、疾病应急救助以及公费医疗等制度，保障各类人群享有所需医疗服务权益。</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有效降低城乡居民看病就医的经济负担。</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重大疾病住院报销比例</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新农合政策范围内住院费用报销比例</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新农合参合率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&lt;85%</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县直保健对象健康体检率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ascii="方正书宋_GBK" w:eastAsia="方正书宋_GBK"/>
              </w:rPr>
              <w:t>&lt;60%</w:t>
            </w:r>
          </w:p>
        </w:tc>
      </w:tr>
      <w:tr>
        <w:trPr>
          <w:trHeight w:val="227" w:hRule="atLeast"/>
          <w:jc w:val="center"/>
        </w:trPr>
        <w:tc>
          <w:tcPr>
            <w:tcW w:w="2341" w:type="dxa"/>
            <w:vMerge w:val="restart"/>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、公立医院和基层医疗卫生机构综合改革</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4588.26</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按照上级有关要求，继续组织实施国家基本药物制度，制定全县基本药物采购、配送、使用管理制度，建立药品和高值医用耗材集中采购制度，加速推进公立医院和基层医疗卫生机构综合改革各项工作。</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逐步取消公立医院药品加成，实现基本药物制度乡村卫生机构全覆盖，健全和完善药品和高值医用耗材集中采购制度，缓解百姓</w:t>
            </w:r>
            <w:r>
              <w:rPr>
                <w:rFonts w:hint="cs" w:ascii="方正书宋_GBK" w:eastAsia="方正书宋_GBK"/>
              </w:rPr>
              <w:t>“</w:t>
            </w:r>
            <w:r>
              <w:rPr>
                <w:rFonts w:hint="eastAsia" w:ascii="方正书宋_GBK" w:eastAsia="方正书宋_GBK"/>
              </w:rPr>
              <w:t>看病难、看病贵</w:t>
            </w:r>
            <w:r>
              <w:rPr>
                <w:rFonts w:hint="cs" w:ascii="方正书宋_GBK" w:eastAsia="方正书宋_GBK"/>
              </w:rPr>
              <w:t>”</w:t>
            </w:r>
            <w:r>
              <w:rPr>
                <w:rFonts w:hint="eastAsia" w:ascii="方正书宋_GBK" w:eastAsia="方正书宋_GBK"/>
              </w:rPr>
              <w:t>问题。</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药占比</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&lt;45%</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&lt;50%</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&lt;55%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55%</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药品加成率</w:t>
            </w:r>
          </w:p>
        </w:tc>
        <w:tc>
          <w:tcPr>
            <w:tcW w:w="737" w:type="dxa"/>
            <w:vAlign w:val="center"/>
          </w:tcPr>
          <w:p>
            <w:pPr>
              <w:spacing w:line="300" w:lineRule="exact"/>
              <w:jc w:val="center"/>
              <w:rPr>
                <w:rFonts w:ascii="方正书宋_GBK" w:eastAsia="方正书宋_GBK"/>
              </w:rPr>
            </w:pPr>
            <w:r>
              <w:rPr>
                <w:rFonts w:ascii="方正书宋_GBK" w:eastAsia="方正书宋_GBK"/>
              </w:rPr>
              <w:t>&lt;15%</w:t>
            </w:r>
          </w:p>
        </w:tc>
        <w:tc>
          <w:tcPr>
            <w:tcW w:w="737" w:type="dxa"/>
            <w:vAlign w:val="center"/>
          </w:tcPr>
          <w:p>
            <w:pPr>
              <w:spacing w:line="300" w:lineRule="exact"/>
              <w:jc w:val="center"/>
              <w:rPr>
                <w:rFonts w:ascii="方正书宋_GBK" w:eastAsia="方正书宋_GBK"/>
              </w:rPr>
            </w:pPr>
            <w:r>
              <w:rPr>
                <w:rFonts w:ascii="方正书宋_GBK" w:eastAsia="方正书宋_GBK"/>
              </w:rPr>
              <w:t>&lt;18%</w:t>
            </w:r>
          </w:p>
        </w:tc>
        <w:tc>
          <w:tcPr>
            <w:tcW w:w="737" w:type="dxa"/>
            <w:vAlign w:val="center"/>
          </w:tcPr>
          <w:p>
            <w:pPr>
              <w:spacing w:line="300" w:lineRule="exact"/>
              <w:jc w:val="center"/>
              <w:rPr>
                <w:rFonts w:ascii="方正书宋_GBK" w:eastAsia="方正书宋_GBK"/>
              </w:rPr>
            </w:pPr>
            <w:r>
              <w:rPr>
                <w:rFonts w:ascii="方正书宋_GBK" w:eastAsia="方正书宋_GBK"/>
              </w:rPr>
              <w:t>&lt;20%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20%</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基层医疗卫生机构药品零差率实施率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&lt;90%</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公立医院改革覆盖率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医疗风险分担机制覆盖率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ascii="方正书宋_GBK" w:eastAsia="方正书宋_GBK"/>
              </w:rPr>
              <w:t>&lt;60%</w:t>
            </w:r>
          </w:p>
        </w:tc>
      </w:tr>
      <w:tr>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三、计划生育</w:t>
            </w:r>
          </w:p>
        </w:tc>
        <w:tc>
          <w:tcPr>
            <w:tcW w:w="1276" w:type="dxa"/>
            <w:vAlign w:val="center"/>
          </w:tcPr>
          <w:p>
            <w:pPr>
              <w:spacing w:line="300" w:lineRule="exact"/>
              <w:jc w:val="left"/>
              <w:rPr>
                <w:rFonts w:ascii="方正书宋_GBK" w:eastAsia="方正书宋_GBK"/>
              </w:rPr>
            </w:pPr>
            <w:r>
              <w:rPr>
                <w:rFonts w:ascii="方正书宋_GBK" w:eastAsia="方正书宋_GBK"/>
              </w:rPr>
              <w:t>790.80</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坚持计划生育基本国策，提供各类计划生育技术服务，建立计划生育利益导向机制，开展出生人口性别比治理以及流动人口计划生育管理等各项工作。</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保持适度的低生育水平，有效保障计划生育家庭生活水平，提高妇女生殖健康水平，降低出生缺陷的发生，有效遏制出生人口性别比偏高问题。</w:t>
            </w:r>
          </w:p>
        </w:tc>
        <w:tc>
          <w:tcPr>
            <w:tcW w:w="1417" w:type="dxa"/>
            <w:vAlign w:val="center"/>
          </w:tcPr>
          <w:p>
            <w:pPr>
              <w:spacing w:line="300" w:lineRule="exact"/>
              <w:jc w:val="left"/>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ascii="方正书宋_GBK" w:eastAsia="方正书宋_GBK"/>
              </w:rPr>
            </w:pPr>
          </w:p>
        </w:tc>
      </w:tr>
      <w:tr>
        <w:trPr>
          <w:trHeight w:val="227" w:hRule="atLeast"/>
          <w:jc w:val="center"/>
        </w:trPr>
        <w:tc>
          <w:tcPr>
            <w:tcW w:w="2341" w:type="dxa"/>
            <w:vMerge w:val="restart"/>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、计划生育家庭发展与利益导向机制建设</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786.50</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通过实施国家奖扶、特扶等制度，创建幸福家庭等工作，全面提高计划生育家庭的发展能力。</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有效引导群众自觉实行计划生育，加强计划生育家庭的发展能力，提高计划生育家庭的凝聚力及成员幸福感。</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计划生育家庭特别扶助政策落实率</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农村部分计划生育家庭奖励扶助政策落实率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、计划生育指导与管理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做好出生人口性别比治理工作，加强流动人口计划生育管理，提升基层基础计划生育队伍服务水平。</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逐步扩大流动人口卫生计生基本公共服务均等化覆盖面，提高计划生育依法行政能力，提高各类人群计划生育服务满意度，促进社会和谐发展。</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流动人口计划生育服务满意率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ascii="方正书宋_GBK" w:eastAsia="方正书宋_GBK"/>
              </w:rPr>
              <w:t>&lt;85%</w:t>
            </w:r>
          </w:p>
        </w:tc>
      </w:tr>
      <w:tr>
        <w:trPr>
          <w:trHeight w:val="227" w:hRule="atLeast"/>
          <w:jc w:val="center"/>
        </w:trPr>
        <w:tc>
          <w:tcPr>
            <w:tcW w:w="2341" w:type="dxa"/>
            <w:vMerge w:val="restart"/>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、计划生育群众工作</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4.30</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协助政府开展计划生育群众自治、亲情关爱及幸福工程等工作，动员广大群众自觉参与和实行各项计划生育政策。</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增进广大育龄群众和计生家庭福祉，提高群众自觉实行计划生育的积极性。</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试点地区失独家庭</w:t>
            </w:r>
            <w:r>
              <w:rPr>
                <w:rFonts w:hint="cs" w:ascii="方正书宋_GBK" w:eastAsia="方正书宋_GBK"/>
              </w:rPr>
              <w:t>“</w:t>
            </w:r>
            <w:r>
              <w:rPr>
                <w:rFonts w:hint="eastAsia" w:ascii="方正书宋_GBK" w:eastAsia="方正书宋_GBK"/>
              </w:rPr>
              <w:t>亲情关爱</w:t>
            </w:r>
            <w:r>
              <w:rPr>
                <w:rFonts w:hint="cs" w:ascii="方正书宋_GBK" w:eastAsia="方正书宋_GBK"/>
              </w:rPr>
              <w:t>”</w:t>
            </w:r>
            <w:r>
              <w:rPr>
                <w:rFonts w:hint="eastAsia" w:ascii="方正书宋_GBK" w:eastAsia="方正书宋_GBK"/>
              </w:rPr>
              <w:t>帮扶覆盖面</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计划生育基层群众自治村（居）覆盖率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四、中医药</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中医药人才培养、中医药信息化建设、中医药文化推广等各项工作，满足各类人民群众享受民族医药服务的需求。</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加强中医药能力建设，提高中医药人员服务水平，有效发挥中医药在医疗保健领域的特色优势。</w:t>
            </w:r>
          </w:p>
        </w:tc>
        <w:tc>
          <w:tcPr>
            <w:tcW w:w="1417" w:type="dxa"/>
            <w:vAlign w:val="center"/>
          </w:tcPr>
          <w:p>
            <w:pPr>
              <w:spacing w:line="300" w:lineRule="exact"/>
              <w:jc w:val="left"/>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ascii="方正书宋_GBK" w:eastAsia="方正书宋_GBK"/>
              </w:rPr>
            </w:pPr>
          </w:p>
        </w:tc>
      </w:tr>
      <w:tr>
        <w:trPr>
          <w:trHeight w:val="227" w:hRule="atLeast"/>
          <w:jc w:val="center"/>
        </w:trPr>
        <w:tc>
          <w:tcPr>
            <w:tcW w:w="2341" w:type="dxa"/>
            <w:vMerge w:val="restart"/>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、中医药人才队伍和科研能力建设</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培养具有扎实中医药理论功底和较强辩证施治能力的中医临床技术人员，面向基层医疗机构推广中医药适宜技术。</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提高各级各类中医药人才的施治能力。</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中医药信息化建设任务完成率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培养优秀中医临床人才数量</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3</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2</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、中医药推广及文化宣传</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构建中医药核心价值体系，开展中医药文化传播与知识普及。</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提升人民群众中医养生保健素养和健康水准。</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中医药文化传播与知识普及活动完成率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ascii="方正书宋_GBK" w:eastAsia="方正书宋_GBK"/>
              </w:rPr>
              <w:t>&lt;60%</w:t>
            </w:r>
          </w:p>
        </w:tc>
      </w:tr>
      <w:tr>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、中医药服务能力建设</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培育和建设具有明显中医特色的重点专科，加强中医医疗机构信息化建设。</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提高中医药服务水平和救治能力，改善群众接受中医药服务的软硬件环境。</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患者满意度</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vAlign w:val="center"/>
          </w:tcPr>
          <w:p>
            <w:pPr>
              <w:spacing w:line="300" w:lineRule="exact"/>
              <w:jc w:val="center"/>
              <w:rPr>
                <w:rFonts w:ascii="方正书宋_GBK" w:eastAsia="方正书宋_GBK"/>
              </w:rPr>
            </w:pPr>
            <w:r>
              <w:rPr>
                <w:rFonts w:ascii="方正书宋_GBK" w:eastAsia="方正书宋_GBK"/>
              </w:rPr>
              <w:t>&lt;60%</w:t>
            </w:r>
          </w:p>
        </w:tc>
      </w:tr>
      <w:tr>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五、卫生计生政务</w:t>
            </w:r>
          </w:p>
        </w:tc>
        <w:tc>
          <w:tcPr>
            <w:tcW w:w="1276" w:type="dxa"/>
            <w:vAlign w:val="center"/>
          </w:tcPr>
          <w:p>
            <w:pPr>
              <w:spacing w:line="300" w:lineRule="exact"/>
              <w:jc w:val="left"/>
              <w:rPr>
                <w:rFonts w:ascii="方正书宋_GBK" w:eastAsia="方正书宋_GBK"/>
              </w:rPr>
            </w:pPr>
            <w:r>
              <w:rPr>
                <w:rFonts w:ascii="方正书宋_GBK" w:eastAsia="方正书宋_GBK"/>
              </w:rPr>
              <w:t>123.20</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拟定卫生计生改革与发展目标、规划，组织指导相关工作开展，承担政务公开和业务宣传工作，加强卫生计生能力建设。</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保障卫生计生事业稳定发展。</w:t>
            </w:r>
          </w:p>
        </w:tc>
        <w:tc>
          <w:tcPr>
            <w:tcW w:w="1417" w:type="dxa"/>
            <w:vAlign w:val="center"/>
          </w:tcPr>
          <w:p>
            <w:pPr>
              <w:spacing w:line="300" w:lineRule="exact"/>
              <w:jc w:val="left"/>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ascii="方正书宋_GBK" w:eastAsia="方正书宋_GBK"/>
              </w:rPr>
            </w:pPr>
          </w:p>
        </w:tc>
      </w:tr>
      <w:tr>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、卫生计生人才队伍及科研能力建设</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开展卫生计生人才培训，组织继续医学教育和适宜技术推广等工作。</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提高全县卫生计生人才队伍服务水平和卫生计生机构科研能力。</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推广基层医疗适宜技术项数</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6</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ascii="方正书宋_GBK" w:eastAsia="方正书宋_GBK"/>
              </w:rPr>
              <w:t>&lt;5</w:t>
            </w:r>
          </w:p>
        </w:tc>
      </w:tr>
      <w:tr>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、卫生计生综合监督</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监督卫生计生相关法律法规落实情况，督办重大卫生计生违法案件，指导和规范卫生计生人员执法行为，坚持计划生育目标管理责任制。</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保障卫生计生法律法规的落实，提升卫生计生工作规范化和法制化水平，保障人民群众卫生计生权益。</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职业卫生服务机构考核率</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rPr>
          <w:trHeight w:val="227" w:hRule="atLeast"/>
          <w:jc w:val="center"/>
        </w:trPr>
        <w:tc>
          <w:tcPr>
            <w:tcW w:w="2341" w:type="dxa"/>
            <w:vMerge w:val="restart"/>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、卫生计生综合业务管理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开展卫生计生规划、资源配置、统计、法制、政策研究、宣传教育、舆情监测等工作。</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为顺利开展各项卫生计生工作提供有效保障，确保卫生计生事业协调可持续发展。</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基层卫生计生服务人员培训结业率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卫生计生宣传教育完成率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ascii="方正书宋_GBK" w:eastAsia="方正书宋_GBK"/>
              </w:rPr>
              <w:t>&lt;60%</w:t>
            </w:r>
          </w:p>
        </w:tc>
      </w:tr>
      <w:tr>
        <w:trPr>
          <w:trHeight w:val="227" w:hRule="atLeast"/>
          <w:jc w:val="center"/>
        </w:trPr>
        <w:tc>
          <w:tcPr>
            <w:tcW w:w="2341" w:type="dxa"/>
            <w:vMerge w:val="restart"/>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、卫生计生综合事务管理</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123.20</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开展卫生计生信息化、基础设施、装备管理与配置等各项工作。</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提高我县卫生计生系统软硬件服务能力。</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安全生产事件有效防范</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是</w:t>
            </w:r>
          </w:p>
        </w:tc>
        <w:tc>
          <w:tcPr>
            <w:tcW w:w="737" w:type="dxa"/>
            <w:vAlign w:val="center"/>
          </w:tcPr>
          <w:p>
            <w:pPr>
              <w:spacing w:line="300" w:lineRule="exact"/>
              <w:jc w:val="center"/>
              <w:rPr>
                <w:rFonts w:hint="eastAsia" w:ascii="方正书宋_GBK" w:eastAsia="方正书宋_GBK"/>
              </w:rPr>
            </w:pPr>
            <w:r>
              <w:rPr>
                <w:rFonts w:hint="cs" w:ascii="方正书宋_GBK" w:eastAsia="方正书宋_GBK"/>
              </w:rPr>
              <w:t>——</w:t>
            </w:r>
          </w:p>
        </w:tc>
        <w:tc>
          <w:tcPr>
            <w:tcW w:w="737" w:type="dxa"/>
            <w:vAlign w:val="center"/>
          </w:tcPr>
          <w:p>
            <w:pPr>
              <w:spacing w:line="300" w:lineRule="exact"/>
              <w:jc w:val="center"/>
              <w:rPr>
                <w:rFonts w:hint="eastAsia" w:ascii="方正书宋_GBK" w:eastAsia="方正书宋_GBK"/>
              </w:rPr>
            </w:pPr>
            <w:r>
              <w:rPr>
                <w:rFonts w:hint="cs" w:ascii="方正书宋_GBK" w:eastAsia="方正书宋_GBK"/>
              </w:rPr>
              <w:t>——</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否</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卫生计生系统软硬件服务能力提升情况</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是</w:t>
            </w:r>
          </w:p>
        </w:tc>
        <w:tc>
          <w:tcPr>
            <w:tcW w:w="737" w:type="dxa"/>
            <w:vAlign w:val="center"/>
          </w:tcPr>
          <w:p>
            <w:pPr>
              <w:spacing w:line="300" w:lineRule="exact"/>
              <w:jc w:val="center"/>
              <w:rPr>
                <w:rFonts w:hint="cs" w:ascii="方正书宋_GBK" w:eastAsia="方正书宋_GBK"/>
              </w:rPr>
            </w:pPr>
            <w:r>
              <w:rPr>
                <w:rFonts w:hint="cs" w:ascii="方正书宋_GBK" w:eastAsia="方正书宋_GBK"/>
              </w:rPr>
              <w:t>——</w:t>
            </w:r>
          </w:p>
        </w:tc>
        <w:tc>
          <w:tcPr>
            <w:tcW w:w="737" w:type="dxa"/>
            <w:vAlign w:val="center"/>
          </w:tcPr>
          <w:p>
            <w:pPr>
              <w:spacing w:line="300" w:lineRule="exact"/>
              <w:jc w:val="center"/>
              <w:rPr>
                <w:rFonts w:hint="cs" w:ascii="方正书宋_GBK" w:eastAsia="方正书宋_GBK"/>
              </w:rPr>
            </w:pPr>
            <w:r>
              <w:rPr>
                <w:rFonts w:hint="cs" w:ascii="方正书宋_GBK" w:eastAsia="方正书宋_GBK"/>
              </w:rPr>
              <w:t>——</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否</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基层医疗卫生机构信息化系统覆盖率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hint="c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hint="c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&lt;70%</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软硬件正常服务情况</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是</w:t>
            </w:r>
          </w:p>
        </w:tc>
        <w:tc>
          <w:tcPr>
            <w:tcW w:w="737" w:type="dxa"/>
            <w:vAlign w:val="center"/>
          </w:tcPr>
          <w:p>
            <w:pPr>
              <w:spacing w:line="300" w:lineRule="exact"/>
              <w:jc w:val="center"/>
              <w:rPr>
                <w:rFonts w:hint="eastAsia" w:ascii="方正书宋_GBK" w:eastAsia="方正书宋_GBK"/>
              </w:rPr>
            </w:pPr>
            <w:r>
              <w:rPr>
                <w:rFonts w:hint="cs" w:ascii="方正书宋_GBK" w:eastAsia="方正书宋_GBK"/>
              </w:rPr>
              <w:t>——</w:t>
            </w:r>
          </w:p>
        </w:tc>
        <w:tc>
          <w:tcPr>
            <w:tcW w:w="737" w:type="dxa"/>
            <w:vAlign w:val="center"/>
          </w:tcPr>
          <w:p>
            <w:pPr>
              <w:spacing w:line="300" w:lineRule="exact"/>
              <w:jc w:val="center"/>
              <w:rPr>
                <w:rFonts w:hint="eastAsia" w:ascii="方正书宋_GBK" w:eastAsia="方正书宋_GBK"/>
              </w:rPr>
            </w:pPr>
            <w:r>
              <w:rPr>
                <w:rFonts w:hint="cs" w:ascii="方正书宋_GBK" w:eastAsia="方正书宋_GBK"/>
              </w:rPr>
              <w:t>——</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否</w:t>
            </w:r>
          </w:p>
        </w:tc>
      </w:tr>
      <w:tr>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基础设施维修改造任务完成率</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hint="c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hint="c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&lt;70%</w:t>
            </w:r>
          </w:p>
        </w:tc>
      </w:tr>
    </w:tbl>
    <w:p>
      <w:pPr>
        <w:spacing w:line="300" w:lineRule="exact"/>
        <w:jc w:val="left"/>
        <w:outlineLvl w:val="0"/>
        <w:sectPr>
          <w:pgSz w:w="16839" w:h="11907" w:orient="landscape"/>
          <w:pgMar w:top="1020" w:right="1361" w:bottom="1020" w:left="1361" w:header="851" w:footer="992" w:gutter="0"/>
          <w:cols w:space="425" w:num="1"/>
          <w:docGrid w:type="lines" w:linePitch="312"/>
        </w:sectPr>
      </w:pPr>
    </w:p>
    <w:p>
      <w:pPr>
        <w:pStyle w:val="10"/>
        <w:ind w:left="1680" w:firstLine="0" w:firstLineChars="0"/>
        <w:rPr>
          <w:rFonts w:ascii="楷体" w:hAnsi="楷体" w:eastAsia="楷体"/>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autoSpaceDE w:val="0"/>
        <w:autoSpaceDN w:val="0"/>
        <w:adjustRightInd w:val="0"/>
        <w:ind w:firstLine="640" w:firstLineChars="200"/>
        <w:jc w:val="left"/>
        <w:rPr>
          <w:rFonts w:ascii="仿宋" w:hAnsi="仿宋" w:eastAsia="仿宋" w:cs="仿宋_GB2312"/>
          <w:sz w:val="32"/>
          <w:szCs w:val="32"/>
        </w:rPr>
      </w:pPr>
      <w:r>
        <w:rPr>
          <w:rFonts w:hint="eastAsia" w:ascii="仿宋" w:hAnsi="仿宋" w:eastAsia="仿宋" w:cs="仿宋_GB2312"/>
          <w:sz w:val="32"/>
          <w:szCs w:val="32"/>
        </w:rPr>
        <w:t>2019年本部门安排政府采购预算1083.11万元。</w:t>
      </w:r>
    </w:p>
    <w:p>
      <w:pPr>
        <w:jc w:val="center"/>
        <w:outlineLvl w:val="0"/>
        <w:rPr>
          <w:rFonts w:hint="eastAsia" w:ascii="方正小标宋_GBK" w:eastAsia="方正小标宋_GBK"/>
          <w:sz w:val="32"/>
        </w:rPr>
      </w:pPr>
      <w:bookmarkStart w:id="1" w:name="_Toc2578865"/>
      <w:r>
        <w:rPr>
          <w:rFonts w:hint="eastAsia" w:ascii="方正小标宋_GBK" w:eastAsia="方正小标宋_GBK"/>
          <w:sz w:val="32"/>
        </w:rPr>
        <w:t>部门政府采购预算</w:t>
      </w:r>
      <w:bookmarkEnd w:id="1"/>
    </w:p>
    <w:tbl>
      <w:tblPr>
        <w:tblW w:w="145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33"/>
        <w:gridCol w:w="1084"/>
        <w:gridCol w:w="959"/>
        <w:gridCol w:w="971"/>
        <w:gridCol w:w="746"/>
        <w:gridCol w:w="859"/>
        <w:gridCol w:w="834"/>
        <w:gridCol w:w="976"/>
        <w:gridCol w:w="976"/>
        <w:gridCol w:w="976"/>
        <w:gridCol w:w="947"/>
        <w:gridCol w:w="950"/>
        <w:gridCol w:w="950"/>
        <w:gridCol w:w="907"/>
      </w:tblGrid>
      <w:tr>
        <w:trPr>
          <w:tblHeader/>
          <w:jc w:val="center"/>
        </w:trPr>
        <w:tc>
          <w:tcPr>
            <w:tcW w:w="7886"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361</w:t>
            </w:r>
            <w:r>
              <w:rPr>
                <w:rFonts w:hint="eastAsia" w:ascii="方正小标宋_GBK" w:eastAsia="方正小标宋_GBK"/>
                <w:sz w:val="24"/>
              </w:rPr>
              <w:t>卫健局</w:t>
            </w:r>
          </w:p>
        </w:tc>
        <w:tc>
          <w:tcPr>
            <w:tcW w:w="6682"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rPr>
          <w:tblHeader/>
          <w:jc w:val="center"/>
        </w:trPr>
        <w:tc>
          <w:tcPr>
            <w:tcW w:w="3517"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9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971"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46"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859"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834"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682" w:type="dxa"/>
            <w:gridSpan w:val="7"/>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rPr>
          <w:tblHeader/>
          <w:jc w:val="center"/>
        </w:trPr>
        <w:tc>
          <w:tcPr>
            <w:tcW w:w="2433"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08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959" w:type="dxa"/>
            <w:vMerge w:val="continue"/>
            <w:vAlign w:val="center"/>
          </w:tcPr>
          <w:p>
            <w:pPr>
              <w:spacing w:line="300" w:lineRule="exact"/>
              <w:jc w:val="left"/>
              <w:outlineLvl w:val="0"/>
            </w:pPr>
          </w:p>
        </w:tc>
        <w:tc>
          <w:tcPr>
            <w:tcW w:w="971" w:type="dxa"/>
            <w:vMerge w:val="continue"/>
            <w:vAlign w:val="center"/>
          </w:tcPr>
          <w:p>
            <w:pPr>
              <w:spacing w:line="300" w:lineRule="exact"/>
              <w:jc w:val="left"/>
              <w:outlineLvl w:val="0"/>
            </w:pPr>
          </w:p>
        </w:tc>
        <w:tc>
          <w:tcPr>
            <w:tcW w:w="746" w:type="dxa"/>
            <w:vMerge w:val="continue"/>
            <w:vAlign w:val="center"/>
          </w:tcPr>
          <w:p>
            <w:pPr>
              <w:spacing w:line="300" w:lineRule="exact"/>
              <w:jc w:val="left"/>
              <w:outlineLvl w:val="0"/>
            </w:pPr>
          </w:p>
        </w:tc>
        <w:tc>
          <w:tcPr>
            <w:tcW w:w="859" w:type="dxa"/>
            <w:vMerge w:val="continue"/>
            <w:vAlign w:val="center"/>
          </w:tcPr>
          <w:p>
            <w:pPr>
              <w:spacing w:line="300" w:lineRule="exact"/>
              <w:jc w:val="left"/>
              <w:outlineLvl w:val="0"/>
            </w:pPr>
          </w:p>
        </w:tc>
        <w:tc>
          <w:tcPr>
            <w:tcW w:w="834" w:type="dxa"/>
            <w:vMerge w:val="continue"/>
            <w:vAlign w:val="center"/>
          </w:tcPr>
          <w:p>
            <w:pPr>
              <w:spacing w:line="300" w:lineRule="exact"/>
              <w:jc w:val="left"/>
              <w:outlineLvl w:val="0"/>
            </w:pPr>
          </w:p>
        </w:tc>
        <w:tc>
          <w:tcPr>
            <w:tcW w:w="976" w:type="dxa"/>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799" w:type="dxa"/>
            <w:gridSpan w:val="5"/>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rPr>
          <w:tblHeader/>
          <w:jc w:val="center"/>
        </w:trPr>
        <w:tc>
          <w:tcPr>
            <w:tcW w:w="2433" w:type="dxa"/>
            <w:vMerge w:val="continue"/>
            <w:vAlign w:val="center"/>
          </w:tcPr>
          <w:p>
            <w:pPr>
              <w:spacing w:line="300" w:lineRule="exact"/>
              <w:jc w:val="left"/>
              <w:outlineLvl w:val="0"/>
            </w:pPr>
          </w:p>
        </w:tc>
        <w:tc>
          <w:tcPr>
            <w:tcW w:w="1084" w:type="dxa"/>
            <w:vMerge w:val="continue"/>
            <w:vAlign w:val="center"/>
          </w:tcPr>
          <w:p>
            <w:pPr>
              <w:spacing w:line="300" w:lineRule="exact"/>
              <w:jc w:val="left"/>
              <w:outlineLvl w:val="0"/>
            </w:pPr>
          </w:p>
        </w:tc>
        <w:tc>
          <w:tcPr>
            <w:tcW w:w="959" w:type="dxa"/>
            <w:vMerge w:val="continue"/>
            <w:vAlign w:val="center"/>
          </w:tcPr>
          <w:p>
            <w:pPr>
              <w:spacing w:line="300" w:lineRule="exact"/>
              <w:jc w:val="left"/>
              <w:outlineLvl w:val="0"/>
            </w:pPr>
          </w:p>
        </w:tc>
        <w:tc>
          <w:tcPr>
            <w:tcW w:w="971" w:type="dxa"/>
            <w:vMerge w:val="continue"/>
            <w:vAlign w:val="center"/>
          </w:tcPr>
          <w:p>
            <w:pPr>
              <w:spacing w:line="300" w:lineRule="exact"/>
              <w:jc w:val="left"/>
              <w:outlineLvl w:val="0"/>
            </w:pPr>
          </w:p>
        </w:tc>
        <w:tc>
          <w:tcPr>
            <w:tcW w:w="746" w:type="dxa"/>
            <w:vMerge w:val="continue"/>
            <w:vAlign w:val="center"/>
          </w:tcPr>
          <w:p>
            <w:pPr>
              <w:spacing w:line="300" w:lineRule="exact"/>
              <w:jc w:val="left"/>
              <w:outlineLvl w:val="0"/>
            </w:pPr>
          </w:p>
        </w:tc>
        <w:tc>
          <w:tcPr>
            <w:tcW w:w="859" w:type="dxa"/>
            <w:vMerge w:val="continue"/>
            <w:vAlign w:val="center"/>
          </w:tcPr>
          <w:p>
            <w:pPr>
              <w:spacing w:line="300" w:lineRule="exact"/>
              <w:jc w:val="left"/>
              <w:outlineLvl w:val="0"/>
            </w:pPr>
          </w:p>
        </w:tc>
        <w:tc>
          <w:tcPr>
            <w:tcW w:w="834" w:type="dxa"/>
            <w:vMerge w:val="continue"/>
            <w:vAlign w:val="center"/>
          </w:tcPr>
          <w:p>
            <w:pPr>
              <w:spacing w:line="300" w:lineRule="exact"/>
              <w:jc w:val="left"/>
              <w:outlineLvl w:val="0"/>
            </w:pPr>
          </w:p>
        </w:tc>
        <w:tc>
          <w:tcPr>
            <w:tcW w:w="976" w:type="dxa"/>
            <w:vMerge w:val="continue"/>
            <w:vAlign w:val="center"/>
          </w:tcPr>
          <w:p>
            <w:pPr>
              <w:spacing w:line="300" w:lineRule="exact"/>
              <w:jc w:val="left"/>
              <w:outlineLvl w:val="0"/>
            </w:pPr>
          </w:p>
        </w:tc>
        <w:tc>
          <w:tcPr>
            <w:tcW w:w="976"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76"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47"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950"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907" w:type="dxa"/>
            <w:vMerge w:val="continue"/>
            <w:vAlign w:val="center"/>
          </w:tcPr>
          <w:p>
            <w:pPr>
              <w:spacing w:line="300" w:lineRule="exact"/>
              <w:jc w:val="left"/>
              <w:outlineLvl w:val="0"/>
            </w:pPr>
          </w:p>
        </w:tc>
      </w:tr>
      <w:tr>
        <w:trPr>
          <w:jc w:val="center"/>
        </w:trPr>
        <w:tc>
          <w:tcPr>
            <w:tcW w:w="2433"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084" w:type="dxa"/>
            <w:vAlign w:val="center"/>
          </w:tcPr>
          <w:p>
            <w:pPr>
              <w:spacing w:line="300" w:lineRule="exact"/>
              <w:jc w:val="right"/>
              <w:rPr>
                <w:rFonts w:ascii="方正书宋_GBK" w:eastAsia="方正书宋_GBK"/>
                <w:b/>
              </w:rPr>
            </w:pPr>
          </w:p>
        </w:tc>
        <w:tc>
          <w:tcPr>
            <w:tcW w:w="959" w:type="dxa"/>
            <w:vAlign w:val="center"/>
          </w:tcPr>
          <w:p>
            <w:pPr>
              <w:spacing w:line="300" w:lineRule="exact"/>
              <w:jc w:val="left"/>
              <w:rPr>
                <w:rFonts w:ascii="方正书宋_GBK" w:eastAsia="方正书宋_GBK"/>
                <w:b/>
              </w:rPr>
            </w:pPr>
          </w:p>
        </w:tc>
        <w:tc>
          <w:tcPr>
            <w:tcW w:w="971" w:type="dxa"/>
            <w:vAlign w:val="center"/>
          </w:tcPr>
          <w:p>
            <w:pPr>
              <w:spacing w:line="300" w:lineRule="exact"/>
              <w:jc w:val="left"/>
              <w:rPr>
                <w:rFonts w:ascii="方正书宋_GBK" w:eastAsia="方正书宋_GBK"/>
                <w:b/>
              </w:rPr>
            </w:pPr>
          </w:p>
        </w:tc>
        <w:tc>
          <w:tcPr>
            <w:tcW w:w="746" w:type="dxa"/>
            <w:vAlign w:val="center"/>
          </w:tcPr>
          <w:p>
            <w:pPr>
              <w:spacing w:line="300" w:lineRule="exact"/>
              <w:jc w:val="left"/>
              <w:rPr>
                <w:rFonts w:ascii="方正书宋_GBK" w:eastAsia="方正书宋_GBK"/>
                <w:b/>
              </w:rPr>
            </w:pPr>
          </w:p>
        </w:tc>
        <w:tc>
          <w:tcPr>
            <w:tcW w:w="859" w:type="dxa"/>
            <w:vAlign w:val="center"/>
          </w:tcPr>
          <w:p>
            <w:pPr>
              <w:spacing w:line="300" w:lineRule="exact"/>
              <w:jc w:val="right"/>
              <w:rPr>
                <w:rFonts w:ascii="方正书宋_GBK" w:eastAsia="方正书宋_GBK"/>
                <w:b/>
              </w:rPr>
            </w:pPr>
          </w:p>
        </w:tc>
        <w:tc>
          <w:tcPr>
            <w:tcW w:w="834" w:type="dxa"/>
            <w:vAlign w:val="center"/>
          </w:tcPr>
          <w:p>
            <w:pPr>
              <w:spacing w:line="300" w:lineRule="exact"/>
              <w:jc w:val="right"/>
              <w:rPr>
                <w:rFonts w:ascii="方正书宋_GBK" w:eastAsia="方正书宋_GBK"/>
                <w:b/>
              </w:rPr>
            </w:pPr>
          </w:p>
        </w:tc>
        <w:tc>
          <w:tcPr>
            <w:tcW w:w="976" w:type="dxa"/>
            <w:vAlign w:val="center"/>
          </w:tcPr>
          <w:p>
            <w:pPr>
              <w:spacing w:line="300" w:lineRule="exact"/>
              <w:jc w:val="right"/>
              <w:rPr>
                <w:rFonts w:ascii="方正书宋_GBK" w:eastAsia="方正书宋_GBK"/>
                <w:b/>
              </w:rPr>
            </w:pPr>
            <w:r>
              <w:rPr>
                <w:rFonts w:ascii="方正书宋_GBK" w:eastAsia="方正书宋_GBK"/>
                <w:b/>
              </w:rPr>
              <w:t>1083.11</w:t>
            </w:r>
          </w:p>
        </w:tc>
        <w:tc>
          <w:tcPr>
            <w:tcW w:w="976" w:type="dxa"/>
            <w:vAlign w:val="center"/>
          </w:tcPr>
          <w:p>
            <w:pPr>
              <w:spacing w:line="300" w:lineRule="exact"/>
              <w:jc w:val="right"/>
              <w:rPr>
                <w:rFonts w:ascii="方正书宋_GBK" w:eastAsia="方正书宋_GBK"/>
                <w:b/>
              </w:rPr>
            </w:pPr>
            <w:r>
              <w:rPr>
                <w:rFonts w:ascii="方正书宋_GBK" w:eastAsia="方正书宋_GBK"/>
                <w:b/>
              </w:rPr>
              <w:t>1083.11</w:t>
            </w:r>
          </w:p>
        </w:tc>
        <w:tc>
          <w:tcPr>
            <w:tcW w:w="976" w:type="dxa"/>
            <w:vAlign w:val="center"/>
          </w:tcPr>
          <w:p>
            <w:pPr>
              <w:spacing w:line="300" w:lineRule="exact"/>
              <w:jc w:val="right"/>
              <w:rPr>
                <w:rFonts w:ascii="方正书宋_GBK" w:eastAsia="方正书宋_GBK"/>
                <w:b/>
              </w:rPr>
            </w:pPr>
            <w:r>
              <w:rPr>
                <w:rFonts w:ascii="方正书宋_GBK" w:eastAsia="方正书宋_GBK"/>
                <w:b/>
              </w:rPr>
              <w:t>1083.11</w:t>
            </w:r>
          </w:p>
        </w:tc>
        <w:tc>
          <w:tcPr>
            <w:tcW w:w="947" w:type="dxa"/>
            <w:vAlign w:val="center"/>
          </w:tcPr>
          <w:p>
            <w:pPr>
              <w:spacing w:line="300" w:lineRule="exact"/>
              <w:jc w:val="right"/>
              <w:rPr>
                <w:rFonts w:ascii="方正书宋_GBK" w:eastAsia="方正书宋_GBK"/>
                <w:b/>
              </w:rPr>
            </w:pPr>
          </w:p>
        </w:tc>
        <w:tc>
          <w:tcPr>
            <w:tcW w:w="950" w:type="dxa"/>
            <w:vAlign w:val="center"/>
          </w:tcPr>
          <w:p>
            <w:pPr>
              <w:spacing w:line="300" w:lineRule="exact"/>
              <w:jc w:val="right"/>
              <w:rPr>
                <w:rFonts w:ascii="方正书宋_GBK" w:eastAsia="方正书宋_GBK"/>
                <w:b/>
              </w:rPr>
            </w:pPr>
          </w:p>
        </w:tc>
        <w:tc>
          <w:tcPr>
            <w:tcW w:w="950"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r>
      <w:tr>
        <w:trPr>
          <w:jc w:val="center"/>
        </w:trPr>
        <w:tc>
          <w:tcPr>
            <w:tcW w:w="2433" w:type="dxa"/>
            <w:vAlign w:val="center"/>
          </w:tcPr>
          <w:p>
            <w:pPr>
              <w:spacing w:line="300" w:lineRule="exact"/>
              <w:jc w:val="center"/>
              <w:rPr>
                <w:rFonts w:hint="eastAsia" w:ascii="方正书宋_GBK" w:eastAsia="方正书宋_GBK"/>
                <w:b/>
              </w:rPr>
            </w:pPr>
            <w:r>
              <w:rPr>
                <w:rFonts w:hint="eastAsia" w:ascii="方正书宋_GBK" w:eastAsia="方正书宋_GBK"/>
                <w:b/>
              </w:rPr>
              <w:t>无极县卫生和计划生育局小计</w:t>
            </w:r>
          </w:p>
        </w:tc>
        <w:tc>
          <w:tcPr>
            <w:tcW w:w="1084" w:type="dxa"/>
            <w:vAlign w:val="center"/>
          </w:tcPr>
          <w:p>
            <w:pPr>
              <w:spacing w:line="300" w:lineRule="exact"/>
              <w:jc w:val="right"/>
              <w:rPr>
                <w:rFonts w:ascii="方正书宋_GBK" w:eastAsia="方正书宋_GBK"/>
                <w:b/>
              </w:rPr>
            </w:pPr>
          </w:p>
        </w:tc>
        <w:tc>
          <w:tcPr>
            <w:tcW w:w="959" w:type="dxa"/>
            <w:vAlign w:val="center"/>
          </w:tcPr>
          <w:p>
            <w:pPr>
              <w:spacing w:line="300" w:lineRule="exact"/>
              <w:jc w:val="left"/>
              <w:rPr>
                <w:rFonts w:ascii="方正书宋_GBK" w:eastAsia="方正书宋_GBK"/>
                <w:b/>
              </w:rPr>
            </w:pPr>
          </w:p>
        </w:tc>
        <w:tc>
          <w:tcPr>
            <w:tcW w:w="971" w:type="dxa"/>
            <w:vAlign w:val="center"/>
          </w:tcPr>
          <w:p>
            <w:pPr>
              <w:spacing w:line="300" w:lineRule="exact"/>
              <w:jc w:val="left"/>
              <w:rPr>
                <w:rFonts w:ascii="方正书宋_GBK" w:eastAsia="方正书宋_GBK"/>
                <w:b/>
              </w:rPr>
            </w:pPr>
          </w:p>
        </w:tc>
        <w:tc>
          <w:tcPr>
            <w:tcW w:w="746" w:type="dxa"/>
            <w:vAlign w:val="center"/>
          </w:tcPr>
          <w:p>
            <w:pPr>
              <w:spacing w:line="300" w:lineRule="exact"/>
              <w:jc w:val="left"/>
              <w:rPr>
                <w:rFonts w:ascii="方正书宋_GBK" w:eastAsia="方正书宋_GBK"/>
                <w:b/>
              </w:rPr>
            </w:pPr>
          </w:p>
        </w:tc>
        <w:tc>
          <w:tcPr>
            <w:tcW w:w="859" w:type="dxa"/>
            <w:vAlign w:val="center"/>
          </w:tcPr>
          <w:p>
            <w:pPr>
              <w:spacing w:line="300" w:lineRule="exact"/>
              <w:jc w:val="right"/>
              <w:rPr>
                <w:rFonts w:ascii="方正书宋_GBK" w:eastAsia="方正书宋_GBK"/>
                <w:b/>
              </w:rPr>
            </w:pPr>
          </w:p>
        </w:tc>
        <w:tc>
          <w:tcPr>
            <w:tcW w:w="834" w:type="dxa"/>
            <w:vAlign w:val="center"/>
          </w:tcPr>
          <w:p>
            <w:pPr>
              <w:spacing w:line="300" w:lineRule="exact"/>
              <w:jc w:val="right"/>
              <w:rPr>
                <w:rFonts w:ascii="方正书宋_GBK" w:eastAsia="方正书宋_GBK"/>
                <w:b/>
              </w:rPr>
            </w:pPr>
          </w:p>
        </w:tc>
        <w:tc>
          <w:tcPr>
            <w:tcW w:w="976" w:type="dxa"/>
            <w:vAlign w:val="center"/>
          </w:tcPr>
          <w:p>
            <w:pPr>
              <w:spacing w:line="300" w:lineRule="exact"/>
              <w:jc w:val="right"/>
              <w:rPr>
                <w:rFonts w:ascii="方正书宋_GBK" w:eastAsia="方正书宋_GBK"/>
                <w:b/>
              </w:rPr>
            </w:pPr>
            <w:r>
              <w:rPr>
                <w:rFonts w:ascii="方正书宋_GBK" w:eastAsia="方正书宋_GBK"/>
                <w:b/>
              </w:rPr>
              <w:t>983.11</w:t>
            </w:r>
          </w:p>
        </w:tc>
        <w:tc>
          <w:tcPr>
            <w:tcW w:w="976" w:type="dxa"/>
            <w:vAlign w:val="center"/>
          </w:tcPr>
          <w:p>
            <w:pPr>
              <w:spacing w:line="300" w:lineRule="exact"/>
              <w:jc w:val="right"/>
              <w:rPr>
                <w:rFonts w:ascii="方正书宋_GBK" w:eastAsia="方正书宋_GBK"/>
                <w:b/>
              </w:rPr>
            </w:pPr>
            <w:r>
              <w:rPr>
                <w:rFonts w:ascii="方正书宋_GBK" w:eastAsia="方正书宋_GBK"/>
                <w:b/>
              </w:rPr>
              <w:t>983.11</w:t>
            </w:r>
          </w:p>
        </w:tc>
        <w:tc>
          <w:tcPr>
            <w:tcW w:w="976" w:type="dxa"/>
            <w:vAlign w:val="center"/>
          </w:tcPr>
          <w:p>
            <w:pPr>
              <w:spacing w:line="300" w:lineRule="exact"/>
              <w:jc w:val="right"/>
              <w:rPr>
                <w:rFonts w:ascii="方正书宋_GBK" w:eastAsia="方正书宋_GBK"/>
                <w:b/>
              </w:rPr>
            </w:pPr>
            <w:r>
              <w:rPr>
                <w:rFonts w:ascii="方正书宋_GBK" w:eastAsia="方正书宋_GBK"/>
                <w:b/>
              </w:rPr>
              <w:t>983.11</w:t>
            </w:r>
          </w:p>
        </w:tc>
        <w:tc>
          <w:tcPr>
            <w:tcW w:w="947" w:type="dxa"/>
            <w:vAlign w:val="center"/>
          </w:tcPr>
          <w:p>
            <w:pPr>
              <w:spacing w:line="300" w:lineRule="exact"/>
              <w:jc w:val="right"/>
              <w:rPr>
                <w:rFonts w:ascii="方正书宋_GBK" w:eastAsia="方正书宋_GBK"/>
                <w:b/>
              </w:rPr>
            </w:pPr>
          </w:p>
        </w:tc>
        <w:tc>
          <w:tcPr>
            <w:tcW w:w="950" w:type="dxa"/>
            <w:vAlign w:val="center"/>
          </w:tcPr>
          <w:p>
            <w:pPr>
              <w:spacing w:line="300" w:lineRule="exact"/>
              <w:jc w:val="right"/>
              <w:rPr>
                <w:rFonts w:ascii="方正书宋_GBK" w:eastAsia="方正书宋_GBK"/>
                <w:b/>
              </w:rPr>
            </w:pPr>
          </w:p>
        </w:tc>
        <w:tc>
          <w:tcPr>
            <w:tcW w:w="950"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r>
      <w:tr>
        <w:trPr>
          <w:jc w:val="center"/>
        </w:trPr>
        <w:tc>
          <w:tcPr>
            <w:tcW w:w="2433" w:type="dxa"/>
            <w:vAlign w:val="center"/>
          </w:tcPr>
          <w:p>
            <w:pPr>
              <w:spacing w:line="300" w:lineRule="exact"/>
              <w:jc w:val="left"/>
              <w:rPr>
                <w:rFonts w:hint="eastAsia" w:ascii="方正书宋_GBK" w:eastAsia="方正书宋_GBK"/>
              </w:rPr>
            </w:pPr>
            <w:r>
              <w:rPr>
                <w:rFonts w:hint="eastAsia" w:ascii="方正书宋_GBK" w:eastAsia="方正书宋_GBK"/>
              </w:rPr>
              <w:t>关于提前下达中央</w:t>
            </w:r>
            <w:r>
              <w:rPr>
                <w:rFonts w:ascii="方正书宋_GBK" w:eastAsia="方正书宋_GBK"/>
              </w:rPr>
              <w:t>2019</w:t>
            </w:r>
            <w:r>
              <w:rPr>
                <w:rFonts w:hint="eastAsia" w:ascii="方正书宋_GBK" w:eastAsia="方正书宋_GBK"/>
              </w:rPr>
              <w:t>年重大公共卫生服务补助资金预算的通知</w:t>
            </w:r>
          </w:p>
        </w:tc>
        <w:tc>
          <w:tcPr>
            <w:tcW w:w="1084" w:type="dxa"/>
            <w:vAlign w:val="center"/>
          </w:tcPr>
          <w:p>
            <w:pPr>
              <w:spacing w:line="300" w:lineRule="exact"/>
              <w:jc w:val="right"/>
              <w:rPr>
                <w:rFonts w:ascii="方正书宋_GBK" w:eastAsia="方正书宋_GBK"/>
              </w:rPr>
            </w:pPr>
            <w:r>
              <w:rPr>
                <w:rFonts w:ascii="方正书宋_GBK" w:eastAsia="方正书宋_GBK"/>
              </w:rPr>
              <w:t>176.00</w:t>
            </w:r>
          </w:p>
        </w:tc>
        <w:tc>
          <w:tcPr>
            <w:tcW w:w="959" w:type="dxa"/>
            <w:vAlign w:val="center"/>
          </w:tcPr>
          <w:p>
            <w:pPr>
              <w:spacing w:line="300" w:lineRule="exact"/>
              <w:jc w:val="left"/>
              <w:rPr>
                <w:rFonts w:ascii="方正书宋_GBK" w:eastAsia="方正书宋_GBK"/>
              </w:rPr>
            </w:pPr>
            <w:r>
              <w:rPr>
                <w:rFonts w:hint="eastAsia" w:ascii="方正书宋_GBK" w:eastAsia="方正书宋_GBK"/>
              </w:rPr>
              <w:t>办公设备</w:t>
            </w:r>
          </w:p>
        </w:tc>
        <w:tc>
          <w:tcPr>
            <w:tcW w:w="971" w:type="dxa"/>
            <w:vAlign w:val="center"/>
          </w:tcPr>
          <w:p>
            <w:pPr>
              <w:spacing w:line="300" w:lineRule="exact"/>
              <w:jc w:val="left"/>
              <w:rPr>
                <w:rFonts w:ascii="方正书宋_GBK" w:eastAsia="方正书宋_GBK"/>
              </w:rPr>
            </w:pPr>
            <w:r>
              <w:rPr>
                <w:rFonts w:ascii="方正书宋_GBK" w:eastAsia="方正书宋_GBK"/>
              </w:rPr>
              <w:t>A0202</w:t>
            </w:r>
          </w:p>
        </w:tc>
        <w:tc>
          <w:tcPr>
            <w:tcW w:w="746" w:type="dxa"/>
            <w:vAlign w:val="center"/>
          </w:tcPr>
          <w:p>
            <w:pPr>
              <w:spacing w:line="300" w:lineRule="exact"/>
              <w:jc w:val="left"/>
              <w:rPr>
                <w:rFonts w:ascii="方正书宋_GBK" w:eastAsia="方正书宋_GBK"/>
              </w:rPr>
            </w:pPr>
          </w:p>
        </w:tc>
        <w:tc>
          <w:tcPr>
            <w:tcW w:w="859" w:type="dxa"/>
            <w:vAlign w:val="center"/>
          </w:tcPr>
          <w:p>
            <w:pPr>
              <w:spacing w:line="300" w:lineRule="exact"/>
              <w:jc w:val="right"/>
              <w:rPr>
                <w:rFonts w:ascii="方正书宋_GBK" w:eastAsia="方正书宋_GBK"/>
              </w:rPr>
            </w:pPr>
            <w:r>
              <w:rPr>
                <w:rFonts w:ascii="方正书宋_GBK" w:eastAsia="方正书宋_GBK"/>
              </w:rPr>
              <w:t>10.00</w:t>
            </w:r>
          </w:p>
        </w:tc>
        <w:tc>
          <w:tcPr>
            <w:tcW w:w="834" w:type="dxa"/>
            <w:vAlign w:val="center"/>
          </w:tcPr>
          <w:p>
            <w:pPr>
              <w:spacing w:line="300" w:lineRule="exact"/>
              <w:jc w:val="right"/>
              <w:rPr>
                <w:rFonts w:ascii="方正书宋_GBK" w:eastAsia="方正书宋_GBK"/>
              </w:rPr>
            </w:pPr>
            <w:r>
              <w:rPr>
                <w:rFonts w:ascii="方正书宋_GBK" w:eastAsia="方正书宋_GBK"/>
              </w:rPr>
              <w:t>1.00</w:t>
            </w:r>
          </w:p>
        </w:tc>
        <w:tc>
          <w:tcPr>
            <w:tcW w:w="976" w:type="dxa"/>
            <w:vAlign w:val="center"/>
          </w:tcPr>
          <w:p>
            <w:pPr>
              <w:spacing w:line="300" w:lineRule="exact"/>
              <w:jc w:val="right"/>
              <w:rPr>
                <w:rFonts w:ascii="方正书宋_GBK" w:eastAsia="方正书宋_GBK"/>
              </w:rPr>
            </w:pPr>
            <w:r>
              <w:rPr>
                <w:rFonts w:ascii="方正书宋_GBK" w:eastAsia="方正书宋_GBK"/>
              </w:rPr>
              <w:t>10.00</w:t>
            </w:r>
          </w:p>
        </w:tc>
        <w:tc>
          <w:tcPr>
            <w:tcW w:w="976" w:type="dxa"/>
            <w:vAlign w:val="center"/>
          </w:tcPr>
          <w:p>
            <w:pPr>
              <w:spacing w:line="300" w:lineRule="exact"/>
              <w:jc w:val="right"/>
              <w:rPr>
                <w:rFonts w:ascii="方正书宋_GBK" w:eastAsia="方正书宋_GBK"/>
              </w:rPr>
            </w:pPr>
            <w:r>
              <w:rPr>
                <w:rFonts w:ascii="方正书宋_GBK" w:eastAsia="方正书宋_GBK"/>
              </w:rPr>
              <w:t>10.00</w:t>
            </w:r>
          </w:p>
        </w:tc>
        <w:tc>
          <w:tcPr>
            <w:tcW w:w="976" w:type="dxa"/>
            <w:vAlign w:val="center"/>
          </w:tcPr>
          <w:p>
            <w:pPr>
              <w:spacing w:line="300" w:lineRule="exact"/>
              <w:jc w:val="right"/>
              <w:rPr>
                <w:rFonts w:ascii="方正书宋_GBK" w:eastAsia="方正书宋_GBK"/>
              </w:rPr>
            </w:pPr>
            <w:r>
              <w:rPr>
                <w:rFonts w:ascii="方正书宋_GBK" w:eastAsia="方正书宋_GBK"/>
              </w:rPr>
              <w:t>10.00</w:t>
            </w:r>
          </w:p>
        </w:tc>
        <w:tc>
          <w:tcPr>
            <w:tcW w:w="947" w:type="dxa"/>
            <w:vAlign w:val="center"/>
          </w:tcPr>
          <w:p>
            <w:pPr>
              <w:spacing w:line="300" w:lineRule="exact"/>
              <w:jc w:val="right"/>
              <w:rPr>
                <w:rFonts w:ascii="方正书宋_GBK" w:eastAsia="方正书宋_GBK"/>
              </w:rPr>
            </w:pPr>
          </w:p>
        </w:tc>
        <w:tc>
          <w:tcPr>
            <w:tcW w:w="950" w:type="dxa"/>
            <w:vAlign w:val="center"/>
          </w:tcPr>
          <w:p>
            <w:pPr>
              <w:spacing w:line="300" w:lineRule="exact"/>
              <w:jc w:val="right"/>
              <w:rPr>
                <w:rFonts w:ascii="方正书宋_GBK" w:eastAsia="方正书宋_GBK"/>
              </w:rPr>
            </w:pPr>
          </w:p>
        </w:tc>
        <w:tc>
          <w:tcPr>
            <w:tcW w:w="950" w:type="dxa"/>
            <w:vAlign w:val="center"/>
          </w:tcPr>
          <w:p>
            <w:pPr>
              <w:spacing w:line="300" w:lineRule="exact"/>
              <w:jc w:val="right"/>
              <w:rPr>
                <w:rFonts w:ascii="方正书宋_GBK" w:eastAsia="方正书宋_GBK"/>
              </w:rPr>
            </w:pPr>
          </w:p>
        </w:tc>
        <w:tc>
          <w:tcPr>
            <w:tcW w:w="907" w:type="dxa"/>
            <w:vAlign w:val="center"/>
          </w:tcPr>
          <w:p>
            <w:pPr>
              <w:spacing w:line="300" w:lineRule="exact"/>
              <w:jc w:val="right"/>
              <w:rPr>
                <w:rFonts w:ascii="方正书宋_GBK" w:eastAsia="方正书宋_GBK"/>
              </w:rPr>
            </w:pPr>
          </w:p>
        </w:tc>
      </w:tr>
      <w:tr>
        <w:trPr>
          <w:jc w:val="center"/>
        </w:trPr>
        <w:tc>
          <w:tcPr>
            <w:tcW w:w="2433" w:type="dxa"/>
            <w:vAlign w:val="center"/>
          </w:tcPr>
          <w:p>
            <w:pPr>
              <w:spacing w:line="300" w:lineRule="exact"/>
              <w:jc w:val="left"/>
              <w:rPr>
                <w:rFonts w:hint="eastAsia" w:ascii="方正书宋_GBK" w:eastAsia="方正书宋_GBK"/>
              </w:rPr>
            </w:pPr>
            <w:r>
              <w:rPr>
                <w:rFonts w:hint="eastAsia" w:ascii="方正书宋_GBK" w:eastAsia="方正书宋_GBK"/>
              </w:rPr>
              <w:t>关于提前下达</w:t>
            </w:r>
            <w:r>
              <w:rPr>
                <w:rFonts w:ascii="方正书宋_GBK" w:eastAsia="方正书宋_GBK"/>
              </w:rPr>
              <w:t>2019</w:t>
            </w:r>
            <w:r>
              <w:rPr>
                <w:rFonts w:hint="eastAsia" w:ascii="方正书宋_GBK" w:eastAsia="方正书宋_GBK"/>
              </w:rPr>
              <w:t>年省级公共卫生服务补助资金预算指标的通知</w:t>
            </w:r>
          </w:p>
        </w:tc>
        <w:tc>
          <w:tcPr>
            <w:tcW w:w="1084" w:type="dxa"/>
            <w:vAlign w:val="center"/>
          </w:tcPr>
          <w:p>
            <w:pPr>
              <w:spacing w:line="300" w:lineRule="exact"/>
              <w:jc w:val="right"/>
              <w:rPr>
                <w:rFonts w:ascii="方正书宋_GBK" w:eastAsia="方正书宋_GBK"/>
              </w:rPr>
            </w:pPr>
            <w:r>
              <w:rPr>
                <w:rFonts w:ascii="方正书宋_GBK" w:eastAsia="方正书宋_GBK"/>
              </w:rPr>
              <w:t>1786.22</w:t>
            </w:r>
          </w:p>
        </w:tc>
        <w:tc>
          <w:tcPr>
            <w:tcW w:w="959" w:type="dxa"/>
            <w:vAlign w:val="center"/>
          </w:tcPr>
          <w:p>
            <w:pPr>
              <w:spacing w:line="300" w:lineRule="exact"/>
              <w:jc w:val="left"/>
              <w:rPr>
                <w:rFonts w:hint="eastAsia" w:ascii="方正书宋_GBK" w:eastAsia="方正书宋_GBK"/>
              </w:rPr>
            </w:pPr>
            <w:r>
              <w:rPr>
                <w:rFonts w:hint="eastAsia" w:ascii="方正书宋_GBK" w:eastAsia="方正书宋_GBK"/>
              </w:rPr>
              <w:t>医疗卫生服务</w:t>
            </w:r>
          </w:p>
        </w:tc>
        <w:tc>
          <w:tcPr>
            <w:tcW w:w="971" w:type="dxa"/>
            <w:vAlign w:val="center"/>
          </w:tcPr>
          <w:p>
            <w:pPr>
              <w:spacing w:line="300" w:lineRule="exact"/>
              <w:jc w:val="left"/>
              <w:rPr>
                <w:rFonts w:ascii="方正书宋_GBK" w:eastAsia="方正书宋_GBK"/>
              </w:rPr>
            </w:pPr>
            <w:r>
              <w:rPr>
                <w:rFonts w:ascii="方正书宋_GBK" w:eastAsia="方正书宋_GBK"/>
              </w:rPr>
              <w:t>C1901</w:t>
            </w:r>
          </w:p>
        </w:tc>
        <w:tc>
          <w:tcPr>
            <w:tcW w:w="746" w:type="dxa"/>
            <w:vAlign w:val="center"/>
          </w:tcPr>
          <w:p>
            <w:pPr>
              <w:spacing w:line="300" w:lineRule="exact"/>
              <w:jc w:val="left"/>
              <w:rPr>
                <w:rFonts w:ascii="方正书宋_GBK" w:eastAsia="方正书宋_GBK"/>
              </w:rPr>
            </w:pPr>
          </w:p>
        </w:tc>
        <w:tc>
          <w:tcPr>
            <w:tcW w:w="859" w:type="dxa"/>
            <w:vAlign w:val="center"/>
          </w:tcPr>
          <w:p>
            <w:pPr>
              <w:spacing w:line="300" w:lineRule="exact"/>
              <w:jc w:val="right"/>
              <w:rPr>
                <w:rFonts w:ascii="方正书宋_GBK" w:eastAsia="方正书宋_GBK"/>
              </w:rPr>
            </w:pPr>
            <w:r>
              <w:rPr>
                <w:rFonts w:ascii="方正书宋_GBK" w:eastAsia="方正书宋_GBK"/>
              </w:rPr>
              <w:t>893.11</w:t>
            </w:r>
          </w:p>
        </w:tc>
        <w:tc>
          <w:tcPr>
            <w:tcW w:w="834" w:type="dxa"/>
            <w:vAlign w:val="center"/>
          </w:tcPr>
          <w:p>
            <w:pPr>
              <w:spacing w:line="300" w:lineRule="exact"/>
              <w:jc w:val="right"/>
              <w:rPr>
                <w:rFonts w:ascii="方正书宋_GBK" w:eastAsia="方正书宋_GBK"/>
              </w:rPr>
            </w:pPr>
            <w:r>
              <w:rPr>
                <w:rFonts w:ascii="方正书宋_GBK" w:eastAsia="方正书宋_GBK"/>
              </w:rPr>
              <w:t>1.00</w:t>
            </w:r>
          </w:p>
        </w:tc>
        <w:tc>
          <w:tcPr>
            <w:tcW w:w="976" w:type="dxa"/>
            <w:vAlign w:val="center"/>
          </w:tcPr>
          <w:p>
            <w:pPr>
              <w:spacing w:line="300" w:lineRule="exact"/>
              <w:jc w:val="right"/>
              <w:rPr>
                <w:rFonts w:ascii="方正书宋_GBK" w:eastAsia="方正书宋_GBK"/>
              </w:rPr>
            </w:pPr>
            <w:r>
              <w:rPr>
                <w:rFonts w:ascii="方正书宋_GBK" w:eastAsia="方正书宋_GBK"/>
              </w:rPr>
              <w:t>893.11</w:t>
            </w:r>
          </w:p>
        </w:tc>
        <w:tc>
          <w:tcPr>
            <w:tcW w:w="976" w:type="dxa"/>
            <w:vAlign w:val="center"/>
          </w:tcPr>
          <w:p>
            <w:pPr>
              <w:spacing w:line="300" w:lineRule="exact"/>
              <w:jc w:val="right"/>
              <w:rPr>
                <w:rFonts w:ascii="方正书宋_GBK" w:eastAsia="方正书宋_GBK"/>
              </w:rPr>
            </w:pPr>
            <w:r>
              <w:rPr>
                <w:rFonts w:ascii="方正书宋_GBK" w:eastAsia="方正书宋_GBK"/>
              </w:rPr>
              <w:t>893.11</w:t>
            </w:r>
          </w:p>
        </w:tc>
        <w:tc>
          <w:tcPr>
            <w:tcW w:w="976" w:type="dxa"/>
            <w:vAlign w:val="center"/>
          </w:tcPr>
          <w:p>
            <w:pPr>
              <w:spacing w:line="300" w:lineRule="exact"/>
              <w:jc w:val="right"/>
              <w:rPr>
                <w:rFonts w:ascii="方正书宋_GBK" w:eastAsia="方正书宋_GBK"/>
              </w:rPr>
            </w:pPr>
            <w:r>
              <w:rPr>
                <w:rFonts w:ascii="方正书宋_GBK" w:eastAsia="方正书宋_GBK"/>
              </w:rPr>
              <w:t>893.11</w:t>
            </w:r>
          </w:p>
        </w:tc>
        <w:tc>
          <w:tcPr>
            <w:tcW w:w="947" w:type="dxa"/>
            <w:vAlign w:val="center"/>
          </w:tcPr>
          <w:p>
            <w:pPr>
              <w:spacing w:line="300" w:lineRule="exact"/>
              <w:jc w:val="right"/>
              <w:rPr>
                <w:rFonts w:ascii="方正书宋_GBK" w:eastAsia="方正书宋_GBK"/>
              </w:rPr>
            </w:pPr>
          </w:p>
        </w:tc>
        <w:tc>
          <w:tcPr>
            <w:tcW w:w="950" w:type="dxa"/>
            <w:vAlign w:val="center"/>
          </w:tcPr>
          <w:p>
            <w:pPr>
              <w:spacing w:line="300" w:lineRule="exact"/>
              <w:jc w:val="right"/>
              <w:rPr>
                <w:rFonts w:ascii="方正书宋_GBK" w:eastAsia="方正书宋_GBK"/>
              </w:rPr>
            </w:pPr>
          </w:p>
        </w:tc>
        <w:tc>
          <w:tcPr>
            <w:tcW w:w="950" w:type="dxa"/>
            <w:vAlign w:val="center"/>
          </w:tcPr>
          <w:p>
            <w:pPr>
              <w:spacing w:line="300" w:lineRule="exact"/>
              <w:jc w:val="right"/>
              <w:rPr>
                <w:rFonts w:ascii="方正书宋_GBK" w:eastAsia="方正书宋_GBK"/>
              </w:rPr>
            </w:pPr>
          </w:p>
        </w:tc>
        <w:tc>
          <w:tcPr>
            <w:tcW w:w="907" w:type="dxa"/>
            <w:vAlign w:val="center"/>
          </w:tcPr>
          <w:p>
            <w:pPr>
              <w:spacing w:line="300" w:lineRule="exact"/>
              <w:jc w:val="right"/>
              <w:rPr>
                <w:rFonts w:ascii="方正书宋_GBK" w:eastAsia="方正书宋_GBK"/>
              </w:rPr>
            </w:pPr>
          </w:p>
        </w:tc>
      </w:tr>
      <w:tr>
        <w:trPr>
          <w:jc w:val="center"/>
        </w:trPr>
        <w:tc>
          <w:tcPr>
            <w:tcW w:w="2433" w:type="dxa"/>
            <w:vAlign w:val="center"/>
          </w:tcPr>
          <w:p>
            <w:pPr>
              <w:spacing w:line="300" w:lineRule="exact"/>
              <w:jc w:val="left"/>
              <w:rPr>
                <w:rFonts w:hint="eastAsia" w:ascii="方正书宋_GBK" w:eastAsia="方正书宋_GBK"/>
              </w:rPr>
            </w:pPr>
            <w:r>
              <w:rPr>
                <w:rFonts w:hint="eastAsia" w:ascii="方正书宋_GBK" w:eastAsia="方正书宋_GBK"/>
              </w:rPr>
              <w:t>关于提前下达</w:t>
            </w:r>
            <w:r>
              <w:rPr>
                <w:rFonts w:ascii="方正书宋_GBK" w:eastAsia="方正书宋_GBK"/>
              </w:rPr>
              <w:t>2019</w:t>
            </w:r>
            <w:r>
              <w:rPr>
                <w:rFonts w:hint="eastAsia" w:ascii="方正书宋_GBK" w:eastAsia="方正书宋_GBK"/>
              </w:rPr>
              <w:t>年省级医改补助经费预算指标的通知</w:t>
            </w:r>
          </w:p>
        </w:tc>
        <w:tc>
          <w:tcPr>
            <w:tcW w:w="1084" w:type="dxa"/>
            <w:vAlign w:val="center"/>
          </w:tcPr>
          <w:p>
            <w:pPr>
              <w:spacing w:line="300" w:lineRule="exact"/>
              <w:jc w:val="right"/>
              <w:rPr>
                <w:rFonts w:ascii="方正书宋_GBK" w:eastAsia="方正书宋_GBK"/>
              </w:rPr>
            </w:pPr>
            <w:r>
              <w:rPr>
                <w:rFonts w:ascii="方正书宋_GBK" w:eastAsia="方正书宋_GBK"/>
              </w:rPr>
              <w:t>160.00</w:t>
            </w:r>
          </w:p>
        </w:tc>
        <w:tc>
          <w:tcPr>
            <w:tcW w:w="959" w:type="dxa"/>
            <w:vAlign w:val="center"/>
          </w:tcPr>
          <w:p>
            <w:pPr>
              <w:spacing w:line="300" w:lineRule="exact"/>
              <w:jc w:val="left"/>
              <w:rPr>
                <w:rFonts w:hint="eastAsia" w:ascii="方正书宋_GBK" w:eastAsia="方正书宋_GBK"/>
              </w:rPr>
            </w:pPr>
            <w:r>
              <w:rPr>
                <w:rFonts w:hint="eastAsia" w:ascii="方正书宋_GBK" w:eastAsia="方正书宋_GBK"/>
              </w:rPr>
              <w:t>医疗设备</w:t>
            </w:r>
          </w:p>
        </w:tc>
        <w:tc>
          <w:tcPr>
            <w:tcW w:w="971" w:type="dxa"/>
            <w:vAlign w:val="center"/>
          </w:tcPr>
          <w:p>
            <w:pPr>
              <w:spacing w:line="300" w:lineRule="exact"/>
              <w:jc w:val="left"/>
              <w:rPr>
                <w:rFonts w:ascii="方正书宋_GBK" w:eastAsia="方正书宋_GBK"/>
              </w:rPr>
            </w:pPr>
            <w:r>
              <w:rPr>
                <w:rFonts w:ascii="方正书宋_GBK" w:eastAsia="方正书宋_GBK"/>
              </w:rPr>
              <w:t>A0320</w:t>
            </w:r>
          </w:p>
        </w:tc>
        <w:tc>
          <w:tcPr>
            <w:tcW w:w="746" w:type="dxa"/>
            <w:vAlign w:val="center"/>
          </w:tcPr>
          <w:p>
            <w:pPr>
              <w:spacing w:line="300" w:lineRule="exact"/>
              <w:jc w:val="left"/>
              <w:rPr>
                <w:rFonts w:ascii="方正书宋_GBK" w:eastAsia="方正书宋_GBK"/>
              </w:rPr>
            </w:pPr>
          </w:p>
        </w:tc>
        <w:tc>
          <w:tcPr>
            <w:tcW w:w="859" w:type="dxa"/>
            <w:vAlign w:val="center"/>
          </w:tcPr>
          <w:p>
            <w:pPr>
              <w:spacing w:line="300" w:lineRule="exact"/>
              <w:jc w:val="right"/>
              <w:rPr>
                <w:rFonts w:ascii="方正书宋_GBK" w:eastAsia="方正书宋_GBK"/>
              </w:rPr>
            </w:pPr>
            <w:r>
              <w:rPr>
                <w:rFonts w:ascii="方正书宋_GBK" w:eastAsia="方正书宋_GBK"/>
              </w:rPr>
              <w:t>80.00</w:t>
            </w:r>
          </w:p>
        </w:tc>
        <w:tc>
          <w:tcPr>
            <w:tcW w:w="834" w:type="dxa"/>
            <w:vAlign w:val="center"/>
          </w:tcPr>
          <w:p>
            <w:pPr>
              <w:spacing w:line="300" w:lineRule="exact"/>
              <w:jc w:val="right"/>
              <w:rPr>
                <w:rFonts w:ascii="方正书宋_GBK" w:eastAsia="方正书宋_GBK"/>
              </w:rPr>
            </w:pPr>
            <w:r>
              <w:rPr>
                <w:rFonts w:ascii="方正书宋_GBK" w:eastAsia="方正书宋_GBK"/>
              </w:rPr>
              <w:t>1.00</w:t>
            </w:r>
          </w:p>
        </w:tc>
        <w:tc>
          <w:tcPr>
            <w:tcW w:w="976" w:type="dxa"/>
            <w:vAlign w:val="center"/>
          </w:tcPr>
          <w:p>
            <w:pPr>
              <w:spacing w:line="300" w:lineRule="exact"/>
              <w:jc w:val="right"/>
              <w:rPr>
                <w:rFonts w:ascii="方正书宋_GBK" w:eastAsia="方正书宋_GBK"/>
              </w:rPr>
            </w:pPr>
            <w:r>
              <w:rPr>
                <w:rFonts w:ascii="方正书宋_GBK" w:eastAsia="方正书宋_GBK"/>
              </w:rPr>
              <w:t>80.00</w:t>
            </w:r>
          </w:p>
        </w:tc>
        <w:tc>
          <w:tcPr>
            <w:tcW w:w="976" w:type="dxa"/>
            <w:vAlign w:val="center"/>
          </w:tcPr>
          <w:p>
            <w:pPr>
              <w:spacing w:line="300" w:lineRule="exact"/>
              <w:jc w:val="right"/>
              <w:rPr>
                <w:rFonts w:ascii="方正书宋_GBK" w:eastAsia="方正书宋_GBK"/>
              </w:rPr>
            </w:pPr>
            <w:r>
              <w:rPr>
                <w:rFonts w:ascii="方正书宋_GBK" w:eastAsia="方正书宋_GBK"/>
              </w:rPr>
              <w:t>80.00</w:t>
            </w:r>
          </w:p>
        </w:tc>
        <w:tc>
          <w:tcPr>
            <w:tcW w:w="976" w:type="dxa"/>
            <w:vAlign w:val="center"/>
          </w:tcPr>
          <w:p>
            <w:pPr>
              <w:spacing w:line="300" w:lineRule="exact"/>
              <w:jc w:val="right"/>
              <w:rPr>
                <w:rFonts w:ascii="方正书宋_GBK" w:eastAsia="方正书宋_GBK"/>
              </w:rPr>
            </w:pPr>
            <w:r>
              <w:rPr>
                <w:rFonts w:ascii="方正书宋_GBK" w:eastAsia="方正书宋_GBK"/>
              </w:rPr>
              <w:t>80.00</w:t>
            </w:r>
          </w:p>
        </w:tc>
        <w:tc>
          <w:tcPr>
            <w:tcW w:w="947" w:type="dxa"/>
            <w:vAlign w:val="center"/>
          </w:tcPr>
          <w:p>
            <w:pPr>
              <w:spacing w:line="300" w:lineRule="exact"/>
              <w:jc w:val="right"/>
              <w:rPr>
                <w:rFonts w:ascii="方正书宋_GBK" w:eastAsia="方正书宋_GBK"/>
              </w:rPr>
            </w:pPr>
          </w:p>
        </w:tc>
        <w:tc>
          <w:tcPr>
            <w:tcW w:w="950" w:type="dxa"/>
            <w:vAlign w:val="center"/>
          </w:tcPr>
          <w:p>
            <w:pPr>
              <w:spacing w:line="300" w:lineRule="exact"/>
              <w:jc w:val="right"/>
              <w:rPr>
                <w:rFonts w:ascii="方正书宋_GBK" w:eastAsia="方正书宋_GBK"/>
              </w:rPr>
            </w:pPr>
          </w:p>
        </w:tc>
        <w:tc>
          <w:tcPr>
            <w:tcW w:w="950" w:type="dxa"/>
            <w:vAlign w:val="center"/>
          </w:tcPr>
          <w:p>
            <w:pPr>
              <w:spacing w:line="300" w:lineRule="exact"/>
              <w:jc w:val="right"/>
              <w:rPr>
                <w:rFonts w:ascii="方正书宋_GBK" w:eastAsia="方正书宋_GBK"/>
              </w:rPr>
            </w:pPr>
          </w:p>
        </w:tc>
        <w:tc>
          <w:tcPr>
            <w:tcW w:w="907" w:type="dxa"/>
            <w:vAlign w:val="center"/>
          </w:tcPr>
          <w:p>
            <w:pPr>
              <w:spacing w:line="300" w:lineRule="exact"/>
              <w:jc w:val="right"/>
              <w:rPr>
                <w:rFonts w:ascii="方正书宋_GBK" w:eastAsia="方正书宋_GBK"/>
              </w:rPr>
            </w:pPr>
          </w:p>
        </w:tc>
      </w:tr>
      <w:tr>
        <w:trPr>
          <w:jc w:val="center"/>
        </w:trPr>
        <w:tc>
          <w:tcPr>
            <w:tcW w:w="2433" w:type="dxa"/>
            <w:vAlign w:val="center"/>
          </w:tcPr>
          <w:p>
            <w:pPr>
              <w:spacing w:line="300" w:lineRule="exact"/>
              <w:jc w:val="center"/>
              <w:rPr>
                <w:rFonts w:hint="eastAsia" w:ascii="方正书宋_GBK" w:eastAsia="方正书宋_GBK"/>
                <w:b/>
              </w:rPr>
            </w:pPr>
            <w:r>
              <w:rPr>
                <w:rFonts w:hint="eastAsia" w:ascii="方正书宋_GBK" w:eastAsia="方正书宋_GBK"/>
                <w:b/>
              </w:rPr>
              <w:t>无极县妇幼保健院小计</w:t>
            </w:r>
          </w:p>
        </w:tc>
        <w:tc>
          <w:tcPr>
            <w:tcW w:w="1084" w:type="dxa"/>
            <w:vAlign w:val="center"/>
          </w:tcPr>
          <w:p>
            <w:pPr>
              <w:spacing w:line="300" w:lineRule="exact"/>
              <w:jc w:val="right"/>
              <w:rPr>
                <w:rFonts w:ascii="方正书宋_GBK" w:eastAsia="方正书宋_GBK"/>
                <w:b/>
              </w:rPr>
            </w:pPr>
          </w:p>
        </w:tc>
        <w:tc>
          <w:tcPr>
            <w:tcW w:w="959" w:type="dxa"/>
            <w:vAlign w:val="center"/>
          </w:tcPr>
          <w:p>
            <w:pPr>
              <w:spacing w:line="300" w:lineRule="exact"/>
              <w:jc w:val="left"/>
              <w:rPr>
                <w:rFonts w:hint="eastAsia" w:ascii="方正书宋_GBK" w:eastAsia="方正书宋_GBK"/>
                <w:b/>
              </w:rPr>
            </w:pPr>
          </w:p>
        </w:tc>
        <w:tc>
          <w:tcPr>
            <w:tcW w:w="971" w:type="dxa"/>
            <w:vAlign w:val="center"/>
          </w:tcPr>
          <w:p>
            <w:pPr>
              <w:spacing w:line="300" w:lineRule="exact"/>
              <w:jc w:val="left"/>
              <w:rPr>
                <w:rFonts w:ascii="方正书宋_GBK" w:eastAsia="方正书宋_GBK"/>
                <w:b/>
              </w:rPr>
            </w:pPr>
          </w:p>
        </w:tc>
        <w:tc>
          <w:tcPr>
            <w:tcW w:w="746" w:type="dxa"/>
            <w:vAlign w:val="center"/>
          </w:tcPr>
          <w:p>
            <w:pPr>
              <w:spacing w:line="300" w:lineRule="exact"/>
              <w:jc w:val="left"/>
              <w:rPr>
                <w:rFonts w:ascii="方正书宋_GBK" w:eastAsia="方正书宋_GBK"/>
                <w:b/>
              </w:rPr>
            </w:pPr>
          </w:p>
        </w:tc>
        <w:tc>
          <w:tcPr>
            <w:tcW w:w="859" w:type="dxa"/>
            <w:vAlign w:val="center"/>
          </w:tcPr>
          <w:p>
            <w:pPr>
              <w:spacing w:line="300" w:lineRule="exact"/>
              <w:jc w:val="right"/>
              <w:rPr>
                <w:rFonts w:ascii="方正书宋_GBK" w:eastAsia="方正书宋_GBK"/>
                <w:b/>
              </w:rPr>
            </w:pPr>
          </w:p>
        </w:tc>
        <w:tc>
          <w:tcPr>
            <w:tcW w:w="834" w:type="dxa"/>
            <w:vAlign w:val="center"/>
          </w:tcPr>
          <w:p>
            <w:pPr>
              <w:spacing w:line="300" w:lineRule="exact"/>
              <w:jc w:val="right"/>
              <w:rPr>
                <w:rFonts w:ascii="方正书宋_GBK" w:eastAsia="方正书宋_GBK"/>
                <w:b/>
              </w:rPr>
            </w:pPr>
          </w:p>
        </w:tc>
        <w:tc>
          <w:tcPr>
            <w:tcW w:w="976" w:type="dxa"/>
            <w:vAlign w:val="center"/>
          </w:tcPr>
          <w:p>
            <w:pPr>
              <w:spacing w:line="300" w:lineRule="exact"/>
              <w:jc w:val="right"/>
              <w:rPr>
                <w:rFonts w:ascii="方正书宋_GBK" w:eastAsia="方正书宋_GBK"/>
                <w:b/>
              </w:rPr>
            </w:pPr>
            <w:r>
              <w:rPr>
                <w:rFonts w:ascii="方正书宋_GBK" w:eastAsia="方正书宋_GBK"/>
                <w:b/>
              </w:rPr>
              <w:t>100.00</w:t>
            </w:r>
          </w:p>
        </w:tc>
        <w:tc>
          <w:tcPr>
            <w:tcW w:w="976" w:type="dxa"/>
            <w:vAlign w:val="center"/>
          </w:tcPr>
          <w:p>
            <w:pPr>
              <w:spacing w:line="300" w:lineRule="exact"/>
              <w:jc w:val="right"/>
              <w:rPr>
                <w:rFonts w:ascii="方正书宋_GBK" w:eastAsia="方正书宋_GBK"/>
                <w:b/>
              </w:rPr>
            </w:pPr>
            <w:r>
              <w:rPr>
                <w:rFonts w:ascii="方正书宋_GBK" w:eastAsia="方正书宋_GBK"/>
                <w:b/>
              </w:rPr>
              <w:t>100.00</w:t>
            </w:r>
          </w:p>
        </w:tc>
        <w:tc>
          <w:tcPr>
            <w:tcW w:w="976" w:type="dxa"/>
            <w:vAlign w:val="center"/>
          </w:tcPr>
          <w:p>
            <w:pPr>
              <w:spacing w:line="300" w:lineRule="exact"/>
              <w:jc w:val="right"/>
              <w:rPr>
                <w:rFonts w:ascii="方正书宋_GBK" w:eastAsia="方正书宋_GBK"/>
                <w:b/>
              </w:rPr>
            </w:pPr>
            <w:r>
              <w:rPr>
                <w:rFonts w:ascii="方正书宋_GBK" w:eastAsia="方正书宋_GBK"/>
                <w:b/>
              </w:rPr>
              <w:t>100.00</w:t>
            </w:r>
          </w:p>
        </w:tc>
        <w:tc>
          <w:tcPr>
            <w:tcW w:w="947" w:type="dxa"/>
            <w:vAlign w:val="center"/>
          </w:tcPr>
          <w:p>
            <w:pPr>
              <w:spacing w:line="300" w:lineRule="exact"/>
              <w:jc w:val="right"/>
              <w:rPr>
                <w:rFonts w:ascii="方正书宋_GBK" w:eastAsia="方正书宋_GBK"/>
                <w:b/>
              </w:rPr>
            </w:pPr>
          </w:p>
        </w:tc>
        <w:tc>
          <w:tcPr>
            <w:tcW w:w="950" w:type="dxa"/>
            <w:vAlign w:val="center"/>
          </w:tcPr>
          <w:p>
            <w:pPr>
              <w:spacing w:line="300" w:lineRule="exact"/>
              <w:jc w:val="right"/>
              <w:rPr>
                <w:rFonts w:ascii="方正书宋_GBK" w:eastAsia="方正书宋_GBK"/>
                <w:b/>
              </w:rPr>
            </w:pPr>
          </w:p>
        </w:tc>
        <w:tc>
          <w:tcPr>
            <w:tcW w:w="950"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r>
      <w:tr>
        <w:trPr>
          <w:jc w:val="center"/>
        </w:trPr>
        <w:tc>
          <w:tcPr>
            <w:tcW w:w="2433" w:type="dxa"/>
            <w:vAlign w:val="center"/>
          </w:tcPr>
          <w:p>
            <w:pPr>
              <w:spacing w:line="300" w:lineRule="exact"/>
              <w:jc w:val="left"/>
              <w:rPr>
                <w:rFonts w:hint="eastAsia" w:ascii="方正书宋_GBK" w:eastAsia="方正书宋_GBK"/>
              </w:rPr>
            </w:pPr>
            <w:r>
              <w:rPr>
                <w:rFonts w:hint="eastAsia" w:ascii="方正书宋_GBK" w:eastAsia="方正书宋_GBK"/>
              </w:rPr>
              <w:t>妇幼保健院自支人员工资及经费</w:t>
            </w:r>
          </w:p>
        </w:tc>
        <w:tc>
          <w:tcPr>
            <w:tcW w:w="1084" w:type="dxa"/>
            <w:vAlign w:val="center"/>
          </w:tcPr>
          <w:p>
            <w:pPr>
              <w:spacing w:line="300" w:lineRule="exact"/>
              <w:jc w:val="right"/>
              <w:rPr>
                <w:rFonts w:ascii="方正书宋_GBK" w:eastAsia="方正书宋_GBK"/>
              </w:rPr>
            </w:pPr>
            <w:r>
              <w:rPr>
                <w:rFonts w:ascii="方正书宋_GBK" w:eastAsia="方正书宋_GBK"/>
              </w:rPr>
              <w:t>970.00</w:t>
            </w:r>
          </w:p>
        </w:tc>
        <w:tc>
          <w:tcPr>
            <w:tcW w:w="959" w:type="dxa"/>
            <w:vAlign w:val="center"/>
          </w:tcPr>
          <w:p>
            <w:pPr>
              <w:spacing w:line="300" w:lineRule="exact"/>
              <w:jc w:val="left"/>
              <w:rPr>
                <w:rFonts w:hint="eastAsia" w:ascii="方正书宋_GBK" w:eastAsia="方正书宋_GBK"/>
              </w:rPr>
            </w:pPr>
            <w:r>
              <w:rPr>
                <w:rFonts w:hint="eastAsia" w:ascii="方正书宋_GBK" w:eastAsia="方正书宋_GBK"/>
              </w:rPr>
              <w:t>医疗设备</w:t>
            </w:r>
          </w:p>
        </w:tc>
        <w:tc>
          <w:tcPr>
            <w:tcW w:w="971" w:type="dxa"/>
            <w:vAlign w:val="center"/>
          </w:tcPr>
          <w:p>
            <w:pPr>
              <w:spacing w:line="300" w:lineRule="exact"/>
              <w:jc w:val="left"/>
              <w:rPr>
                <w:rFonts w:ascii="方正书宋_GBK" w:eastAsia="方正书宋_GBK"/>
              </w:rPr>
            </w:pPr>
            <w:r>
              <w:rPr>
                <w:rFonts w:ascii="方正书宋_GBK" w:eastAsia="方正书宋_GBK"/>
              </w:rPr>
              <w:t>A0320</w:t>
            </w:r>
          </w:p>
        </w:tc>
        <w:tc>
          <w:tcPr>
            <w:tcW w:w="746" w:type="dxa"/>
            <w:vAlign w:val="center"/>
          </w:tcPr>
          <w:p>
            <w:pPr>
              <w:spacing w:line="300" w:lineRule="exact"/>
              <w:jc w:val="left"/>
              <w:rPr>
                <w:rFonts w:ascii="方正书宋_GBK" w:eastAsia="方正书宋_GBK"/>
              </w:rPr>
            </w:pPr>
          </w:p>
        </w:tc>
        <w:tc>
          <w:tcPr>
            <w:tcW w:w="859" w:type="dxa"/>
            <w:vAlign w:val="center"/>
          </w:tcPr>
          <w:p>
            <w:pPr>
              <w:spacing w:line="300" w:lineRule="exact"/>
              <w:jc w:val="right"/>
              <w:rPr>
                <w:rFonts w:ascii="方正书宋_GBK" w:eastAsia="方正书宋_GBK"/>
              </w:rPr>
            </w:pPr>
            <w:r>
              <w:rPr>
                <w:rFonts w:ascii="方正书宋_GBK" w:eastAsia="方正书宋_GBK"/>
              </w:rPr>
              <w:t>10.00</w:t>
            </w:r>
          </w:p>
        </w:tc>
        <w:tc>
          <w:tcPr>
            <w:tcW w:w="834" w:type="dxa"/>
            <w:vAlign w:val="center"/>
          </w:tcPr>
          <w:p>
            <w:pPr>
              <w:spacing w:line="300" w:lineRule="exact"/>
              <w:jc w:val="right"/>
              <w:rPr>
                <w:rFonts w:ascii="方正书宋_GBK" w:eastAsia="方正书宋_GBK"/>
              </w:rPr>
            </w:pPr>
            <w:r>
              <w:rPr>
                <w:rFonts w:ascii="方正书宋_GBK" w:eastAsia="方正书宋_GBK"/>
              </w:rPr>
              <w:t>10.00</w:t>
            </w:r>
          </w:p>
        </w:tc>
        <w:tc>
          <w:tcPr>
            <w:tcW w:w="976" w:type="dxa"/>
            <w:vAlign w:val="center"/>
          </w:tcPr>
          <w:p>
            <w:pPr>
              <w:spacing w:line="300" w:lineRule="exact"/>
              <w:jc w:val="right"/>
              <w:rPr>
                <w:rFonts w:ascii="方正书宋_GBK" w:eastAsia="方正书宋_GBK"/>
              </w:rPr>
            </w:pPr>
            <w:r>
              <w:rPr>
                <w:rFonts w:ascii="方正书宋_GBK" w:eastAsia="方正书宋_GBK"/>
              </w:rPr>
              <w:t>100.00</w:t>
            </w:r>
          </w:p>
        </w:tc>
        <w:tc>
          <w:tcPr>
            <w:tcW w:w="976" w:type="dxa"/>
            <w:vAlign w:val="center"/>
          </w:tcPr>
          <w:p>
            <w:pPr>
              <w:spacing w:line="300" w:lineRule="exact"/>
              <w:jc w:val="right"/>
              <w:rPr>
                <w:rFonts w:ascii="方正书宋_GBK" w:eastAsia="方正书宋_GBK"/>
              </w:rPr>
            </w:pPr>
            <w:r>
              <w:rPr>
                <w:rFonts w:ascii="方正书宋_GBK" w:eastAsia="方正书宋_GBK"/>
              </w:rPr>
              <w:t>100.00</w:t>
            </w:r>
          </w:p>
        </w:tc>
        <w:tc>
          <w:tcPr>
            <w:tcW w:w="976" w:type="dxa"/>
            <w:vAlign w:val="center"/>
          </w:tcPr>
          <w:p>
            <w:pPr>
              <w:spacing w:line="300" w:lineRule="exact"/>
              <w:jc w:val="right"/>
              <w:rPr>
                <w:rFonts w:ascii="方正书宋_GBK" w:eastAsia="方正书宋_GBK"/>
              </w:rPr>
            </w:pPr>
            <w:r>
              <w:rPr>
                <w:rFonts w:ascii="方正书宋_GBK" w:eastAsia="方正书宋_GBK"/>
              </w:rPr>
              <w:t>100.00</w:t>
            </w:r>
          </w:p>
        </w:tc>
        <w:tc>
          <w:tcPr>
            <w:tcW w:w="947" w:type="dxa"/>
            <w:vAlign w:val="center"/>
          </w:tcPr>
          <w:p>
            <w:pPr>
              <w:spacing w:line="300" w:lineRule="exact"/>
              <w:jc w:val="right"/>
              <w:rPr>
                <w:rFonts w:ascii="方正书宋_GBK" w:eastAsia="方正书宋_GBK"/>
              </w:rPr>
            </w:pPr>
          </w:p>
        </w:tc>
        <w:tc>
          <w:tcPr>
            <w:tcW w:w="950" w:type="dxa"/>
            <w:vAlign w:val="center"/>
          </w:tcPr>
          <w:p>
            <w:pPr>
              <w:spacing w:line="300" w:lineRule="exact"/>
              <w:jc w:val="right"/>
              <w:rPr>
                <w:rFonts w:ascii="方正书宋_GBK" w:eastAsia="方正书宋_GBK"/>
              </w:rPr>
            </w:pPr>
          </w:p>
        </w:tc>
        <w:tc>
          <w:tcPr>
            <w:tcW w:w="950" w:type="dxa"/>
            <w:vAlign w:val="center"/>
          </w:tcPr>
          <w:p>
            <w:pPr>
              <w:spacing w:line="300" w:lineRule="exact"/>
              <w:jc w:val="right"/>
              <w:rPr>
                <w:rFonts w:ascii="方正书宋_GBK" w:eastAsia="方正书宋_GBK"/>
              </w:rPr>
            </w:pPr>
          </w:p>
        </w:tc>
        <w:tc>
          <w:tcPr>
            <w:tcW w:w="907" w:type="dxa"/>
            <w:vAlign w:val="center"/>
          </w:tcPr>
          <w:p>
            <w:pPr>
              <w:spacing w:line="300" w:lineRule="exact"/>
              <w:jc w:val="right"/>
              <w:rPr>
                <w:rFonts w:ascii="方正书宋_GBK" w:eastAsia="方正书宋_GBK"/>
              </w:rPr>
            </w:pPr>
          </w:p>
        </w:tc>
      </w:tr>
    </w:tbl>
    <w:p>
      <w:pPr>
        <w:spacing w:line="300" w:lineRule="exact"/>
        <w:jc w:val="left"/>
        <w:outlineLvl w:val="0"/>
        <w:sectPr>
          <w:pgSz w:w="16839" w:h="11907" w:orient="landscape"/>
          <w:pgMar w:top="1361" w:right="1020" w:bottom="1361" w:left="1020" w:header="851" w:footer="992" w:gutter="0"/>
          <w:cols w:space="425" w:num="1"/>
          <w:docGrid w:type="lines" w:linePitch="312"/>
        </w:sectPr>
      </w:pPr>
    </w:p>
    <w:p>
      <w:pPr>
        <w:autoSpaceDE w:val="0"/>
        <w:autoSpaceDN w:val="0"/>
        <w:adjustRightInd w:val="0"/>
        <w:ind w:firstLine="640" w:firstLineChars="200"/>
        <w:jc w:val="left"/>
        <w:rPr>
          <w:rFonts w:ascii="仿宋" w:hAnsi="仿宋" w:eastAsia="仿宋"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无极县卫生健康局上年末固定资产金额为1546.5万元（详见下表）。本年度拟购置固定资产为</w:t>
      </w:r>
      <w:r>
        <w:rPr>
          <w:rFonts w:hint="eastAsia" w:ascii="仿宋" w:hAnsi="仿宋" w:eastAsia="仿宋" w:cs="仿宋"/>
          <w:sz w:val="32"/>
          <w:szCs w:val="32"/>
          <w:lang w:val="en-US" w:eastAsia="zh-CN"/>
        </w:rPr>
        <w:t>1083.11</w:t>
      </w:r>
      <w:r>
        <w:rPr>
          <w:rFonts w:hint="eastAsia" w:ascii="仿宋" w:hAnsi="仿宋" w:eastAsia="仿宋" w:cs="仿宋"/>
          <w:sz w:val="32"/>
          <w:szCs w:val="32"/>
        </w:rPr>
        <w:t>万元。</w:t>
      </w:r>
    </w:p>
    <w:tbl>
      <w:tblPr>
        <w:tblW w:w="1348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left w:w="108" w:type="dxa"/>
          <w:right w:w="108" w:type="dxa"/>
        </w:tblCellMar>
      </w:tblPr>
      <w:tblGrid>
        <w:gridCol w:w="5224"/>
        <w:gridCol w:w="3155"/>
        <w:gridCol w:w="5103"/>
      </w:tblGrid>
      <w:tr>
        <w:trPr>
          <w:trHeight w:val="705" w:hRule="atLeast"/>
        </w:trPr>
        <w:tc>
          <w:tcPr>
            <w:tcW w:w="13482" w:type="dxa"/>
            <w:gridSpan w:val="3"/>
            <w:tcBorders>
              <w:top w:val="nil"/>
              <w:left w:val="nil"/>
              <w:bottom w:val="nil"/>
              <w:right w:val="nil"/>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无极县卫生健康局固定资产占用情况表</w:t>
            </w:r>
          </w:p>
        </w:tc>
      </w:tr>
      <w:tr>
        <w:trPr>
          <w:trHeight w:val="510" w:hRule="atLeast"/>
        </w:trPr>
        <w:tc>
          <w:tcPr>
            <w:tcW w:w="8379" w:type="dxa"/>
            <w:gridSpan w:val="2"/>
            <w:tcBorders>
              <w:top w:val="nil"/>
              <w:left w:val="nil"/>
              <w:bottom w:val="nil"/>
              <w:right w:val="nil"/>
            </w:tcBorders>
            <w:vAlign w:val="center"/>
          </w:tcPr>
          <w:p>
            <w:pPr>
              <w:widowControl/>
              <w:jc w:val="left"/>
              <w:rPr>
                <w:rFonts w:ascii="仿宋_GB2312" w:hAnsi="宋体" w:eastAsia="仿宋_GB2312" w:cs="宋体"/>
                <w:kern w:val="0"/>
                <w:szCs w:val="21"/>
              </w:rPr>
            </w:pPr>
            <w:r>
              <w:rPr>
                <w:rFonts w:hint="eastAsia" w:ascii="仿宋_GB2312" w:hAnsi="宋体" w:eastAsia="仿宋_GB2312" w:cs="宋体"/>
                <w:kern w:val="0"/>
                <w:sz w:val="22"/>
              </w:rPr>
              <w:t>编制部门：</w:t>
            </w:r>
            <w:r>
              <w:rPr>
                <w:rFonts w:hint="eastAsia" w:ascii="仿宋_GB2312" w:hAnsi="宋体" w:eastAsia="仿宋_GB2312" w:cs="宋体"/>
                <w:kern w:val="0"/>
                <w:szCs w:val="21"/>
              </w:rPr>
              <w:t>无极县卫健局</w:t>
            </w:r>
          </w:p>
        </w:tc>
        <w:tc>
          <w:tcPr>
            <w:tcW w:w="5103" w:type="dxa"/>
            <w:tcBorders>
              <w:top w:val="nil"/>
              <w:left w:val="nil"/>
              <w:bottom w:val="nil"/>
              <w:right w:val="nil"/>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 xml:space="preserve">截止时间：2018年12月31日  </w:t>
            </w:r>
          </w:p>
        </w:tc>
      </w:tr>
      <w:tr>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b/>
                <w:bCs/>
                <w:kern w:val="0"/>
                <w:sz w:val="22"/>
              </w:rPr>
            </w:pPr>
            <w:r>
              <w:rPr>
                <w:rFonts w:hint="eastAsia" w:ascii="仿宋_GB2312" w:hAnsi="宋体" w:eastAsia="仿宋_GB2312" w:cs="宋体"/>
                <w:b/>
                <w:bCs/>
                <w:kern w:val="0"/>
                <w:sz w:val="22"/>
              </w:rPr>
              <w:t>项   目</w:t>
            </w:r>
          </w:p>
        </w:tc>
        <w:tc>
          <w:tcPr>
            <w:tcW w:w="3155"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22"/>
              </w:rPr>
            </w:pPr>
            <w:r>
              <w:rPr>
                <w:rFonts w:hint="eastAsia" w:ascii="仿宋_GB2312" w:hAnsi="宋体" w:eastAsia="仿宋_GB2312" w:cs="宋体"/>
                <w:b/>
                <w:bCs/>
                <w:kern w:val="0"/>
                <w:sz w:val="22"/>
              </w:rPr>
              <w:t>数量</w:t>
            </w:r>
          </w:p>
        </w:tc>
        <w:tc>
          <w:tcPr>
            <w:tcW w:w="5103"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22"/>
              </w:rPr>
            </w:pPr>
            <w:r>
              <w:rPr>
                <w:rFonts w:hint="eastAsia" w:ascii="仿宋_GB2312" w:hAnsi="宋体" w:eastAsia="仿宋_GB2312" w:cs="宋体"/>
                <w:b/>
                <w:bCs/>
                <w:kern w:val="0"/>
                <w:sz w:val="22"/>
              </w:rPr>
              <w:t>价值（金额单位：万元）</w:t>
            </w:r>
          </w:p>
        </w:tc>
      </w:tr>
      <w:tr>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资产总额</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bookmarkStart w:id="2" w:name="_GoBack"/>
            <w:bookmarkEnd w:id="2"/>
            <w:r>
              <w:rPr>
                <w:rFonts w:hint="eastAsia" w:ascii="仿宋_GB2312" w:hAnsi="宋体" w:eastAsia="仿宋_GB2312" w:cs="宋体"/>
                <w:kern w:val="0"/>
                <w:sz w:val="22"/>
              </w:rPr>
              <w:t>1546.5</w:t>
            </w:r>
          </w:p>
        </w:tc>
      </w:tr>
      <w:tr>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1、房屋（平方米）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2711</w:t>
            </w:r>
          </w:p>
        </w:tc>
        <w:tc>
          <w:tcPr>
            <w:tcW w:w="5103" w:type="dxa"/>
            <w:tcBorders>
              <w:top w:val="nil"/>
              <w:left w:val="nil"/>
              <w:bottom w:val="single" w:color="000000" w:sz="4" w:space="0"/>
              <w:right w:val="single" w:color="000000" w:sz="4" w:space="0"/>
            </w:tcBorders>
            <w:vAlign w:val="center"/>
          </w:tcPr>
          <w:p>
            <w:pPr>
              <w:jc w:val="center"/>
              <w:rPr>
                <w:rFonts w:ascii="宋体" w:hAnsi="宋体" w:cs="Arial"/>
                <w:color w:val="000000"/>
                <w:sz w:val="22"/>
                <w:szCs w:val="22"/>
              </w:rPr>
            </w:pPr>
            <w:r>
              <w:rPr>
                <w:rFonts w:hint="eastAsia" w:ascii="仿宋_GB2312" w:hAnsi="宋体" w:eastAsia="仿宋_GB2312" w:cs="宋体"/>
                <w:kern w:val="0"/>
                <w:sz w:val="22"/>
              </w:rPr>
              <w:t>188.4416</w:t>
            </w:r>
          </w:p>
        </w:tc>
      </w:tr>
      <w:tr>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 xml:space="preserve">  其中：办公用房（平方米）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2711</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188.4416</w:t>
            </w:r>
          </w:p>
        </w:tc>
      </w:tr>
      <w:tr>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2、车辆（台、辆）</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1</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14.95</w:t>
            </w:r>
          </w:p>
        </w:tc>
      </w:tr>
      <w:tr>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3、单价在20万元以上设备</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p>
        </w:tc>
      </w:tr>
      <w:tr>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4、其他固定资产</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350.788803</w:t>
            </w:r>
          </w:p>
        </w:tc>
      </w:tr>
    </w:tbl>
    <w:p>
      <w:pPr>
        <w:autoSpaceDE w:val="0"/>
        <w:autoSpaceDN w:val="0"/>
        <w:adjustRightInd w:val="0"/>
        <w:ind w:left="420" w:leftChars="200"/>
        <w:jc w:val="center"/>
        <w:rPr>
          <w:rFonts w:ascii="仿宋" w:hAnsi="仿宋" w:eastAsia="仿宋"/>
          <w:sz w:val="32"/>
        </w:rPr>
      </w:pPr>
    </w:p>
    <w:p>
      <w:pPr>
        <w:autoSpaceDE w:val="0"/>
        <w:autoSpaceDN w:val="0"/>
        <w:adjustRightInd w:val="0"/>
        <w:ind w:firstLine="643" w:firstLineChars="200"/>
        <w:jc w:val="left"/>
        <w:rPr>
          <w:rFonts w:ascii="黑体" w:hAnsi="黑体" w:eastAsia="黑体"/>
          <w:b/>
          <w:bCs/>
          <w:sz w:val="32"/>
          <w:szCs w:val="32"/>
        </w:rPr>
      </w:pPr>
      <w:r>
        <w:rPr>
          <w:rFonts w:hint="eastAsia" w:ascii="黑体" w:hAnsi="黑体" w:eastAsia="黑体" w:cs="黑体"/>
          <w:b/>
          <w:bCs/>
          <w:sz w:val="32"/>
          <w:szCs w:val="32"/>
        </w:rPr>
        <w:t>八、名词解释</w:t>
      </w:r>
    </w:p>
    <w:p>
      <w:pPr>
        <w:ind w:firstLine="720"/>
        <w:rPr>
          <w:rFonts w:ascii="仿宋" w:hAnsi="仿宋" w:eastAsia="仿宋"/>
          <w:bCs/>
          <w:sz w:val="32"/>
          <w:szCs w:val="32"/>
        </w:rPr>
      </w:pPr>
      <w:r>
        <w:rPr>
          <w:rFonts w:ascii="仿宋" w:hAnsi="仿宋" w:eastAsia="仿宋" w:cs="仿宋"/>
          <w:bCs/>
          <w:sz w:val="32"/>
          <w:szCs w:val="32"/>
        </w:rPr>
        <w:t>1.</w:t>
      </w:r>
      <w:r>
        <w:rPr>
          <w:rFonts w:hint="eastAsia" w:ascii="仿宋" w:hAnsi="仿宋" w:eastAsia="仿宋" w:cs="仿宋"/>
          <w:bCs/>
          <w:sz w:val="32"/>
          <w:szCs w:val="32"/>
        </w:rPr>
        <w:t>财政拨款收入</w:t>
      </w:r>
    </w:p>
    <w:p>
      <w:pPr>
        <w:ind w:firstLine="720"/>
        <w:rPr>
          <w:rFonts w:ascii="仿宋" w:hAnsi="仿宋" w:eastAsia="仿宋"/>
          <w:sz w:val="32"/>
          <w:szCs w:val="32"/>
        </w:rPr>
      </w:pPr>
      <w:r>
        <w:rPr>
          <w:rFonts w:hint="eastAsia" w:ascii="仿宋" w:hAnsi="仿宋" w:eastAsia="仿宋" w:cs="仿宋"/>
          <w:sz w:val="32"/>
          <w:szCs w:val="32"/>
        </w:rPr>
        <w:t>财政拨款收入是指财政部门按照批复的预算核拨给单位的财政预算资金。</w:t>
      </w:r>
    </w:p>
    <w:p>
      <w:pPr>
        <w:ind w:firstLine="720"/>
        <w:rPr>
          <w:rFonts w:ascii="仿宋" w:hAnsi="仿宋" w:eastAsia="仿宋"/>
          <w:bCs/>
          <w:sz w:val="32"/>
          <w:szCs w:val="32"/>
        </w:rPr>
      </w:pPr>
      <w:r>
        <w:rPr>
          <w:rFonts w:ascii="仿宋" w:hAnsi="仿宋" w:eastAsia="仿宋" w:cs="仿宋"/>
          <w:bCs/>
          <w:sz w:val="32"/>
          <w:szCs w:val="32"/>
        </w:rPr>
        <w:t>2.</w:t>
      </w:r>
      <w:r>
        <w:rPr>
          <w:rFonts w:hint="eastAsia" w:ascii="仿宋" w:hAnsi="仿宋" w:eastAsia="仿宋" w:cs="仿宋"/>
          <w:bCs/>
          <w:sz w:val="32"/>
          <w:szCs w:val="32"/>
        </w:rPr>
        <w:t>基本支出、项目支出</w:t>
      </w:r>
    </w:p>
    <w:p>
      <w:pPr>
        <w:ind w:firstLine="720"/>
        <w:rPr>
          <w:rFonts w:ascii="仿宋" w:hAnsi="仿宋" w:eastAsia="仿宋"/>
          <w:sz w:val="32"/>
          <w:szCs w:val="32"/>
        </w:rPr>
      </w:pPr>
      <w:r>
        <w:rPr>
          <w:rFonts w:hint="eastAsia" w:ascii="仿宋" w:hAnsi="仿宋" w:eastAsia="仿宋" w:cs="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cs="仿宋"/>
          <w:sz w:val="32"/>
          <w:szCs w:val="32"/>
        </w:rPr>
        <w:t>项目支出是指在基本支出之外完成特定行政任务和事业发展目标所发生的支出。</w:t>
      </w:r>
    </w:p>
    <w:p>
      <w:pPr>
        <w:ind w:firstLine="720"/>
        <w:rPr>
          <w:rFonts w:ascii="仿宋" w:hAnsi="仿宋" w:eastAsia="仿宋"/>
          <w:bCs/>
          <w:sz w:val="32"/>
          <w:szCs w:val="32"/>
        </w:rPr>
      </w:pPr>
      <w:r>
        <w:rPr>
          <w:rFonts w:ascii="仿宋" w:hAnsi="仿宋" w:eastAsia="仿宋" w:cs="仿宋"/>
          <w:bCs/>
          <w:sz w:val="32"/>
          <w:szCs w:val="32"/>
        </w:rPr>
        <w:t>3.</w:t>
      </w:r>
      <w:r>
        <w:rPr>
          <w:rFonts w:hint="eastAsia" w:ascii="仿宋" w:hAnsi="仿宋" w:eastAsia="仿宋" w:cs="仿宋"/>
          <w:bCs/>
          <w:sz w:val="32"/>
          <w:szCs w:val="32"/>
        </w:rPr>
        <w:t>一般公共服务支出</w:t>
      </w:r>
    </w:p>
    <w:p>
      <w:pPr>
        <w:ind w:firstLine="720"/>
        <w:rPr>
          <w:rFonts w:ascii="仿宋" w:hAnsi="仿宋" w:eastAsia="仿宋"/>
          <w:sz w:val="32"/>
          <w:szCs w:val="32"/>
        </w:rPr>
      </w:pPr>
      <w:r>
        <w:rPr>
          <w:rFonts w:hint="eastAsia" w:ascii="仿宋" w:hAnsi="仿宋" w:eastAsia="仿宋" w:cs="仿宋"/>
          <w:sz w:val="32"/>
          <w:szCs w:val="32"/>
        </w:rPr>
        <w:t>一般公共服务支出是指反映预算单位一般公共服务的支出。</w:t>
      </w:r>
    </w:p>
    <w:p>
      <w:pPr>
        <w:ind w:firstLine="720"/>
        <w:rPr>
          <w:rFonts w:ascii="仿宋" w:hAnsi="仿宋" w:eastAsia="仿宋"/>
          <w:bCs/>
          <w:sz w:val="32"/>
          <w:szCs w:val="32"/>
        </w:rPr>
      </w:pPr>
      <w:r>
        <w:rPr>
          <w:rFonts w:ascii="仿宋" w:hAnsi="仿宋" w:eastAsia="仿宋" w:cs="仿宋"/>
          <w:bCs/>
          <w:sz w:val="32"/>
          <w:szCs w:val="32"/>
        </w:rPr>
        <w:t>4.</w:t>
      </w:r>
      <w:r>
        <w:rPr>
          <w:rFonts w:hint="eastAsia" w:ascii="仿宋" w:hAnsi="仿宋" w:eastAsia="仿宋" w:cs="仿宋"/>
          <w:bCs/>
          <w:sz w:val="32"/>
          <w:szCs w:val="32"/>
        </w:rPr>
        <w:t>文化体育与传媒支出</w:t>
      </w:r>
    </w:p>
    <w:p>
      <w:pPr>
        <w:ind w:firstLine="720"/>
        <w:rPr>
          <w:rFonts w:ascii="仿宋" w:hAnsi="仿宋" w:eastAsia="仿宋"/>
          <w:sz w:val="32"/>
          <w:szCs w:val="32"/>
        </w:rPr>
      </w:pPr>
      <w:r>
        <w:rPr>
          <w:rFonts w:hint="eastAsia" w:ascii="仿宋" w:hAnsi="仿宋" w:eastAsia="仿宋" w:cs="仿宋"/>
          <w:sz w:val="32"/>
          <w:szCs w:val="32"/>
        </w:rPr>
        <w:t>文化体育与传媒支出是指反映预算单位在文化、文物、体育、广播影视、新闻出版等方面的支出。</w:t>
      </w:r>
    </w:p>
    <w:p>
      <w:pPr>
        <w:ind w:firstLine="720"/>
        <w:rPr>
          <w:rFonts w:ascii="仿宋" w:hAnsi="仿宋" w:eastAsia="仿宋"/>
          <w:bCs/>
          <w:sz w:val="32"/>
          <w:szCs w:val="32"/>
        </w:rPr>
      </w:pPr>
      <w:r>
        <w:rPr>
          <w:rFonts w:ascii="仿宋" w:hAnsi="仿宋" w:eastAsia="仿宋" w:cs="仿宋"/>
          <w:bCs/>
          <w:sz w:val="32"/>
          <w:szCs w:val="32"/>
        </w:rPr>
        <w:t>5.</w:t>
      </w:r>
      <w:r>
        <w:rPr>
          <w:rFonts w:hint="eastAsia" w:ascii="仿宋" w:hAnsi="仿宋" w:eastAsia="仿宋" w:cs="仿宋"/>
          <w:bCs/>
          <w:sz w:val="32"/>
          <w:szCs w:val="32"/>
        </w:rPr>
        <w:t>社会保障和就业支出</w:t>
      </w:r>
    </w:p>
    <w:p>
      <w:pPr>
        <w:ind w:firstLine="720"/>
        <w:rPr>
          <w:rFonts w:ascii="仿宋" w:hAnsi="仿宋" w:eastAsia="仿宋"/>
          <w:sz w:val="32"/>
          <w:szCs w:val="32"/>
        </w:rPr>
      </w:pPr>
      <w:r>
        <w:rPr>
          <w:rFonts w:hint="eastAsia" w:ascii="仿宋" w:hAnsi="仿宋" w:eastAsia="仿宋" w:cs="仿宋"/>
          <w:sz w:val="32"/>
          <w:szCs w:val="32"/>
        </w:rPr>
        <w:t>社会保障和就业支出是指预算单位在社会保障和就业方面的支出。</w:t>
      </w:r>
    </w:p>
    <w:p>
      <w:pPr>
        <w:ind w:firstLine="720"/>
        <w:rPr>
          <w:rFonts w:ascii="仿宋" w:hAnsi="仿宋" w:eastAsia="仿宋"/>
          <w:bCs/>
          <w:sz w:val="32"/>
          <w:szCs w:val="32"/>
        </w:rPr>
      </w:pPr>
      <w:r>
        <w:rPr>
          <w:rFonts w:ascii="仿宋" w:hAnsi="仿宋" w:eastAsia="仿宋" w:cs="仿宋"/>
          <w:bCs/>
          <w:sz w:val="32"/>
          <w:szCs w:val="32"/>
        </w:rPr>
        <w:t>6.</w:t>
      </w:r>
      <w:r>
        <w:rPr>
          <w:rFonts w:hint="eastAsia" w:ascii="仿宋" w:hAnsi="仿宋" w:eastAsia="仿宋" w:cs="仿宋"/>
          <w:bCs/>
          <w:sz w:val="32"/>
          <w:szCs w:val="32"/>
        </w:rPr>
        <w:t>机关运行经费</w:t>
      </w:r>
    </w:p>
    <w:p>
      <w:pPr>
        <w:ind w:firstLine="720"/>
        <w:rPr>
          <w:rFonts w:ascii="仿宋" w:hAnsi="仿宋" w:eastAsia="仿宋"/>
          <w:sz w:val="32"/>
          <w:szCs w:val="32"/>
        </w:rPr>
      </w:pPr>
      <w:r>
        <w:rPr>
          <w:rFonts w:hint="eastAsia" w:ascii="仿宋" w:hAnsi="仿宋" w:eastAsia="仿宋" w:cs="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Cs/>
          <w:sz w:val="32"/>
          <w:szCs w:val="32"/>
        </w:rPr>
      </w:pPr>
      <w:r>
        <w:rPr>
          <w:rFonts w:ascii="仿宋" w:hAnsi="仿宋" w:eastAsia="仿宋" w:cs="仿宋"/>
          <w:bCs/>
          <w:sz w:val="32"/>
          <w:szCs w:val="32"/>
        </w:rPr>
        <w:t>7.</w:t>
      </w:r>
      <w:r>
        <w:rPr>
          <w:rFonts w:hint="eastAsia" w:ascii="仿宋" w:hAnsi="仿宋" w:eastAsia="仿宋" w:cs="仿宋"/>
          <w:bCs/>
          <w:sz w:val="32"/>
          <w:szCs w:val="32"/>
        </w:rPr>
        <w:t>“三公”经费</w:t>
      </w:r>
    </w:p>
    <w:p>
      <w:pPr>
        <w:ind w:firstLine="720"/>
        <w:rPr>
          <w:rFonts w:ascii="仿宋" w:hAnsi="仿宋" w:eastAsia="仿宋"/>
          <w:sz w:val="32"/>
          <w:szCs w:val="32"/>
        </w:rPr>
      </w:pPr>
      <w:r>
        <w:rPr>
          <w:rFonts w:hint="eastAsia" w:ascii="仿宋" w:hAnsi="仿宋" w:eastAsia="仿宋" w:cs="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cs="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cs="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cs="仿宋"/>
          <w:sz w:val="32"/>
          <w:szCs w:val="32"/>
        </w:rPr>
        <w:t>公务接待费是指单位按规定开支的各类公务接待（含外宾接待）费用。</w:t>
      </w:r>
    </w:p>
    <w:p>
      <w:pPr>
        <w:numPr>
          <w:ilvl w:val="0"/>
          <w:numId w:val="2"/>
        </w:numPr>
        <w:autoSpaceDE w:val="0"/>
        <w:autoSpaceDN w:val="0"/>
        <w:adjustRightInd w:val="0"/>
        <w:jc w:val="left"/>
        <w:rPr>
          <w:rFonts w:ascii="黑体" w:hAnsi="黑体" w:eastAsia="黑体"/>
          <w:b/>
          <w:bCs/>
          <w:sz w:val="32"/>
          <w:szCs w:val="32"/>
        </w:rPr>
      </w:pPr>
      <w:r>
        <w:rPr>
          <w:rFonts w:hint="eastAsia" w:ascii="黑体" w:hAnsi="黑体" w:eastAsia="黑体" w:cs="宋体-方正超大字符集"/>
          <w:b/>
          <w:bCs/>
          <w:sz w:val="32"/>
          <w:szCs w:val="32"/>
        </w:rPr>
        <w:t>其他需要说明的事项</w:t>
      </w:r>
    </w:p>
    <w:p>
      <w:pPr>
        <w:autoSpaceDE w:val="0"/>
        <w:autoSpaceDN w:val="0"/>
        <w:adjustRightInd w:val="0"/>
        <w:jc w:val="left"/>
        <w:rPr>
          <w:rFonts w:ascii="宋体-方正超大字符集" w:hAnsi="宋体-方正超大字符集" w:eastAsia="宋体-方正超大字符集"/>
          <w:b/>
          <w:bCs/>
          <w:sz w:val="32"/>
          <w:szCs w:val="32"/>
        </w:rPr>
      </w:pPr>
      <w:r>
        <w:rPr>
          <w:rFonts w:hint="eastAsia" w:ascii="宋体-方正超大字符集" w:hAnsi="宋体-方正超大字符集" w:eastAsia="宋体-方正超大字符集" w:cs="宋体-方正超大字符集"/>
          <w:b/>
          <w:bCs/>
          <w:sz w:val="32"/>
          <w:szCs w:val="32"/>
        </w:rPr>
        <w:t>　　</w:t>
      </w:r>
      <w:r>
        <w:rPr>
          <w:rFonts w:hint="eastAsia" w:ascii="仿宋" w:hAnsi="仿宋" w:eastAsia="仿宋" w:cs="仿宋"/>
          <w:sz w:val="32"/>
          <w:szCs w:val="32"/>
        </w:rPr>
        <w:t>无</w:t>
      </w:r>
    </w:p>
    <w:p>
      <w:pPr>
        <w:autoSpaceDE w:val="0"/>
        <w:autoSpaceDN w:val="0"/>
        <w:adjustRightInd w:val="0"/>
        <w:ind w:firstLine="640" w:firstLineChars="200"/>
        <w:jc w:val="left"/>
        <w:rPr>
          <w:rFonts w:ascii="仿宋" w:hAnsi="仿宋" w:eastAsia="仿宋"/>
          <w:sz w:val="32"/>
          <w:szCs w:val="32"/>
        </w:rPr>
      </w:pPr>
    </w:p>
    <w:sectPr>
      <w:pgSz w:w="16838" w:h="11906" w:orient="landscape"/>
      <w:pgMar w:top="1800" w:right="1440" w:bottom="1800" w:left="1440" w:header="851" w:footer="992" w:gutter="0"/>
      <w:cols w:space="425"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Tahoma">
    <w:panose1 w:val="020B0604030504040204"/>
    <w:charset w:val="00"/>
    <w:family w:val="auto"/>
    <w:pitch w:val="default"/>
    <w:sig w:usb0="61007A87" w:usb1="80000000" w:usb2="00000008"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Wingdings">
    <w:panose1 w:val="05000000000000000000"/>
    <w:charset w:val="02"/>
    <w:family w:val="auto"/>
    <w:pitch w:val="default"/>
    <w:sig w:usb0="00000000" w:usb1="00000000" w:usb2="00000000" w:usb3="00000000" w:csb0="80000000" w:csb1="00000000"/>
  </w:font>
  <w:font w:name="微软雅黑">
    <w:altName w:val="黑体"/>
    <w:panose1 w:val="020B0503020204020204"/>
    <w:charset w:val="86"/>
    <w:family w:val="auto"/>
    <w:pitch w:val="default"/>
    <w:sig w:usb0="80000287" w:usb1="280F3C52" w:usb2="00000016" w:usb3="00000000" w:csb0="0004001F" w:csb1="00000000"/>
  </w:font>
  <w:font w:name="Calibri">
    <w:altName w:val="Arial Rounded MT Bold"/>
    <w:panose1 w:val="020F0502020204030204"/>
    <w:charset w:val="00"/>
    <w:family w:val="auto"/>
    <w:pitch w:val="default"/>
    <w:sig w:usb0="E10002FF" w:usb1="4000ACFF" w:usb2="00000009" w:usb3="00000000" w:csb0="0000019F" w:csb1="00000000"/>
  </w:font>
  <w:font w:name="仿宋_GB2312">
    <w:panose1 w:val="02010609030101010101"/>
    <w:charset w:val="86"/>
    <w:family w:val="auto"/>
    <w:pitch w:val="default"/>
    <w:sig w:usb0="00000001" w:usb1="080E0000" w:usb2="00000000" w:usb3="00000000" w:csb0="00040000" w:csb1="00000000"/>
  </w:font>
  <w:font w:name="仿宋">
    <w:altName w:val="仿宋_GB2312"/>
    <w:panose1 w:val="02010609060101010101"/>
    <w:charset w:val="86"/>
    <w:family w:val="auto"/>
    <w:pitch w:val="default"/>
    <w:sig w:usb0="800002BF" w:usb1="38CF7CFA" w:usb2="00000016" w:usb3="00000000" w:csb0="00040001" w:csb1="00000000"/>
  </w:font>
  <w:font w:name="楷体">
    <w:altName w:val="楷体_GB2312"/>
    <w:panose1 w:val="02010609060101010101"/>
    <w:charset w:val="86"/>
    <w:family w:val="auto"/>
    <w:pitch w:val="default"/>
    <w:sig w:usb0="800002BF" w:usb1="38CF7CFA" w:usb2="00000016" w:usb3="00000000" w:csb0="00040001" w:csb1="00000000"/>
  </w:font>
  <w:font w:name="方正小标宋_GBK">
    <w:altName w:val="宋体"/>
    <w:panose1 w:val="00000000000000000000"/>
    <w:charset w:val="86"/>
    <w:family w:val="auto"/>
    <w:pitch w:val="default"/>
    <w:sig w:usb0="00000000" w:usb1="00000000" w:usb2="00000000" w:usb3="00000000" w:csb0="00040001" w:csb1="00000000"/>
  </w:font>
  <w:font w:name="方正书宋_GBK">
    <w:altName w:val="宋体"/>
    <w:panose1 w:val="00000000000000000000"/>
    <w:charset w:val="86"/>
    <w:family w:val="auto"/>
    <w:pitch w:val="default"/>
    <w:sig w:usb0="00000000" w:usb1="00000000" w:usb2="00000010" w:usb3="00000000" w:csb0="00040000" w:csb1="00000000"/>
  </w:font>
  <w:font w:name="方正楷体_GBK">
    <w:altName w:val="宋体"/>
    <w:panose1 w:val="00000000000000000000"/>
    <w:charset w:val="86"/>
    <w:family w:val="auto"/>
    <w:pitch w:val="default"/>
    <w:sig w:usb0="00000000" w:usb1="00000000" w:usb2="00000000" w:usb3="00000000" w:csb0="00040001" w:csb1="00000000"/>
  </w:font>
  <w:font w:name="宋体-方正超大字符集">
    <w:panose1 w:val="03000509000000000000"/>
    <w:charset w:val="86"/>
    <w:family w:val="auto"/>
    <w:pitch w:val="default"/>
    <w:sig w:usb0="00000001" w:usb1="080E0000" w:usb2="00000000" w:usb3="00000000" w:csb0="00040000" w:csb1="00000000"/>
  </w:font>
  <w:font w:name="Cambria">
    <w:altName w:val="Palatino Linotype"/>
    <w:panose1 w:val="02040503050406030204"/>
    <w:charset w:val="00"/>
    <w:family w:val="auto"/>
    <w:pitch w:val="default"/>
    <w:sig w:usb0="E00002FF" w:usb1="400004FF" w:usb2="00000000" w:usb3="00000000" w:csb0="0000019F" w:csb1="00000000"/>
  </w:font>
  <w:font w:name="楷体_GB2312">
    <w:panose1 w:val="02010609030101010101"/>
    <w:charset w:val="86"/>
    <w:family w:val="auto"/>
    <w:pitch w:val="default"/>
    <w:sig w:usb0="00000001" w:usb1="080E0000" w:usb2="00000000" w:usb3="00000000" w:csb0="00040000" w:csb1="00000000"/>
  </w:font>
  <w:font w:name="Arial Rounded MT Bold">
    <w:panose1 w:val="020F0704030504030204"/>
    <w:charset w:val="00"/>
    <w:family w:val="auto"/>
    <w:pitch w:val="default"/>
    <w:sig w:usb0="00000003" w:usb1="00000000" w:usb2="00000000" w:usb3="00000000" w:csb0="20000001" w:csb1="00000000"/>
  </w:font>
  <w:font w:name="Palatino Linotype">
    <w:panose1 w:val="02040502050505030304"/>
    <w:charset w:val="00"/>
    <w:family w:val="auto"/>
    <w:pitch w:val="default"/>
    <w:sig w:usb0="E0000387" w:usb1="40000013"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footnote w:id="0">
    <w:p>
      <w:pPr>
        <w:pStyle w:val="7"/>
        <w:rPr>
          <w:rFonts w:hint="eastAsia"/>
        </w:rPr>
      </w:pPr>
      <w:r>
        <w:rPr>
          <w:rStyle w:val="9"/>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2">
    <w:nsid w:val="00000002"/>
    <w:multiLevelType w:val="singleLevel"/>
    <w:tmpl w:val="00000002"/>
    <w:lvl w:ilvl="0" w:tentative="1">
      <w:start w:val="9"/>
      <w:numFmt w:val="chineseCounting"/>
      <w:suff w:val="nothing"/>
      <w:lvlText w:val="%1、"/>
      <w:lvlJc w:val="left"/>
    </w:lvl>
  </w:abstractNum>
  <w:abstractNum w:abstractNumId="3">
    <w:nsid w:val="00000003"/>
    <w:multiLevelType w:val="multilevel"/>
    <w:tmpl w:val="00000003"/>
    <w:lvl w:ilvl="0" w:tentative="1">
      <w:start w:val="1"/>
      <w:numFmt w:val="japaneseCounting"/>
      <w:lvlText w:val="（%1）"/>
      <w:lvlJc w:val="left"/>
      <w:pPr>
        <w:ind w:left="1680" w:hanging="1080"/>
      </w:pPr>
      <w:rPr>
        <w:rFonts w:hint="default"/>
      </w:rPr>
    </w:lvl>
    <w:lvl w:ilvl="1" w:tentative="1">
      <w:start w:val="1"/>
      <w:numFmt w:val="lowerLetter"/>
      <w:lvlText w:val="%2)"/>
      <w:lvlJc w:val="left"/>
      <w:pPr>
        <w:ind w:left="1440" w:hanging="420"/>
      </w:pPr>
    </w:lvl>
    <w:lvl w:ilvl="2" w:tentative="1">
      <w:start w:val="1"/>
      <w:numFmt w:val="lowerRoman"/>
      <w:lvlText w:val="%3."/>
      <w:lvlJc w:val="right"/>
      <w:pPr>
        <w:ind w:left="1860" w:hanging="420"/>
      </w:pPr>
    </w:lvl>
    <w:lvl w:ilvl="3" w:tentative="1">
      <w:start w:val="1"/>
      <w:numFmt w:val="decimal"/>
      <w:lvlText w:val="%4."/>
      <w:lvlJc w:val="left"/>
      <w:pPr>
        <w:ind w:left="2280" w:hanging="420"/>
      </w:pPr>
    </w:lvl>
    <w:lvl w:ilvl="4" w:tentative="1">
      <w:start w:val="1"/>
      <w:numFmt w:val="lowerLetter"/>
      <w:lvlText w:val="%5)"/>
      <w:lvlJc w:val="left"/>
      <w:pPr>
        <w:ind w:left="2700" w:hanging="420"/>
      </w:pPr>
    </w:lvl>
    <w:lvl w:ilvl="5" w:tentative="1">
      <w:start w:val="1"/>
      <w:numFmt w:val="lowerRoman"/>
      <w:lvlText w:val="%6."/>
      <w:lvlJc w:val="right"/>
      <w:pPr>
        <w:ind w:left="3120" w:hanging="420"/>
      </w:pPr>
    </w:lvl>
    <w:lvl w:ilvl="6" w:tentative="1">
      <w:start w:val="1"/>
      <w:numFmt w:val="decimal"/>
      <w:lvlText w:val="%7."/>
      <w:lvlJc w:val="left"/>
      <w:pPr>
        <w:ind w:left="3540" w:hanging="420"/>
      </w:pPr>
    </w:lvl>
    <w:lvl w:ilvl="7" w:tentative="1">
      <w:start w:val="1"/>
      <w:numFmt w:val="lowerLetter"/>
      <w:lvlText w:val="%8)"/>
      <w:lvlJc w:val="left"/>
      <w:pPr>
        <w:ind w:left="3960" w:hanging="420"/>
      </w:pPr>
    </w:lvl>
    <w:lvl w:ilvl="8" w:tentative="1">
      <w:start w:val="1"/>
      <w:numFmt w:val="lowerRoman"/>
      <w:lvlText w:val="%9."/>
      <w:lvlJc w:val="right"/>
      <w:pPr>
        <w:ind w:left="4380" w:hanging="420"/>
      </w:pPr>
    </w:lvl>
  </w:abstractNum>
  <w:num w:numId="1">
    <w:abstractNumId w:val="3"/>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1"/>
  <w:bordersDoNotSurroundFooter w:val="1"/>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tyle>
  <w:style w:type="paragraph" w:styleId="2">
    <w:name w:val="footer"/>
    <w:basedOn w:val="1"/>
    <w:link w:val="3"/>
    <w:pPr>
      <w:tabs>
        <w:tab w:val="center" w:pos="4153"/>
        <w:tab w:val="right" w:pos="8306"/>
      </w:tabs>
      <w:snapToGrid w:val="0"/>
      <w:jc w:val="left"/>
    </w:pPr>
    <w:rPr>
      <w:rFonts w:ascii="Times New Roman" w:hAnsi="Times New Roman" w:eastAsia="宋体" w:cs="Times New Roman"/>
      <w:sz w:val="18"/>
      <w:szCs w:val="18"/>
    </w:rPr>
  </w:style>
  <w:style w:type="character" w:customStyle="1" w:styleId="3">
    <w:name w:val="页脚 Char"/>
    <w:basedOn w:val="4"/>
    <w:link w:val="2"/>
    <w:semiHidden/>
    <w:rPr>
      <w:rFonts w:ascii="Times New Roman" w:hAnsi="Times New Roman" w:eastAsia="宋体" w:cs="Times New Roman"/>
      <w:sz w:val="18"/>
      <w:szCs w:val="18"/>
    </w:rPr>
  </w:style>
  <w:style w:type="paragraph" w:styleId="5">
    <w:name w:val="header"/>
    <w:basedOn w:val="1"/>
    <w:link w:val="6"/>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character" w:customStyle="1" w:styleId="6">
    <w:name w:val="页眉 Char"/>
    <w:basedOn w:val="4"/>
    <w:link w:val="5"/>
    <w:semiHidden/>
    <w:rPr>
      <w:rFonts w:ascii="Times New Roman" w:hAnsi="Times New Roman" w:eastAsia="宋体" w:cs="Times New Roman"/>
      <w:sz w:val="18"/>
      <w:szCs w:val="18"/>
    </w:rPr>
  </w:style>
  <w:style w:type="paragraph" w:styleId="7">
    <w:name w:val="footnote text"/>
    <w:basedOn w:val="1"/>
    <w:link w:val="8"/>
    <w:pPr>
      <w:snapToGrid w:val="0"/>
      <w:jc w:val="left"/>
    </w:pPr>
    <w:rPr>
      <w:rFonts w:ascii="Times New Roman" w:hAnsi="Times New Roman" w:eastAsia="宋体" w:cs="Times New Roman"/>
      <w:sz w:val="18"/>
      <w:szCs w:val="18"/>
    </w:rPr>
  </w:style>
  <w:style w:type="character" w:customStyle="1" w:styleId="8">
    <w:name w:val="脚注文本 Char"/>
    <w:basedOn w:val="4"/>
    <w:link w:val="7"/>
    <w:semiHidden/>
    <w:rPr>
      <w:rFonts w:ascii="Times New Roman" w:hAnsi="Times New Roman" w:eastAsia="宋体" w:cs="Times New Roman"/>
      <w:sz w:val="18"/>
      <w:szCs w:val="18"/>
    </w:rPr>
  </w:style>
  <w:style w:type="character" w:styleId="9">
    <w:name w:val="footnote reference"/>
    <w:basedOn w:val="4"/>
    <w:rPr>
      <w:vertAlign w:val="superscript"/>
    </w:rPr>
  </w:style>
  <w:style w:type="paragraph" w:customStyle="1" w:styleId="10">
    <w:name w:val="List Paragraph"/>
    <w:basedOn w:val="1"/>
    <w:pPr>
      <w:ind w:firstLine="420" w:firstLineChars="200"/>
    </w:p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10" Type="http://schemas.openxmlformats.org/officeDocument/2006/relationships/footer" Target="footer3.xml"/><Relationship Id="rId11" Type="http://schemas.openxmlformats.org/officeDocument/2006/relationships/theme" Target="theme/theme1.xml"/><Relationship Id="rId12" Type="http://schemas.openxmlformats.org/officeDocument/2006/relationships/customXml" Target="../customXml/item1.xml"/><Relationship Id="rId13"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footnotes" Target="footnote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eader" Target="header3.xml"/><Relationship Id="rId8" Type="http://schemas.openxmlformats.org/officeDocument/2006/relationships/footer" Target="footer1.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20</Pages>
  <Words>1401</Words>
  <Characters>7990</Characters>
  <Lines>66</Lines>
  <Paragraphs>18</Paragraphs>
  <TotalTime>0</TotalTime>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2017-08-21T17:42:00Z</dcterms:created>
  <dc:creator>微软用户</dc:creator>
  <dcterms:modified xsi:type="dcterms:W3CDTF">2020-01-02T10:38:22Z</dcterms:modified>
  <dc:title>兰永召</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