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6A06" w:rsidRDefault="00F64830">
      <w:pPr>
        <w:widowControl/>
        <w:jc w:val="center"/>
        <w:rPr>
          <w:rFonts w:asciiTheme="minorEastAsia" w:eastAsiaTheme="minorEastAsia" w:hAnsiTheme="minorEastAsia"/>
          <w:b/>
          <w:sz w:val="72"/>
          <w:szCs w:val="72"/>
        </w:rPr>
      </w:pPr>
      <w:bookmarkStart w:id="0" w:name="_GoBack"/>
      <w:bookmarkEnd w:id="0"/>
      <w:r>
        <w:rPr>
          <w:rFonts w:asciiTheme="minorEastAsia" w:eastAsiaTheme="minorEastAsia" w:hAnsi="宋体" w:hint="eastAsia"/>
          <w:noProof/>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a:stretch>
                      <a:fillRect/>
                    </a:stretch>
                  </pic:blipFill>
                  <pic:spPr>
                    <a:xfrm>
                      <a:off x="0" y="0"/>
                      <a:ext cx="7576820" cy="10796905"/>
                    </a:xfrm>
                    <a:prstGeom prst="rect">
                      <a:avLst/>
                    </a:prstGeom>
                  </pic:spPr>
                </pic:pic>
              </a:graphicData>
            </a:graphic>
          </wp:anchor>
        </w:drawing>
      </w:r>
    </w:p>
    <w:p w:rsidR="00D36A06" w:rsidRDefault="00F64830">
      <w:pPr>
        <w:widowControl/>
        <w:jc w:val="center"/>
        <w:rPr>
          <w:rFonts w:asciiTheme="minorEastAsia" w:eastAsiaTheme="minorEastAsia" w:hAnsi="宋体"/>
          <w:color w:val="002060"/>
          <w:sz w:val="72"/>
          <w:szCs w:val="72"/>
        </w:rPr>
      </w:pPr>
      <w:r>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38784;mso-width-relative:page;mso-height-relative:page"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filled="f" stroked="f" strokeweight=".5pt">
            <v:textbox>
              <w:txbxContent>
                <w:p w:rsidR="00D36A06" w:rsidRDefault="00F64830">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无极县交通运输局</w:t>
                  </w:r>
                </w:p>
                <w:p w:rsidR="00D36A06" w:rsidRDefault="00F64830">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w:t>
                  </w:r>
                </w:p>
                <w:p w:rsidR="00D36A06" w:rsidRDefault="00D36A06">
                  <w:pPr>
                    <w:rPr>
                      <w:color w:val="FDEFBE"/>
                      <w:sz w:val="96"/>
                      <w:szCs w:val="96"/>
                    </w:rPr>
                  </w:pPr>
                </w:p>
              </w:txbxContent>
            </v:textbox>
          </v:shape>
        </w:pict>
      </w:r>
    </w:p>
    <w:p w:rsidR="00D36A06" w:rsidRDefault="00D36A06">
      <w:pPr>
        <w:widowControl/>
        <w:jc w:val="center"/>
        <w:rPr>
          <w:rFonts w:asciiTheme="minorEastAsia" w:eastAsiaTheme="minorEastAsia" w:hAnsiTheme="minorEastAsia"/>
          <w:b/>
          <w:sz w:val="72"/>
          <w:szCs w:val="72"/>
        </w:rPr>
      </w:pPr>
    </w:p>
    <w:p w:rsidR="00D36A06" w:rsidRDefault="00D36A06">
      <w:pPr>
        <w:widowControl/>
        <w:jc w:val="center"/>
        <w:rPr>
          <w:rFonts w:asciiTheme="minorEastAsia" w:eastAsiaTheme="minorEastAsia" w:hAnsiTheme="minorEastAsia"/>
          <w:b/>
          <w:sz w:val="72"/>
          <w:szCs w:val="72"/>
        </w:rPr>
      </w:pPr>
    </w:p>
    <w:p w:rsidR="00D36A06" w:rsidRDefault="00D36A06">
      <w:pPr>
        <w:widowControl/>
        <w:jc w:val="center"/>
        <w:rPr>
          <w:rFonts w:asciiTheme="minorEastAsia" w:eastAsiaTheme="minorEastAsia" w:hAnsiTheme="minorEastAsia"/>
          <w:b/>
          <w:sz w:val="72"/>
          <w:szCs w:val="72"/>
        </w:rPr>
      </w:pPr>
    </w:p>
    <w:p w:rsidR="00D36A06" w:rsidRDefault="00D36A06">
      <w:pPr>
        <w:widowControl/>
        <w:jc w:val="center"/>
        <w:rPr>
          <w:rFonts w:asciiTheme="minorEastAsia" w:eastAsiaTheme="minorEastAsia" w:hAnsiTheme="minorEastAsia"/>
          <w:b/>
          <w:sz w:val="72"/>
          <w:szCs w:val="72"/>
        </w:rPr>
      </w:pPr>
    </w:p>
    <w:p w:rsidR="00D36A06" w:rsidRDefault="00D36A06">
      <w:pPr>
        <w:widowControl/>
        <w:jc w:val="center"/>
        <w:rPr>
          <w:rFonts w:asciiTheme="minorEastAsia" w:eastAsiaTheme="minorEastAsia" w:hAnsiTheme="minorEastAsia"/>
          <w:b/>
          <w:sz w:val="72"/>
          <w:szCs w:val="72"/>
        </w:rPr>
      </w:pPr>
    </w:p>
    <w:p w:rsidR="00D36A06" w:rsidRDefault="00D36A06">
      <w:pPr>
        <w:widowControl/>
        <w:jc w:val="center"/>
        <w:rPr>
          <w:rFonts w:asciiTheme="minorEastAsia" w:eastAsiaTheme="minorEastAsia" w:hAnsiTheme="minorEastAsia"/>
          <w:b/>
          <w:sz w:val="72"/>
          <w:szCs w:val="72"/>
        </w:rPr>
      </w:pPr>
    </w:p>
    <w:p w:rsidR="00D36A06" w:rsidRDefault="00D36A06">
      <w:pPr>
        <w:widowControl/>
        <w:jc w:val="center"/>
        <w:rPr>
          <w:rFonts w:asciiTheme="minorEastAsia" w:eastAsiaTheme="minorEastAsia" w:hAnsiTheme="minorEastAsia"/>
          <w:b/>
          <w:sz w:val="72"/>
          <w:szCs w:val="72"/>
        </w:rPr>
      </w:pPr>
    </w:p>
    <w:p w:rsidR="00D36A06" w:rsidRDefault="00D36A06">
      <w:pPr>
        <w:widowControl/>
        <w:jc w:val="center"/>
        <w:rPr>
          <w:rFonts w:asciiTheme="minorEastAsia" w:eastAsiaTheme="minorEastAsia" w:hAnsiTheme="minorEastAsia"/>
          <w:b/>
          <w:sz w:val="72"/>
          <w:szCs w:val="72"/>
        </w:rPr>
      </w:pPr>
    </w:p>
    <w:p w:rsidR="00D36A06" w:rsidRDefault="00D36A06">
      <w:pPr>
        <w:widowControl/>
        <w:jc w:val="center"/>
        <w:rPr>
          <w:rFonts w:ascii="楷体" w:eastAsia="楷体" w:hAnsi="楷体" w:cs="楷体"/>
          <w:b/>
          <w:sz w:val="40"/>
          <w:szCs w:val="40"/>
        </w:rPr>
      </w:pPr>
    </w:p>
    <w:p w:rsidR="00D36A06" w:rsidRDefault="00F64830">
      <w:pPr>
        <w:widowControl/>
        <w:jc w:val="center"/>
        <w:rPr>
          <w:rFonts w:ascii="楷体_GB2312" w:eastAsia="楷体_GB2312" w:hAnsi="楷体" w:cs="楷体"/>
          <w:b/>
          <w:sz w:val="40"/>
          <w:szCs w:val="40"/>
        </w:rPr>
        <w:sectPr w:rsidR="00D36A06">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D36A06" w:rsidRDefault="00F64830">
      <w:pPr>
        <w:widowControl/>
        <w:spacing w:after="0" w:line="600" w:lineRule="exact"/>
        <w:ind w:firstLineChars="200" w:firstLine="960"/>
        <w:jc w:val="center"/>
        <w:rPr>
          <w:rFonts w:ascii="黑体" w:eastAsia="黑体"/>
          <w:sz w:val="48"/>
          <w:szCs w:val="48"/>
        </w:rPr>
      </w:pPr>
      <w:r>
        <w:rPr>
          <w:rFonts w:ascii="黑体" w:eastAsia="黑体" w:hint="eastAsia"/>
          <w:sz w:val="48"/>
          <w:szCs w:val="48"/>
        </w:rPr>
        <w:lastRenderedPageBreak/>
        <w:t>目</w:t>
      </w:r>
      <w:r>
        <w:rPr>
          <w:rFonts w:ascii="黑体" w:eastAsia="黑体" w:hint="eastAsia"/>
          <w:sz w:val="48"/>
          <w:szCs w:val="48"/>
        </w:rPr>
        <w:t xml:space="preserve">    </w:t>
      </w:r>
      <w:r>
        <w:rPr>
          <w:rFonts w:ascii="黑体" w:eastAsia="黑体" w:hint="eastAsia"/>
          <w:sz w:val="48"/>
          <w:szCs w:val="48"/>
        </w:rPr>
        <w:t>录</w:t>
      </w:r>
    </w:p>
    <w:p w:rsidR="00D36A06" w:rsidRDefault="00D36A06">
      <w:pPr>
        <w:widowControl/>
        <w:spacing w:after="0" w:line="600" w:lineRule="exact"/>
        <w:ind w:firstLineChars="200" w:firstLine="960"/>
        <w:jc w:val="center"/>
        <w:rPr>
          <w:rFonts w:ascii="黑体" w:eastAsia="黑体"/>
          <w:sz w:val="48"/>
          <w:szCs w:val="48"/>
        </w:rPr>
      </w:pPr>
    </w:p>
    <w:p w:rsidR="00D36A06" w:rsidRDefault="00F64830">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sz w:val="32"/>
          <w:szCs w:val="32"/>
        </w:rPr>
        <w:t>部门概况</w:t>
      </w:r>
    </w:p>
    <w:p w:rsidR="00D36A06" w:rsidRDefault="00F64830" w:rsidP="005B2288">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D36A06" w:rsidRDefault="00F64830" w:rsidP="005B2288">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D36A06" w:rsidRDefault="00F64830">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201</w:t>
      </w:r>
      <w:r>
        <w:rPr>
          <w:rFonts w:eastAsia="黑体" w:hint="eastAsia"/>
          <w:sz w:val="32"/>
          <w:szCs w:val="32"/>
        </w:rPr>
        <w:t>8</w:t>
      </w:r>
      <w:r>
        <w:rPr>
          <w:rFonts w:eastAsia="黑体"/>
          <w:sz w:val="32"/>
          <w:szCs w:val="32"/>
        </w:rPr>
        <w:t>年度部门决算报表</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二、收入决算表</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三、支出决算表</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D36A06" w:rsidRDefault="00F64830">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D36A06" w:rsidRDefault="00F64830">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D36A06" w:rsidRDefault="00F64830">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D36A06" w:rsidRDefault="00D36A06">
      <w:pPr>
        <w:widowControl/>
        <w:spacing w:line="580" w:lineRule="exact"/>
        <w:ind w:firstLineChars="200" w:firstLine="640"/>
        <w:rPr>
          <w:rFonts w:eastAsia="黑体"/>
          <w:sz w:val="32"/>
          <w:szCs w:val="32"/>
        </w:rPr>
      </w:pPr>
    </w:p>
    <w:p w:rsidR="00D36A06" w:rsidRDefault="00F64830">
      <w:pPr>
        <w:widowControl/>
        <w:spacing w:line="580" w:lineRule="exact"/>
        <w:ind w:firstLineChars="200" w:firstLine="640"/>
        <w:rPr>
          <w:rFonts w:eastAsia="黑体"/>
          <w:sz w:val="32"/>
          <w:szCs w:val="32"/>
        </w:rPr>
      </w:pPr>
      <w:r>
        <w:rPr>
          <w:rFonts w:eastAsia="黑体"/>
          <w:sz w:val="32"/>
          <w:szCs w:val="32"/>
        </w:rPr>
        <w:lastRenderedPageBreak/>
        <w:t>第三部分</w:t>
      </w:r>
      <w:r>
        <w:rPr>
          <w:rFonts w:eastAsia="黑体"/>
          <w:sz w:val="32"/>
          <w:szCs w:val="32"/>
        </w:rPr>
        <w:t xml:space="preserve"> </w:t>
      </w:r>
      <w:r>
        <w:rPr>
          <w:rFonts w:eastAsia="黑体" w:hint="eastAsia"/>
          <w:sz w:val="32"/>
          <w:szCs w:val="32"/>
        </w:rPr>
        <w:t>无极县交通运输局</w:t>
      </w:r>
      <w:r>
        <w:rPr>
          <w:rFonts w:eastAsia="黑体"/>
          <w:sz w:val="32"/>
          <w:szCs w:val="32"/>
        </w:rPr>
        <w:t>201</w:t>
      </w:r>
      <w:r>
        <w:rPr>
          <w:rFonts w:eastAsia="黑体" w:hint="eastAsia"/>
          <w:sz w:val="32"/>
          <w:szCs w:val="32"/>
        </w:rPr>
        <w:t>8</w:t>
      </w:r>
      <w:r>
        <w:rPr>
          <w:rFonts w:eastAsia="黑体"/>
          <w:sz w:val="32"/>
          <w:szCs w:val="32"/>
        </w:rPr>
        <w:t>年部门决算情况说明</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D36A06" w:rsidRDefault="00F64830">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D36A06" w:rsidRDefault="00F64830">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D36A06" w:rsidRDefault="00F64830">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D36A06" w:rsidRDefault="00F64830">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D36A06" w:rsidRDefault="00F64830">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D36A06" w:rsidRDefault="00D36A06">
      <w:pPr>
        <w:widowControl/>
        <w:spacing w:line="580" w:lineRule="exact"/>
        <w:ind w:firstLineChars="200" w:firstLine="640"/>
        <w:rPr>
          <w:rFonts w:eastAsia="黑体"/>
          <w:sz w:val="32"/>
          <w:szCs w:val="32"/>
        </w:rPr>
      </w:pPr>
    </w:p>
    <w:p w:rsidR="00D36A06" w:rsidRDefault="00D36A06">
      <w:pPr>
        <w:widowControl/>
        <w:spacing w:line="580" w:lineRule="exact"/>
        <w:ind w:firstLineChars="200" w:firstLine="640"/>
        <w:rPr>
          <w:rFonts w:eastAsia="黑体"/>
          <w:sz w:val="32"/>
          <w:szCs w:val="32"/>
        </w:rPr>
      </w:pPr>
    </w:p>
    <w:p w:rsidR="00D36A06" w:rsidRDefault="00D36A06">
      <w:pPr>
        <w:widowControl/>
        <w:spacing w:line="580" w:lineRule="exact"/>
        <w:ind w:firstLineChars="200" w:firstLine="640"/>
        <w:rPr>
          <w:rFonts w:eastAsia="黑体"/>
          <w:sz w:val="32"/>
          <w:szCs w:val="32"/>
        </w:rPr>
      </w:pPr>
    </w:p>
    <w:p w:rsidR="00D36A06" w:rsidRDefault="00D36A06">
      <w:pPr>
        <w:widowControl/>
        <w:spacing w:line="580" w:lineRule="exact"/>
        <w:ind w:firstLineChars="200" w:firstLine="640"/>
        <w:rPr>
          <w:rFonts w:eastAsia="黑体"/>
          <w:sz w:val="32"/>
          <w:szCs w:val="32"/>
        </w:rPr>
      </w:pPr>
    </w:p>
    <w:p w:rsidR="00D36A06" w:rsidRDefault="00F64830">
      <w:r>
        <w:br w:type="page"/>
      </w:r>
    </w:p>
    <w:p w:rsidR="00D36A06" w:rsidRDefault="00F64830">
      <w:r>
        <w:rPr>
          <w:rFonts w:ascii="宋体" w:hAnsi="宋体" w:cs="ArialUnicodeMS" w:hint="eastAsia"/>
          <w:noProof/>
          <w:color w:val="000000"/>
          <w:kern w:val="0"/>
        </w:rPr>
        <w:lastRenderedPageBreak/>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a:stretch>
                      <a:fillRect/>
                    </a:stretch>
                  </pic:blipFill>
                  <pic:spPr>
                    <a:xfrm>
                      <a:off x="0" y="0"/>
                      <a:ext cx="7585710" cy="10727055"/>
                    </a:xfrm>
                    <a:prstGeom prst="rect">
                      <a:avLst/>
                    </a:prstGeom>
                  </pic:spPr>
                </pic:pic>
              </a:graphicData>
            </a:graphic>
          </wp:anchor>
        </w:drawing>
      </w:r>
      <w:r>
        <w:rPr>
          <w:sz w:val="72"/>
        </w:rPr>
        <w:pict>
          <v:shape id="_x0000_s1030" type="#_x0000_t202" style="position:absolute;left:0;text-align:left;margin-left:-97.3pt;margin-top:259.1pt;width:613.65pt;height:81.7pt;z-index:251652096;mso-position-horizontal-relative:text;mso-position-vertical-relative:text;mso-width-relative:page;mso-height-relative:page"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filled="f" stroked="f" strokeweight=".5pt">
            <v:textbox>
              <w:txbxContent>
                <w:p w:rsidR="00D36A06" w:rsidRDefault="00F64830">
                  <w:pPr>
                    <w:widowControl/>
                    <w:jc w:val="center"/>
                    <w:rPr>
                      <w:color w:val="FDEFBE"/>
                      <w:sz w:val="96"/>
                      <w:szCs w:val="96"/>
                    </w:rPr>
                  </w:pPr>
                  <w:r>
                    <w:rPr>
                      <w:rFonts w:asciiTheme="minorEastAsia" w:eastAsiaTheme="minorEastAsia" w:hAnsi="宋体" w:hint="eastAsia"/>
                      <w:color w:val="FDEFBE"/>
                      <w:sz w:val="96"/>
                      <w:szCs w:val="96"/>
                    </w:rPr>
                    <w:t>第一部分</w:t>
                  </w:r>
                  <w:r>
                    <w:rPr>
                      <w:rFonts w:asciiTheme="minorEastAsia" w:eastAsiaTheme="minorEastAsia" w:hAnsi="宋体" w:hint="eastAsia"/>
                      <w:color w:val="FDEFBE"/>
                      <w:sz w:val="96"/>
                      <w:szCs w:val="96"/>
                    </w:rPr>
                    <w:t xml:space="preserve">  </w:t>
                  </w:r>
                  <w:r>
                    <w:rPr>
                      <w:rFonts w:asciiTheme="minorEastAsia" w:eastAsiaTheme="minorEastAsia" w:hAnsi="宋体" w:hint="eastAsia"/>
                      <w:color w:val="FDEFBE"/>
                      <w:sz w:val="96"/>
                      <w:szCs w:val="96"/>
                    </w:rPr>
                    <w:t>部门概况</w:t>
                  </w:r>
                </w:p>
              </w:txbxContent>
            </v:textbox>
          </v:shape>
        </w:pict>
      </w:r>
    </w:p>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D36A06"/>
    <w:p w:rsidR="00D36A06" w:rsidRDefault="00F64830">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lastRenderedPageBreak/>
        <w:t>一、部门职责</w:t>
      </w:r>
    </w:p>
    <w:p w:rsidR="00D36A06" w:rsidRDefault="00F64830">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无极县交通运输局主要职责：认真贯彻执行国家、省、市、县有关交通行业的方针、政策和法律、法规，研究拟定交通行业发展战略、地方性法规草案，制定有关标准、制度、办法及实施细则，并监督实施。根据上级有关规定和我县经济发展实际需要，编制公路运输、公路建设、交通管理的中、长期发展规划，并制定和下达年度公路建设与养护计划并组织实施。负责交通系统统计和信息工作。负责全县公路桥梁及其设施的规划、设计、建设、养护、路政管理，依法拆除违章建筑、管理路产路权、保护公路设施，开发公路用地。负责交通系统国有资产的经营管理、增值保值和开</w:t>
      </w:r>
      <w:r>
        <w:rPr>
          <w:rFonts w:ascii="仿宋_GB2312" w:eastAsia="仿宋_GB2312" w:hAnsi="仿宋" w:cs="仿宋" w:hint="eastAsia"/>
          <w:sz w:val="32"/>
          <w:szCs w:val="32"/>
        </w:rPr>
        <w:t>发工作。负责全县路桥的规划、建设、组织实施。负责交通运输行业管理，建立完善信息、行业联运的服务体系，引导交通运输行业优化结构、协调发展。对关系国计民生的重点物资和紧急物资的运输进行必要的调控。承办县委县政府和上级机关交办的其他事项。</w:t>
      </w:r>
    </w:p>
    <w:p w:rsidR="00D36A06" w:rsidRDefault="00F64830">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工程科主要职责：按项目建设程序履行项目法人的各项职责，负责组织全县公路新建、改建工程、养护大中修工程项目的前期工作、招标管理、开工报告、预算审批、施工管理等。</w:t>
      </w:r>
    </w:p>
    <w:p w:rsidR="00D36A06" w:rsidRDefault="00F64830">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公路站主要职责：担负</w:t>
      </w:r>
      <w:proofErr w:type="gramStart"/>
      <w:r>
        <w:rPr>
          <w:rFonts w:ascii="仿宋_GB2312" w:eastAsia="仿宋_GB2312" w:hAnsi="仿宋" w:cs="仿宋" w:hint="eastAsia"/>
          <w:sz w:val="32"/>
          <w:szCs w:val="32"/>
        </w:rPr>
        <w:t>着国省</w:t>
      </w:r>
      <w:proofErr w:type="gramEnd"/>
      <w:r>
        <w:rPr>
          <w:rFonts w:ascii="仿宋_GB2312" w:eastAsia="仿宋_GB2312" w:hAnsi="仿宋" w:cs="仿宋" w:hint="eastAsia"/>
          <w:sz w:val="32"/>
          <w:szCs w:val="32"/>
        </w:rPr>
        <w:t>62.144</w:t>
      </w:r>
      <w:r>
        <w:rPr>
          <w:rFonts w:ascii="仿宋_GB2312" w:eastAsia="仿宋_GB2312" w:hAnsi="仿宋" w:cs="仿宋" w:hint="eastAsia"/>
          <w:sz w:val="32"/>
          <w:szCs w:val="32"/>
        </w:rPr>
        <w:t>公里干线公路的日常养护、绿化工作、保持干线公路的畅、洁、绿、美。负责大中</w:t>
      </w:r>
      <w:r>
        <w:rPr>
          <w:rFonts w:ascii="仿宋_GB2312" w:eastAsia="仿宋_GB2312" w:hAnsi="仿宋" w:cs="仿宋" w:hint="eastAsia"/>
          <w:sz w:val="32"/>
          <w:szCs w:val="32"/>
        </w:rPr>
        <w:lastRenderedPageBreak/>
        <w:t>修工程、干线大中修的图纸设计，组织施工及工程档案的归档工作。公路行业信息管理等工作。</w:t>
      </w:r>
    </w:p>
    <w:p w:rsidR="00D36A06" w:rsidRDefault="00F64830">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交通运输综合执法大队主要职责：执行国家及省市有关道路运输方针、政策、法规。根据管理权限，审批道路客货运输、运输服务和三类汽车维修业户的开业、停业及年度审验，核发经营许可证、道路运输证，审批县境内客货运输线路，执行好客运工作，具体负责道路运政管理机构统一制定的证照及票据的分发、回收、管理。具体负责执行对道路运输市场的</w:t>
      </w:r>
      <w:r>
        <w:rPr>
          <w:rFonts w:ascii="仿宋_GB2312" w:eastAsia="仿宋_GB2312" w:hAnsi="仿宋" w:cs="仿宋" w:hint="eastAsia"/>
          <w:sz w:val="32"/>
          <w:szCs w:val="32"/>
        </w:rPr>
        <w:t>运输质量、经营行为、价格执行及使用的证照、票据等进行日常性监督检查，并对违章者进行处罚，处理日常性商务事故。</w:t>
      </w:r>
    </w:p>
    <w:p w:rsidR="00D36A06" w:rsidRDefault="00F64830">
      <w:pPr>
        <w:ind w:firstLineChars="200" w:firstLine="640"/>
        <w:rPr>
          <w:rFonts w:ascii="仿宋_GB2312" w:eastAsia="仿宋_GB2312" w:hAnsi="仿宋" w:cs="仿宋"/>
          <w:sz w:val="32"/>
          <w:szCs w:val="32"/>
        </w:rPr>
      </w:pPr>
      <w:r>
        <w:rPr>
          <w:rFonts w:ascii="仿宋_GB2312" w:eastAsia="仿宋_GB2312" w:hint="eastAsia"/>
          <w:sz w:val="32"/>
          <w:szCs w:val="32"/>
        </w:rPr>
        <w:t>客运中心主要职责：负责对客运站进行站务管理；负责进站车辆的安全管理；负责客运车辆调度及应急保障车辆的调配；负责为进站旅客、车主提供安全、便捷、优质服务；负责为客运经营者合理安排班次，公布其运输线路、起止经停站点、运输班次、始发班次、始发时间、票价、疏导旅客、维持上下车秩序。</w:t>
      </w:r>
    </w:p>
    <w:p w:rsidR="00D36A06" w:rsidRDefault="00F64830">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t>二、机构设置</w:t>
      </w:r>
    </w:p>
    <w:p w:rsidR="00D36A06" w:rsidRDefault="00F64830">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w:t>
      </w:r>
      <w:r>
        <w:rPr>
          <w:rFonts w:ascii="仿宋_GB2312" w:eastAsia="仿宋_GB2312" w:hAnsiTheme="minorHAnsi" w:cs="ArialUnicodeMS" w:hint="eastAsia"/>
          <w:kern w:val="0"/>
          <w:sz w:val="32"/>
          <w:szCs w:val="32"/>
        </w:rPr>
        <w:t xml:space="preserve">2018 </w:t>
      </w:r>
      <w:r>
        <w:rPr>
          <w:rFonts w:ascii="仿宋_GB2312" w:eastAsia="仿宋_GB2312" w:hAnsiTheme="minorHAnsi" w:cs="ArialUnicodeMS" w:hint="eastAsia"/>
          <w:kern w:val="0"/>
          <w:sz w:val="32"/>
          <w:szCs w:val="32"/>
        </w:rPr>
        <w:t>年度本部门决算汇编范围的独立核算单位（以下简称“单位”）共</w:t>
      </w:r>
      <w:r>
        <w:rPr>
          <w:rFonts w:ascii="仿宋_GB2312" w:eastAsia="仿宋_GB2312" w:hAnsiTheme="minorHAnsi" w:cs="ArialUnicodeMS" w:hint="eastAsia"/>
          <w:kern w:val="0"/>
          <w:sz w:val="32"/>
          <w:szCs w:val="32"/>
        </w:rPr>
        <w:t xml:space="preserve">4 </w:t>
      </w:r>
      <w:proofErr w:type="gramStart"/>
      <w:r>
        <w:rPr>
          <w:rFonts w:ascii="仿宋_GB2312" w:eastAsia="仿宋_GB2312" w:hAnsiTheme="minorHAnsi" w:cs="ArialUnicodeMS" w:hint="eastAsia"/>
          <w:kern w:val="0"/>
          <w:sz w:val="32"/>
          <w:szCs w:val="32"/>
        </w:rPr>
        <w:t>个</w:t>
      </w:r>
      <w:proofErr w:type="gramEnd"/>
      <w:r>
        <w:rPr>
          <w:rFonts w:ascii="仿宋_GB2312" w:eastAsia="仿宋_GB2312" w:hAnsiTheme="minorHAnsi" w:cs="ArialUnicodeMS" w:hint="eastAsia"/>
          <w:kern w:val="0"/>
          <w:sz w:val="32"/>
          <w:szCs w:val="32"/>
        </w:rPr>
        <w:t>，具体情况如下：</w:t>
      </w:r>
    </w:p>
    <w:p w:rsidR="00D36A06" w:rsidRDefault="00D36A06">
      <w:pPr>
        <w:spacing w:after="0" w:line="560" w:lineRule="exact"/>
        <w:rPr>
          <w:rFonts w:ascii="仿宋_GB2312" w:eastAsia="仿宋_GB2312" w:hAnsiTheme="minorHAnsi" w:cs="ArialUnicodeMS"/>
          <w:kern w:val="0"/>
          <w:sz w:val="32"/>
          <w:szCs w:val="32"/>
        </w:rPr>
      </w:pPr>
    </w:p>
    <w:tbl>
      <w:tblPr>
        <w:tblStyle w:val="a9"/>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299"/>
        <w:gridCol w:w="2813"/>
        <w:gridCol w:w="2483"/>
      </w:tblGrid>
      <w:tr w:rsidR="00D36A06">
        <w:trPr>
          <w:trHeight w:val="811"/>
          <w:jc w:val="center"/>
        </w:trPr>
        <w:tc>
          <w:tcPr>
            <w:tcW w:w="985" w:type="dxa"/>
            <w:vAlign w:val="center"/>
          </w:tcPr>
          <w:p w:rsidR="00D36A06" w:rsidRDefault="00F64830">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lastRenderedPageBreak/>
              <w:t>序号</w:t>
            </w:r>
          </w:p>
        </w:tc>
        <w:tc>
          <w:tcPr>
            <w:tcW w:w="3299" w:type="dxa"/>
            <w:vAlign w:val="center"/>
          </w:tcPr>
          <w:p w:rsidR="00D36A06" w:rsidRDefault="00F64830">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813" w:type="dxa"/>
            <w:vAlign w:val="center"/>
          </w:tcPr>
          <w:p w:rsidR="00D36A06" w:rsidRDefault="00F64830">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483" w:type="dxa"/>
            <w:vAlign w:val="center"/>
          </w:tcPr>
          <w:p w:rsidR="00D36A06" w:rsidRDefault="00F64830">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D36A06">
        <w:trPr>
          <w:trHeight w:val="596"/>
          <w:jc w:val="center"/>
        </w:trPr>
        <w:tc>
          <w:tcPr>
            <w:tcW w:w="985" w:type="dxa"/>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3299" w:type="dxa"/>
          </w:tcPr>
          <w:p w:rsidR="00D36A06" w:rsidRDefault="00F64830">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无极县交通运输局</w:t>
            </w:r>
            <w:r>
              <w:rPr>
                <w:rFonts w:ascii="仿宋_GB2312" w:eastAsia="仿宋_GB2312" w:hAnsiTheme="minorHAnsi" w:cs="ArialUnicodeMS" w:hint="eastAsia"/>
                <w:kern w:val="0"/>
                <w:sz w:val="28"/>
                <w:szCs w:val="28"/>
              </w:rPr>
              <w:t>(</w:t>
            </w:r>
            <w:r>
              <w:rPr>
                <w:rFonts w:ascii="仿宋_GB2312" w:eastAsia="仿宋_GB2312" w:hAnsiTheme="minorHAnsi" w:cs="ArialUnicodeMS" w:hint="eastAsia"/>
                <w:kern w:val="0"/>
                <w:sz w:val="28"/>
                <w:szCs w:val="28"/>
              </w:rPr>
              <w:t>本级</w:t>
            </w:r>
            <w:r>
              <w:rPr>
                <w:rFonts w:ascii="仿宋_GB2312" w:eastAsia="仿宋_GB2312" w:hAnsiTheme="minorHAnsi" w:cs="ArialUnicodeMS" w:hint="eastAsia"/>
                <w:kern w:val="0"/>
                <w:sz w:val="28"/>
                <w:szCs w:val="28"/>
              </w:rPr>
              <w:t>)</w:t>
            </w:r>
          </w:p>
        </w:tc>
        <w:tc>
          <w:tcPr>
            <w:tcW w:w="2813" w:type="dxa"/>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行政单位</w:t>
            </w:r>
          </w:p>
        </w:tc>
        <w:tc>
          <w:tcPr>
            <w:tcW w:w="2483" w:type="dxa"/>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D36A06">
        <w:trPr>
          <w:trHeight w:val="596"/>
          <w:jc w:val="center"/>
        </w:trPr>
        <w:tc>
          <w:tcPr>
            <w:tcW w:w="985" w:type="dxa"/>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2</w:t>
            </w:r>
          </w:p>
        </w:tc>
        <w:tc>
          <w:tcPr>
            <w:tcW w:w="3299" w:type="dxa"/>
          </w:tcPr>
          <w:p w:rsidR="00D36A06" w:rsidRDefault="00F64830">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无极县公路站</w:t>
            </w:r>
          </w:p>
        </w:tc>
        <w:tc>
          <w:tcPr>
            <w:tcW w:w="2813" w:type="dxa"/>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财政补助事业单位</w:t>
            </w:r>
          </w:p>
        </w:tc>
        <w:tc>
          <w:tcPr>
            <w:tcW w:w="2483" w:type="dxa"/>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D36A06">
        <w:trPr>
          <w:trHeight w:val="596"/>
          <w:jc w:val="center"/>
        </w:trPr>
        <w:tc>
          <w:tcPr>
            <w:tcW w:w="985" w:type="dxa"/>
            <w:vAlign w:val="center"/>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3</w:t>
            </w:r>
          </w:p>
        </w:tc>
        <w:tc>
          <w:tcPr>
            <w:tcW w:w="3299" w:type="dxa"/>
          </w:tcPr>
          <w:p w:rsidR="00D36A06" w:rsidRDefault="00F64830">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无极县交通运输综合执法大队</w:t>
            </w:r>
          </w:p>
        </w:tc>
        <w:tc>
          <w:tcPr>
            <w:tcW w:w="2813" w:type="dxa"/>
            <w:vAlign w:val="center"/>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财政补助事业单位</w:t>
            </w:r>
          </w:p>
        </w:tc>
        <w:tc>
          <w:tcPr>
            <w:tcW w:w="2483" w:type="dxa"/>
            <w:vAlign w:val="center"/>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D36A06">
        <w:trPr>
          <w:trHeight w:val="606"/>
          <w:jc w:val="center"/>
        </w:trPr>
        <w:tc>
          <w:tcPr>
            <w:tcW w:w="985" w:type="dxa"/>
            <w:tcBorders>
              <w:bottom w:val="single" w:sz="4" w:space="0" w:color="auto"/>
            </w:tcBorders>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4</w:t>
            </w:r>
          </w:p>
        </w:tc>
        <w:tc>
          <w:tcPr>
            <w:tcW w:w="3299" w:type="dxa"/>
            <w:tcBorders>
              <w:bottom w:val="single" w:sz="4" w:space="0" w:color="auto"/>
            </w:tcBorders>
          </w:tcPr>
          <w:p w:rsidR="00D36A06" w:rsidRDefault="00F64830">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无极县客运中心</w:t>
            </w:r>
          </w:p>
        </w:tc>
        <w:tc>
          <w:tcPr>
            <w:tcW w:w="2813" w:type="dxa"/>
            <w:tcBorders>
              <w:bottom w:val="single" w:sz="4" w:space="0" w:color="auto"/>
            </w:tcBorders>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财政补助事业单位</w:t>
            </w:r>
          </w:p>
        </w:tc>
        <w:tc>
          <w:tcPr>
            <w:tcW w:w="2483" w:type="dxa"/>
            <w:tcBorders>
              <w:bottom w:val="single" w:sz="4" w:space="0" w:color="auto"/>
            </w:tcBorders>
          </w:tcPr>
          <w:p w:rsidR="00D36A06" w:rsidRDefault="00F64830">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D36A06">
        <w:trPr>
          <w:trHeight w:val="90"/>
          <w:jc w:val="center"/>
        </w:trPr>
        <w:tc>
          <w:tcPr>
            <w:tcW w:w="9580" w:type="dxa"/>
            <w:gridSpan w:val="4"/>
            <w:tcBorders>
              <w:top w:val="single" w:sz="4" w:space="0" w:color="auto"/>
              <w:left w:val="nil"/>
              <w:bottom w:val="nil"/>
              <w:right w:val="nil"/>
            </w:tcBorders>
          </w:tcPr>
          <w:p w:rsidR="00D36A06" w:rsidRDefault="00D36A06">
            <w:pPr>
              <w:spacing w:after="0" w:line="560" w:lineRule="exact"/>
              <w:ind w:firstLineChars="200" w:firstLine="560"/>
              <w:jc w:val="left"/>
              <w:rPr>
                <w:rFonts w:ascii="仿宋_GB2312" w:eastAsia="仿宋_GB2312" w:hAnsiTheme="minorHAnsi" w:cs="ArialUnicodeMS"/>
                <w:kern w:val="0"/>
                <w:sz w:val="28"/>
                <w:szCs w:val="28"/>
              </w:rPr>
            </w:pPr>
          </w:p>
        </w:tc>
      </w:tr>
    </w:tbl>
    <w:p w:rsidR="00D36A06" w:rsidRDefault="00D36A06">
      <w:pPr>
        <w:widowControl/>
        <w:spacing w:line="560" w:lineRule="exact"/>
        <w:rPr>
          <w:rFonts w:ascii="黑体" w:eastAsia="黑体" w:hAnsiTheme="minorHAnsi" w:cs="MS-UIGothic,Bold"/>
          <w:bCs/>
          <w:kern w:val="0"/>
          <w:sz w:val="52"/>
          <w:szCs w:val="52"/>
        </w:rPr>
        <w:sectPr w:rsidR="00D36A06">
          <w:pgSz w:w="11906" w:h="16838"/>
          <w:pgMar w:top="2098" w:right="1474" w:bottom="1984" w:left="1588" w:header="851" w:footer="992" w:gutter="0"/>
          <w:cols w:space="0"/>
          <w:docGrid w:type="lines" w:linePitch="312"/>
        </w:sectPr>
      </w:pPr>
    </w:p>
    <w:p w:rsidR="00D36A06" w:rsidRDefault="00F64830">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a:stretch>
                      <a:fillRect/>
                    </a:stretch>
                  </pic:blipFill>
                  <pic:spPr>
                    <a:xfrm>
                      <a:off x="0" y="0"/>
                      <a:ext cx="7571105" cy="10680065"/>
                    </a:xfrm>
                    <a:prstGeom prst="rect">
                      <a:avLst/>
                    </a:prstGeom>
                  </pic:spPr>
                </pic:pic>
              </a:graphicData>
            </a:graphic>
          </wp:anchor>
        </w:drawing>
      </w:r>
    </w:p>
    <w:p w:rsidR="00D36A06" w:rsidRDefault="00D36A06">
      <w:pPr>
        <w:widowControl/>
        <w:spacing w:line="560" w:lineRule="exact"/>
        <w:jc w:val="center"/>
        <w:rPr>
          <w:rFonts w:ascii="黑体" w:eastAsia="黑体" w:hAnsiTheme="minorHAnsi" w:cs="MS-UIGothic,Bold"/>
          <w:bCs/>
          <w:kern w:val="0"/>
          <w:sz w:val="52"/>
          <w:szCs w:val="52"/>
        </w:rPr>
      </w:pPr>
    </w:p>
    <w:p w:rsidR="00D36A06" w:rsidRDefault="00D36A06">
      <w:pPr>
        <w:rPr>
          <w:rFonts w:ascii="宋体" w:hAnsi="宋体" w:cs="ArialUnicodeMS"/>
          <w:color w:val="000000"/>
          <w:kern w:val="0"/>
        </w:rPr>
      </w:pPr>
    </w:p>
    <w:p w:rsidR="00D36A06" w:rsidRDefault="00F64830">
      <w:pPr>
        <w:rPr>
          <w:rFonts w:ascii="宋体" w:hAnsi="宋体" w:cs="ArialUnicodeMS"/>
          <w:color w:val="000000"/>
          <w:kern w:val="0"/>
        </w:rPr>
        <w:sectPr w:rsidR="00D36A06">
          <w:pgSz w:w="11906" w:h="16838"/>
          <w:pgMar w:top="2098" w:right="1474" w:bottom="1984" w:left="1588" w:header="851" w:footer="992" w:gutter="0"/>
          <w:cols w:space="0"/>
          <w:docGrid w:type="lines" w:linePitch="312"/>
        </w:sectPr>
      </w:pPr>
      <w:r>
        <w:rPr>
          <w:sz w:val="72"/>
        </w:rPr>
        <w:pict>
          <v:shape id="_x0000_s1029" type="#_x0000_t202" style="position:absolute;left:0;text-align:left;margin-left:-74.2pt;margin-top:120.3pt;width:596.2pt;height:159.1pt;z-index:251641856;mso-width-relative:page;mso-height-relative:page"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filled="f" stroked="f" strokeweight=".5pt">
            <v:textbox>
              <w:txbxContent>
                <w:p w:rsidR="00D36A06" w:rsidRDefault="00F64830">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D36A06" w:rsidRDefault="00F64830">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年度部门决算报表</w:t>
                  </w:r>
                </w:p>
              </w:txbxContent>
            </v:textbox>
          </v:shape>
        </w:pict>
      </w:r>
    </w:p>
    <w:tbl>
      <w:tblPr>
        <w:tblW w:w="9300" w:type="dxa"/>
        <w:jc w:val="center"/>
        <w:tblLayout w:type="fixed"/>
        <w:tblCellMar>
          <w:left w:w="0" w:type="dxa"/>
          <w:right w:w="0" w:type="dxa"/>
        </w:tblCellMar>
        <w:tblLook w:val="04A0" w:firstRow="1" w:lastRow="0" w:firstColumn="1" w:lastColumn="0" w:noHBand="0" w:noVBand="1"/>
      </w:tblPr>
      <w:tblGrid>
        <w:gridCol w:w="2700"/>
        <w:gridCol w:w="567"/>
        <w:gridCol w:w="1336"/>
        <w:gridCol w:w="2700"/>
        <w:gridCol w:w="567"/>
        <w:gridCol w:w="1430"/>
      </w:tblGrid>
      <w:tr w:rsidR="00D36A06">
        <w:trPr>
          <w:trHeight w:val="56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D36A06" w:rsidRDefault="00F64830">
            <w:pPr>
              <w:widowControl/>
              <w:spacing w:after="0" w:line="440" w:lineRule="exac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收入支出决算总表</w:t>
            </w:r>
          </w:p>
        </w:tc>
      </w:tr>
      <w:tr w:rsidR="00D36A06">
        <w:trPr>
          <w:trHeight w:val="321"/>
          <w:jc w:val="center"/>
        </w:trPr>
        <w:tc>
          <w:tcPr>
            <w:tcW w:w="2700" w:type="dxa"/>
            <w:tcBorders>
              <w:top w:val="nil"/>
              <w:left w:val="nil"/>
              <w:bottom w:val="nil"/>
              <w:right w:val="nil"/>
            </w:tcBorders>
            <w:shd w:val="clear" w:color="auto" w:fill="auto"/>
            <w:tcMar>
              <w:top w:w="15" w:type="dxa"/>
              <w:left w:w="15" w:type="dxa"/>
              <w:right w:w="15" w:type="dxa"/>
            </w:tcMar>
            <w:vAlign w:val="center"/>
          </w:tcPr>
          <w:p w:rsidR="00D36A06" w:rsidRDefault="00D36A06">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D36A06" w:rsidRDefault="00D36A06">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01</w:t>
            </w:r>
            <w:r>
              <w:rPr>
                <w:rFonts w:ascii="宋体" w:hAnsi="宋体" w:cs="宋体" w:hint="eastAsia"/>
                <w:color w:val="000000"/>
                <w:kern w:val="0"/>
                <w:sz w:val="20"/>
                <w:szCs w:val="20"/>
              </w:rPr>
              <w:t>表</w:t>
            </w:r>
          </w:p>
        </w:tc>
      </w:tr>
      <w:tr w:rsidR="00D36A06">
        <w:trPr>
          <w:trHeight w:val="418"/>
          <w:jc w:val="center"/>
        </w:trPr>
        <w:tc>
          <w:tcPr>
            <w:tcW w:w="2700" w:type="dxa"/>
            <w:tcBorders>
              <w:top w:val="nil"/>
              <w:left w:val="nil"/>
              <w:bottom w:val="nil"/>
              <w:right w:val="nil"/>
            </w:tcBorders>
            <w:shd w:val="clear" w:color="auto" w:fill="auto"/>
            <w:tcMar>
              <w:top w:w="15" w:type="dxa"/>
              <w:left w:w="15" w:type="dxa"/>
              <w:right w:w="15" w:type="dxa"/>
            </w:tcMar>
            <w:vAlign w:val="center"/>
          </w:tcPr>
          <w:p w:rsidR="00D36A06" w:rsidRDefault="00F64830">
            <w:pPr>
              <w:widowControl/>
              <w:spacing w:after="0" w:line="24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部门：无极县交通运输局</w:t>
            </w:r>
          </w:p>
        </w:tc>
        <w:tc>
          <w:tcPr>
            <w:tcW w:w="567" w:type="dxa"/>
            <w:tcBorders>
              <w:top w:val="nil"/>
              <w:left w:val="nil"/>
              <w:bottom w:val="nil"/>
              <w:right w:val="nil"/>
            </w:tcBorders>
            <w:shd w:val="clear" w:color="auto" w:fill="auto"/>
            <w:tcMar>
              <w:top w:w="15" w:type="dxa"/>
              <w:left w:w="15" w:type="dxa"/>
              <w:right w:w="15" w:type="dxa"/>
            </w:tcMar>
            <w:vAlign w:val="center"/>
          </w:tcPr>
          <w:p w:rsidR="00D36A06" w:rsidRDefault="00D36A06">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D36A06" w:rsidRDefault="00D36A06">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D36A06" w:rsidRDefault="00D36A06">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D36A06" w:rsidRDefault="00D36A06">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D36A06">
        <w:trPr>
          <w:trHeight w:val="295"/>
          <w:jc w:val="center"/>
        </w:trPr>
        <w:tc>
          <w:tcPr>
            <w:tcW w:w="4603"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收入</w:t>
            </w:r>
          </w:p>
        </w:tc>
        <w:tc>
          <w:tcPr>
            <w:tcW w:w="469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支出</w:t>
            </w:r>
          </w:p>
        </w:tc>
      </w:tr>
      <w:tr w:rsidR="00D36A06">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r>
      <w:tr w:rsidR="00D36A06">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exact"/>
              <w:jc w:val="center"/>
              <w:rPr>
                <w:rFonts w:ascii="宋体" w:hAnsi="宋体" w:cs="宋体"/>
                <w:color w:val="000000"/>
                <w:sz w:val="20"/>
                <w:szCs w:val="20"/>
              </w:rPr>
            </w:pP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D36A06">
        <w:trPr>
          <w:trHeight w:val="36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一、财政拨款收入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9017.8</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二、上级补助收入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三、事业收入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四、经营收入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五、附属单位上缴收入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六、其他收入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43.22</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七、文化体育与传媒支出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91.8</w:t>
            </w: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九、医疗卫生与计划生育支出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290.86</w:t>
            </w: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6034.7</w:t>
            </w: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十八、国土海洋气象等支出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二十一、其他支出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二十二、债务还本支出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二十三、债务付息支出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9061.03</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6417.36</w:t>
            </w:r>
          </w:p>
        </w:tc>
      </w:tr>
      <w:tr w:rsidR="00D36A06">
        <w:trPr>
          <w:trHeight w:val="38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用事业基金弥补收支差额</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center"/>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结余分配</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00" w:lineRule="exact"/>
              <w:jc w:val="right"/>
              <w:rPr>
                <w:rFonts w:ascii="宋体" w:hAnsi="宋体" w:cs="宋体"/>
                <w:color w:val="000000"/>
                <w:sz w:val="20"/>
                <w:szCs w:val="20"/>
              </w:rPr>
            </w:pP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1452.58</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4096.25</w:t>
            </w:r>
          </w:p>
        </w:tc>
      </w:tr>
      <w:tr w:rsidR="00D36A06">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10513.61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10513.61</w:t>
            </w:r>
          </w:p>
        </w:tc>
      </w:tr>
      <w:tr w:rsidR="00D36A06">
        <w:trPr>
          <w:trHeight w:val="41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D36A06" w:rsidRDefault="00F64830">
            <w:pPr>
              <w:widowControl/>
              <w:spacing w:after="0" w:line="200" w:lineRule="exact"/>
              <w:jc w:val="left"/>
              <w:textAlignment w:val="center"/>
              <w:rPr>
                <w:rFonts w:ascii="宋体" w:hAnsi="宋体" w:cs="宋体"/>
                <w:color w:val="000000"/>
                <w:szCs w:val="21"/>
              </w:rPr>
            </w:pPr>
            <w:r>
              <w:rPr>
                <w:rFonts w:ascii="宋体" w:hAnsi="宋体" w:cs="宋体" w:hint="eastAsia"/>
                <w:color w:val="000000"/>
                <w:kern w:val="0"/>
                <w:szCs w:val="21"/>
              </w:rPr>
              <w:t>注：本表反映部门本年度的总收支和年末结转结余情况。</w:t>
            </w:r>
          </w:p>
        </w:tc>
      </w:tr>
    </w:tbl>
    <w:p w:rsidR="00D36A06" w:rsidRDefault="00D36A06">
      <w:pPr>
        <w:widowControl/>
        <w:spacing w:after="0" w:line="560" w:lineRule="exact"/>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tbl>
      <w:tblPr>
        <w:tblW w:w="9764" w:type="dxa"/>
        <w:jc w:val="center"/>
        <w:tblLayout w:type="fixed"/>
        <w:tblCellMar>
          <w:left w:w="0" w:type="dxa"/>
          <w:right w:w="0" w:type="dxa"/>
        </w:tblCellMar>
        <w:tblLook w:val="04A0" w:firstRow="1" w:lastRow="0" w:firstColumn="1" w:lastColumn="0" w:noHBand="0" w:noVBand="1"/>
      </w:tblPr>
      <w:tblGrid>
        <w:gridCol w:w="400"/>
        <w:gridCol w:w="240"/>
        <w:gridCol w:w="278"/>
        <w:gridCol w:w="3014"/>
        <w:gridCol w:w="189"/>
        <w:gridCol w:w="90"/>
        <w:gridCol w:w="402"/>
        <w:gridCol w:w="196"/>
        <w:gridCol w:w="212"/>
        <w:gridCol w:w="179"/>
        <w:gridCol w:w="756"/>
        <w:gridCol w:w="189"/>
        <w:gridCol w:w="759"/>
        <w:gridCol w:w="614"/>
        <w:gridCol w:w="695"/>
        <w:gridCol w:w="819"/>
        <w:gridCol w:w="732"/>
      </w:tblGrid>
      <w:tr w:rsidR="00D36A06">
        <w:trPr>
          <w:trHeight w:val="770"/>
          <w:jc w:val="center"/>
        </w:trPr>
        <w:tc>
          <w:tcPr>
            <w:tcW w:w="9764" w:type="dxa"/>
            <w:gridSpan w:val="17"/>
            <w:tcBorders>
              <w:top w:val="nil"/>
              <w:left w:val="nil"/>
              <w:bottom w:val="nil"/>
              <w:right w:val="nil"/>
            </w:tcBorders>
            <w:shd w:val="clear" w:color="auto" w:fill="auto"/>
            <w:noWrap/>
            <w:tcMar>
              <w:top w:w="15" w:type="dxa"/>
              <w:left w:w="15" w:type="dxa"/>
              <w:right w:w="15" w:type="dxa"/>
            </w:tcMar>
            <w:vAlign w:val="bottom"/>
          </w:tcPr>
          <w:p w:rsidR="00D36A06" w:rsidRDefault="00F64830">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收入决算表</w:t>
            </w:r>
          </w:p>
        </w:tc>
      </w:tr>
      <w:tr w:rsidR="00D36A06">
        <w:trPr>
          <w:trHeight w:val="362"/>
          <w:jc w:val="center"/>
        </w:trPr>
        <w:tc>
          <w:tcPr>
            <w:tcW w:w="40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278"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3014"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681"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96"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391"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756"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948"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614"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2246"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02</w:t>
            </w:r>
            <w:r>
              <w:rPr>
                <w:rFonts w:ascii="宋体" w:hAnsi="宋体" w:cs="宋体" w:hint="eastAsia"/>
                <w:color w:val="000000"/>
                <w:kern w:val="0"/>
                <w:szCs w:val="21"/>
              </w:rPr>
              <w:t>表</w:t>
            </w:r>
          </w:p>
        </w:tc>
      </w:tr>
      <w:tr w:rsidR="00D36A06">
        <w:trPr>
          <w:trHeight w:val="362"/>
          <w:jc w:val="center"/>
        </w:trPr>
        <w:tc>
          <w:tcPr>
            <w:tcW w:w="4121" w:type="dxa"/>
            <w:gridSpan w:val="5"/>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部门：无极县交通运输局</w:t>
            </w:r>
          </w:p>
        </w:tc>
        <w:tc>
          <w:tcPr>
            <w:tcW w:w="9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810"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124"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759"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614"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2246"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36A06">
        <w:trPr>
          <w:trHeight w:hRule="exact" w:val="612"/>
          <w:jc w:val="center"/>
        </w:trPr>
        <w:tc>
          <w:tcPr>
            <w:tcW w:w="3932" w:type="dxa"/>
            <w:gridSpan w:val="4"/>
            <w:tcBorders>
              <w:top w:val="single" w:sz="4" w:space="0" w:color="000000"/>
              <w:left w:val="single" w:sz="4" w:space="0" w:color="000000"/>
              <w:bottom w:val="single" w:sz="4" w:space="0" w:color="000000"/>
              <w:right w:val="single" w:sz="4" w:space="0" w:color="auto"/>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1268" w:type="dxa"/>
            <w:gridSpan w:val="6"/>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945" w:type="dxa"/>
            <w:gridSpan w:val="2"/>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财政拨款收入</w:t>
            </w:r>
          </w:p>
        </w:tc>
        <w:tc>
          <w:tcPr>
            <w:tcW w:w="759" w:type="dxa"/>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上级补助收入</w:t>
            </w:r>
          </w:p>
        </w:tc>
        <w:tc>
          <w:tcPr>
            <w:tcW w:w="614" w:type="dxa"/>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事业收入</w:t>
            </w:r>
          </w:p>
        </w:tc>
        <w:tc>
          <w:tcPr>
            <w:tcW w:w="695" w:type="dxa"/>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经营收入</w:t>
            </w:r>
          </w:p>
        </w:tc>
        <w:tc>
          <w:tcPr>
            <w:tcW w:w="819" w:type="dxa"/>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附属单位上缴收入</w:t>
            </w:r>
          </w:p>
        </w:tc>
        <w:tc>
          <w:tcPr>
            <w:tcW w:w="732" w:type="dxa"/>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其他收入</w:t>
            </w:r>
          </w:p>
        </w:tc>
      </w:tr>
      <w:tr w:rsidR="00D36A06">
        <w:trPr>
          <w:trHeight w:val="626"/>
          <w:jc w:val="center"/>
        </w:trPr>
        <w:tc>
          <w:tcPr>
            <w:tcW w:w="91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3014"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1268" w:type="dxa"/>
            <w:gridSpan w:val="6"/>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20"/>
                <w:szCs w:val="20"/>
              </w:rPr>
            </w:pPr>
          </w:p>
        </w:tc>
        <w:tc>
          <w:tcPr>
            <w:tcW w:w="945" w:type="dxa"/>
            <w:gridSpan w:val="2"/>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textAlignment w:val="center"/>
              <w:rPr>
                <w:rFonts w:ascii="宋体" w:hAnsi="宋体" w:cs="宋体"/>
                <w:color w:val="000000"/>
                <w:kern w:val="0"/>
                <w:sz w:val="20"/>
                <w:szCs w:val="20"/>
              </w:rPr>
            </w:pPr>
          </w:p>
        </w:tc>
        <w:tc>
          <w:tcPr>
            <w:tcW w:w="759" w:type="dxa"/>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textAlignment w:val="center"/>
              <w:rPr>
                <w:rFonts w:ascii="宋体" w:hAnsi="宋体" w:cs="宋体"/>
                <w:color w:val="000000"/>
                <w:kern w:val="0"/>
                <w:sz w:val="20"/>
                <w:szCs w:val="20"/>
              </w:rPr>
            </w:pPr>
          </w:p>
        </w:tc>
        <w:tc>
          <w:tcPr>
            <w:tcW w:w="614" w:type="dxa"/>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textAlignment w:val="center"/>
              <w:rPr>
                <w:rFonts w:ascii="宋体" w:hAnsi="宋体" w:cs="宋体"/>
                <w:color w:val="000000"/>
                <w:kern w:val="0"/>
                <w:sz w:val="20"/>
                <w:szCs w:val="20"/>
              </w:rPr>
            </w:pPr>
          </w:p>
        </w:tc>
        <w:tc>
          <w:tcPr>
            <w:tcW w:w="695" w:type="dxa"/>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textAlignment w:val="center"/>
              <w:rPr>
                <w:rFonts w:ascii="宋体" w:hAnsi="宋体" w:cs="宋体"/>
                <w:color w:val="000000"/>
                <w:kern w:val="0"/>
                <w:sz w:val="20"/>
                <w:szCs w:val="20"/>
              </w:rPr>
            </w:pPr>
          </w:p>
        </w:tc>
        <w:tc>
          <w:tcPr>
            <w:tcW w:w="819" w:type="dxa"/>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textAlignment w:val="center"/>
              <w:rPr>
                <w:rFonts w:ascii="宋体" w:hAnsi="宋体" w:cs="宋体"/>
                <w:color w:val="000000"/>
                <w:kern w:val="0"/>
                <w:sz w:val="20"/>
                <w:szCs w:val="20"/>
              </w:rPr>
            </w:pPr>
          </w:p>
        </w:tc>
        <w:tc>
          <w:tcPr>
            <w:tcW w:w="732" w:type="dxa"/>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D36A06" w:rsidRDefault="00D36A06">
            <w:pPr>
              <w:widowControl/>
              <w:spacing w:after="0" w:line="240" w:lineRule="atLeast"/>
              <w:jc w:val="center"/>
              <w:textAlignment w:val="center"/>
              <w:rPr>
                <w:rFonts w:ascii="宋体" w:hAnsi="宋体" w:cs="宋体"/>
                <w:color w:val="000000"/>
                <w:kern w:val="0"/>
                <w:sz w:val="20"/>
                <w:szCs w:val="20"/>
              </w:rPr>
            </w:pPr>
          </w:p>
        </w:tc>
      </w:tr>
      <w:tr w:rsidR="00D36A06">
        <w:trPr>
          <w:trHeight w:val="391"/>
          <w:jc w:val="center"/>
        </w:trPr>
        <w:tc>
          <w:tcPr>
            <w:tcW w:w="393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1268"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94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6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6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81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r>
      <w:tr w:rsidR="00D36A06">
        <w:trPr>
          <w:trHeight w:hRule="exact" w:val="476"/>
          <w:jc w:val="center"/>
        </w:trPr>
        <w:tc>
          <w:tcPr>
            <w:tcW w:w="393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268"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bCs/>
                <w:color w:val="000000"/>
                <w:kern w:val="0"/>
                <w:sz w:val="20"/>
                <w:szCs w:val="20"/>
              </w:rPr>
            </w:pPr>
            <w:r>
              <w:rPr>
                <w:rFonts w:ascii="宋体" w:hAnsi="宋体" w:cs="宋体" w:hint="eastAsia"/>
                <w:b/>
                <w:bCs/>
                <w:color w:val="000000"/>
                <w:kern w:val="0"/>
                <w:sz w:val="20"/>
                <w:szCs w:val="20"/>
              </w:rPr>
              <w:t>9061.03</w:t>
            </w:r>
          </w:p>
        </w:tc>
        <w:tc>
          <w:tcPr>
            <w:tcW w:w="945"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bCs/>
                <w:color w:val="000000"/>
                <w:kern w:val="0"/>
                <w:sz w:val="20"/>
                <w:szCs w:val="20"/>
              </w:rPr>
            </w:pPr>
            <w:r>
              <w:rPr>
                <w:rFonts w:ascii="宋体" w:hAnsi="宋体" w:cs="宋体" w:hint="eastAsia"/>
                <w:b/>
                <w:bCs/>
                <w:color w:val="000000"/>
                <w:kern w:val="0"/>
                <w:sz w:val="20"/>
                <w:szCs w:val="20"/>
              </w:rPr>
              <w:t>9017.80</w:t>
            </w:r>
          </w:p>
        </w:tc>
        <w:tc>
          <w:tcPr>
            <w:tcW w:w="759"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b/>
                <w:bCs/>
                <w:color w:val="000000"/>
                <w:kern w:val="0"/>
                <w:sz w:val="20"/>
                <w:szCs w:val="20"/>
              </w:rPr>
            </w:pPr>
          </w:p>
        </w:tc>
        <w:tc>
          <w:tcPr>
            <w:tcW w:w="614"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b/>
                <w:bCs/>
                <w:color w:val="000000"/>
                <w:kern w:val="0"/>
                <w:sz w:val="20"/>
                <w:szCs w:val="20"/>
              </w:rPr>
            </w:pPr>
          </w:p>
        </w:tc>
        <w:tc>
          <w:tcPr>
            <w:tcW w:w="695"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b/>
                <w:bCs/>
                <w:color w:val="000000"/>
                <w:kern w:val="0"/>
                <w:sz w:val="20"/>
                <w:szCs w:val="20"/>
              </w:rPr>
            </w:pPr>
          </w:p>
        </w:tc>
        <w:tc>
          <w:tcPr>
            <w:tcW w:w="819"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b/>
                <w:bCs/>
                <w:color w:val="000000"/>
                <w:kern w:val="0"/>
                <w:sz w:val="20"/>
                <w:szCs w:val="20"/>
              </w:rPr>
            </w:pPr>
          </w:p>
        </w:tc>
        <w:tc>
          <w:tcPr>
            <w:tcW w:w="732"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bCs/>
                <w:color w:val="000000"/>
                <w:kern w:val="0"/>
                <w:sz w:val="20"/>
                <w:szCs w:val="20"/>
              </w:rPr>
            </w:pPr>
            <w:r>
              <w:rPr>
                <w:rFonts w:ascii="宋体" w:hAnsi="宋体" w:cs="宋体" w:hint="eastAsia"/>
                <w:b/>
                <w:bCs/>
                <w:color w:val="000000"/>
                <w:kern w:val="0"/>
                <w:sz w:val="20"/>
                <w:szCs w:val="20"/>
              </w:rPr>
              <w:t>43.22</w:t>
            </w: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208</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社会保障和就业支出</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91.80</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91.80</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20802</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民政管理事务</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0.61</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0.61</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2080201</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行政运行</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0.61</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0.61</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20805</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行政事业单位离退休</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60.51</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60.51</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550"/>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2080505</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15"/>
                <w:szCs w:val="15"/>
              </w:rPr>
              <w:t>机关事业单位基本养老保险缴费支出</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60.51</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60.51</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544"/>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20808</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rPr>
                <w:rFonts w:ascii="宋体" w:hAnsi="宋体" w:cs="宋体"/>
                <w:b/>
                <w:bCs/>
                <w:color w:val="000000"/>
                <w:sz w:val="20"/>
                <w:szCs w:val="20"/>
              </w:rPr>
            </w:pPr>
            <w:r>
              <w:rPr>
                <w:rFonts w:ascii="宋体" w:hAnsi="宋体" w:cs="宋体" w:hint="eastAsia"/>
                <w:b/>
                <w:bCs/>
                <w:color w:val="000000"/>
                <w:sz w:val="20"/>
                <w:szCs w:val="20"/>
              </w:rPr>
              <w:t>抚恤</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6.83</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6.83</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22"/>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2080801</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ind w:firstLineChars="100" w:firstLine="200"/>
              <w:jc w:val="left"/>
              <w:rPr>
                <w:rFonts w:ascii="宋体" w:hAnsi="宋体" w:cs="宋体"/>
                <w:color w:val="000000"/>
                <w:sz w:val="20"/>
                <w:szCs w:val="20"/>
              </w:rPr>
            </w:pPr>
            <w:r>
              <w:rPr>
                <w:rFonts w:ascii="宋体" w:hAnsi="宋体" w:cs="宋体" w:hint="eastAsia"/>
                <w:color w:val="000000"/>
                <w:sz w:val="20"/>
                <w:szCs w:val="20"/>
              </w:rPr>
              <w:t>死亡抚恤</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6.83</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6.83</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602"/>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20827</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rPr>
                <w:rFonts w:ascii="宋体" w:hAnsi="宋体" w:cs="宋体"/>
                <w:b/>
                <w:bCs/>
                <w:color w:val="000000"/>
                <w:sz w:val="20"/>
                <w:szCs w:val="20"/>
              </w:rPr>
            </w:pPr>
            <w:r>
              <w:rPr>
                <w:rFonts w:ascii="宋体" w:hAnsi="宋体" w:cs="宋体" w:hint="eastAsia"/>
                <w:b/>
                <w:bCs/>
                <w:color w:val="000000"/>
                <w:sz w:val="20"/>
                <w:szCs w:val="20"/>
              </w:rPr>
              <w:t>财政对其他社会保险基金的补助</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0.60</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0.60</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61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2082702</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ind w:firstLineChars="100" w:firstLine="200"/>
              <w:jc w:val="left"/>
              <w:rPr>
                <w:rFonts w:ascii="宋体" w:hAnsi="宋体" w:cs="宋体"/>
                <w:color w:val="000000"/>
                <w:sz w:val="20"/>
                <w:szCs w:val="20"/>
              </w:rPr>
            </w:pPr>
            <w:r>
              <w:rPr>
                <w:rFonts w:ascii="宋体" w:hAnsi="宋体" w:cs="宋体" w:hint="eastAsia"/>
                <w:color w:val="000000"/>
                <w:sz w:val="20"/>
                <w:szCs w:val="20"/>
              </w:rPr>
              <w:t>财政对工伤保险基金基金的补助</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0.60</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0.60</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20899</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rPr>
                <w:rFonts w:ascii="宋体" w:hAnsi="宋体" w:cs="宋体"/>
                <w:b/>
                <w:bCs/>
                <w:color w:val="000000"/>
                <w:sz w:val="20"/>
                <w:szCs w:val="20"/>
              </w:rPr>
            </w:pPr>
            <w:r>
              <w:rPr>
                <w:rFonts w:ascii="宋体" w:hAnsi="宋体" w:cs="宋体" w:hint="eastAsia"/>
                <w:b/>
                <w:bCs/>
                <w:color w:val="000000"/>
                <w:sz w:val="20"/>
                <w:szCs w:val="20"/>
              </w:rPr>
              <w:t>其他社会保障和就业支出</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23.25</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23.25</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2089901</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ind w:firstLineChars="100" w:firstLine="200"/>
              <w:jc w:val="left"/>
              <w:rPr>
                <w:rFonts w:ascii="宋体" w:hAnsi="宋体" w:cs="宋体"/>
                <w:color w:val="000000"/>
                <w:sz w:val="20"/>
                <w:szCs w:val="20"/>
              </w:rPr>
            </w:pPr>
            <w:r>
              <w:rPr>
                <w:rFonts w:ascii="宋体" w:hAnsi="宋体" w:cs="宋体" w:hint="eastAsia"/>
                <w:color w:val="000000"/>
                <w:sz w:val="20"/>
                <w:szCs w:val="20"/>
              </w:rPr>
              <w:t>其他社会保障和就业支出</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23.25</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23.25</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kern w:val="0"/>
                <w:sz w:val="20"/>
                <w:szCs w:val="20"/>
              </w:rPr>
            </w:pPr>
            <w:r>
              <w:rPr>
                <w:rFonts w:ascii="宋体" w:hAnsi="宋体" w:cs="宋体" w:hint="eastAsia"/>
                <w:b/>
                <w:bCs/>
                <w:color w:val="000000"/>
                <w:kern w:val="0"/>
                <w:sz w:val="20"/>
                <w:szCs w:val="20"/>
              </w:rPr>
              <w:t>214</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交通运输支出</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8969.23</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8926.00</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43.22</w:t>
            </w: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kern w:val="0"/>
                <w:sz w:val="20"/>
                <w:szCs w:val="20"/>
              </w:rPr>
            </w:pPr>
            <w:r>
              <w:rPr>
                <w:rFonts w:ascii="宋体" w:hAnsi="宋体" w:cs="宋体" w:hint="eastAsia"/>
                <w:b/>
                <w:bCs/>
                <w:color w:val="000000"/>
                <w:kern w:val="0"/>
                <w:sz w:val="20"/>
                <w:szCs w:val="20"/>
              </w:rPr>
              <w:t>21401</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公路水路运输</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8039.40</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7996.17</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43.22</w:t>
            </w: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2140101</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行政运行</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1271.20</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1271.20</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2140102</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一般行政管理事务</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43.67</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43.67</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2140104</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公路建设</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4755.22</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4712.00</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right"/>
              <w:rPr>
                <w:rFonts w:ascii="宋体" w:hAnsi="宋体" w:cs="宋体"/>
                <w:color w:val="000000"/>
                <w:sz w:val="20"/>
                <w:szCs w:val="20"/>
              </w:rPr>
            </w:pPr>
            <w:r>
              <w:rPr>
                <w:rFonts w:ascii="宋体" w:hAnsi="宋体" w:cs="宋体" w:hint="eastAsia"/>
                <w:color w:val="000000"/>
                <w:kern w:val="0"/>
                <w:sz w:val="20"/>
                <w:szCs w:val="20"/>
              </w:rPr>
              <w:t>43.22</w:t>
            </w: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2140106</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公路养护</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1539.45</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1539.45</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2140112</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公路运输管理</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8.18</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8.18</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lastRenderedPageBreak/>
              <w:t>2140199</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其他公路水路运输支出</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421.68</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421.68</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63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kern w:val="0"/>
                <w:sz w:val="20"/>
                <w:szCs w:val="20"/>
              </w:rPr>
            </w:pPr>
            <w:r>
              <w:rPr>
                <w:rFonts w:ascii="宋体" w:hAnsi="宋体" w:cs="宋体" w:hint="eastAsia"/>
                <w:b/>
                <w:bCs/>
                <w:color w:val="000000"/>
                <w:kern w:val="0"/>
                <w:sz w:val="20"/>
                <w:szCs w:val="20"/>
              </w:rPr>
              <w:t>21404</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15"/>
                <w:szCs w:val="15"/>
              </w:rPr>
              <w:t>成品油价格改革对交通运输的补贴</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729.83</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729.83</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552"/>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2140401</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对城市公交的补贴</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102.38</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102.38</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2140402</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对农村道路客运的补贴</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627.45</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627.45</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center"/>
              <w:textAlignment w:val="center"/>
              <w:rPr>
                <w:rFonts w:ascii="宋体" w:hAnsi="宋体" w:cs="宋体"/>
                <w:color w:val="000000"/>
                <w:sz w:val="20"/>
                <w:szCs w:val="20"/>
              </w:rPr>
            </w:pPr>
          </w:p>
        </w:tc>
      </w:tr>
      <w:tr w:rsidR="00D36A06">
        <w:trPr>
          <w:trHeight w:hRule="exact" w:val="476"/>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kern w:val="0"/>
                <w:sz w:val="20"/>
                <w:szCs w:val="20"/>
              </w:rPr>
            </w:pPr>
            <w:r>
              <w:rPr>
                <w:rFonts w:ascii="宋体" w:hAnsi="宋体" w:cs="宋体" w:hint="eastAsia"/>
                <w:b/>
                <w:bCs/>
                <w:color w:val="000000"/>
                <w:kern w:val="0"/>
                <w:sz w:val="20"/>
                <w:szCs w:val="20"/>
              </w:rPr>
              <w:t>21406</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车辆购置税支出</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200.00</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200.00</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hRule="exact" w:val="555"/>
          <w:jc w:val="center"/>
        </w:trPr>
        <w:tc>
          <w:tcPr>
            <w:tcW w:w="91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2140601</w:t>
            </w:r>
          </w:p>
        </w:tc>
        <w:tc>
          <w:tcPr>
            <w:tcW w:w="30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15"/>
                <w:szCs w:val="15"/>
              </w:rPr>
              <w:t xml:space="preserve"> </w:t>
            </w:r>
            <w:r>
              <w:rPr>
                <w:rFonts w:ascii="宋体" w:hAnsi="宋体" w:cs="宋体" w:hint="eastAsia"/>
                <w:color w:val="000000"/>
                <w:kern w:val="0"/>
                <w:sz w:val="15"/>
                <w:szCs w:val="15"/>
              </w:rPr>
              <w:t>车辆购置税用于公路等基础设施建设支出</w:t>
            </w:r>
          </w:p>
        </w:tc>
        <w:tc>
          <w:tcPr>
            <w:tcW w:w="1268"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200.00</w:t>
            </w:r>
          </w:p>
        </w:tc>
        <w:tc>
          <w:tcPr>
            <w:tcW w:w="9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200.00</w:t>
            </w: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1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8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20"/>
                <w:szCs w:val="20"/>
              </w:rPr>
            </w:pPr>
          </w:p>
        </w:tc>
      </w:tr>
      <w:tr w:rsidR="00D36A06">
        <w:trPr>
          <w:trHeight w:val="481"/>
          <w:jc w:val="center"/>
        </w:trPr>
        <w:tc>
          <w:tcPr>
            <w:tcW w:w="9764" w:type="dxa"/>
            <w:gridSpan w:val="17"/>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注：本表反映部门本年度取得的各项收入情况。</w:t>
            </w:r>
          </w:p>
        </w:tc>
      </w:tr>
    </w:tbl>
    <w:p w:rsidR="00D36A06" w:rsidRDefault="00D36A06">
      <w:pPr>
        <w:widowControl/>
        <w:spacing w:after="0" w:line="560" w:lineRule="exact"/>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tbl>
      <w:tblPr>
        <w:tblW w:w="9730" w:type="dxa"/>
        <w:tblInd w:w="-550" w:type="dxa"/>
        <w:tblLayout w:type="fixed"/>
        <w:tblCellMar>
          <w:left w:w="0" w:type="dxa"/>
          <w:right w:w="0" w:type="dxa"/>
        </w:tblCellMar>
        <w:tblLook w:val="04A0" w:firstRow="1" w:lastRow="0" w:firstColumn="1" w:lastColumn="0" w:noHBand="0" w:noVBand="1"/>
      </w:tblPr>
      <w:tblGrid>
        <w:gridCol w:w="450"/>
        <w:gridCol w:w="300"/>
        <w:gridCol w:w="240"/>
        <w:gridCol w:w="2796"/>
        <w:gridCol w:w="90"/>
        <w:gridCol w:w="938"/>
        <w:gridCol w:w="180"/>
        <w:gridCol w:w="940"/>
        <w:gridCol w:w="180"/>
        <w:gridCol w:w="834"/>
        <w:gridCol w:w="104"/>
        <w:gridCol w:w="180"/>
        <w:gridCol w:w="309"/>
        <w:gridCol w:w="811"/>
        <w:gridCol w:w="114"/>
        <w:gridCol w:w="1084"/>
        <w:gridCol w:w="180"/>
      </w:tblGrid>
      <w:tr w:rsidR="00D36A06">
        <w:trPr>
          <w:gridAfter w:val="1"/>
          <w:wAfter w:w="180" w:type="dxa"/>
          <w:trHeight w:val="798"/>
        </w:trPr>
        <w:tc>
          <w:tcPr>
            <w:tcW w:w="9550" w:type="dxa"/>
            <w:gridSpan w:val="16"/>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支出决算表</w:t>
            </w:r>
          </w:p>
        </w:tc>
      </w:tr>
      <w:tr w:rsidR="00D36A06">
        <w:trPr>
          <w:trHeight w:val="404"/>
        </w:trPr>
        <w:tc>
          <w:tcPr>
            <w:tcW w:w="45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30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2796"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03</w:t>
            </w:r>
            <w:r>
              <w:rPr>
                <w:rFonts w:ascii="宋体" w:hAnsi="宋体" w:cs="宋体" w:hint="eastAsia"/>
                <w:color w:val="000000"/>
                <w:kern w:val="0"/>
                <w:szCs w:val="21"/>
              </w:rPr>
              <w:t>表</w:t>
            </w:r>
          </w:p>
        </w:tc>
      </w:tr>
      <w:tr w:rsidR="00D36A06">
        <w:trPr>
          <w:gridAfter w:val="1"/>
          <w:wAfter w:w="180" w:type="dxa"/>
          <w:trHeight w:val="380"/>
        </w:trPr>
        <w:tc>
          <w:tcPr>
            <w:tcW w:w="3786" w:type="dxa"/>
            <w:gridSpan w:val="4"/>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部门：无极县交通运输局</w:t>
            </w:r>
          </w:p>
        </w:tc>
        <w:tc>
          <w:tcPr>
            <w:tcW w:w="1028"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36A06">
        <w:trPr>
          <w:gridAfter w:val="1"/>
          <w:wAfter w:w="180" w:type="dxa"/>
          <w:trHeight w:val="480"/>
        </w:trPr>
        <w:tc>
          <w:tcPr>
            <w:tcW w:w="3786"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1028" w:type="dxa"/>
            <w:gridSpan w:val="2"/>
            <w:tcBorders>
              <w:top w:val="single" w:sz="4" w:space="0" w:color="000000"/>
              <w:left w:val="nil"/>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本年支出合计</w:t>
            </w:r>
          </w:p>
        </w:tc>
        <w:tc>
          <w:tcPr>
            <w:tcW w:w="1120" w:type="dxa"/>
            <w:gridSpan w:val="2"/>
            <w:tcBorders>
              <w:top w:val="single" w:sz="4" w:space="0" w:color="000000"/>
              <w:left w:val="nil"/>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基本支出</w:t>
            </w:r>
          </w:p>
        </w:tc>
        <w:tc>
          <w:tcPr>
            <w:tcW w:w="1014" w:type="dxa"/>
            <w:gridSpan w:val="2"/>
            <w:tcBorders>
              <w:top w:val="single" w:sz="4" w:space="0" w:color="000000"/>
              <w:left w:val="nil"/>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项目支出</w:t>
            </w:r>
          </w:p>
        </w:tc>
        <w:tc>
          <w:tcPr>
            <w:tcW w:w="593" w:type="dxa"/>
            <w:gridSpan w:val="3"/>
            <w:tcBorders>
              <w:top w:val="single" w:sz="4" w:space="0" w:color="000000"/>
              <w:left w:val="nil"/>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上缴上级支出</w:t>
            </w:r>
          </w:p>
        </w:tc>
        <w:tc>
          <w:tcPr>
            <w:tcW w:w="925" w:type="dxa"/>
            <w:gridSpan w:val="2"/>
            <w:tcBorders>
              <w:top w:val="single" w:sz="4" w:space="0" w:color="000000"/>
              <w:left w:val="nil"/>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经营支出</w:t>
            </w:r>
          </w:p>
        </w:tc>
        <w:tc>
          <w:tcPr>
            <w:tcW w:w="1084" w:type="dxa"/>
            <w:tcBorders>
              <w:top w:val="single" w:sz="4" w:space="0" w:color="000000"/>
              <w:left w:val="nil"/>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对附属单位补助支出</w:t>
            </w:r>
          </w:p>
        </w:tc>
      </w:tr>
      <w:tr w:rsidR="00D36A06">
        <w:trPr>
          <w:gridAfter w:val="1"/>
          <w:wAfter w:w="180" w:type="dxa"/>
          <w:trHeight w:val="399"/>
        </w:trPr>
        <w:tc>
          <w:tcPr>
            <w:tcW w:w="99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功能分类科目编码</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科目名称</w:t>
            </w:r>
          </w:p>
        </w:tc>
        <w:tc>
          <w:tcPr>
            <w:tcW w:w="1028" w:type="dxa"/>
            <w:gridSpan w:val="2"/>
            <w:tcBorders>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18"/>
                <w:szCs w:val="18"/>
              </w:rPr>
            </w:pPr>
          </w:p>
        </w:tc>
        <w:tc>
          <w:tcPr>
            <w:tcW w:w="1120" w:type="dxa"/>
            <w:gridSpan w:val="2"/>
            <w:tcBorders>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18"/>
                <w:szCs w:val="18"/>
              </w:rPr>
            </w:pPr>
          </w:p>
        </w:tc>
        <w:tc>
          <w:tcPr>
            <w:tcW w:w="1014" w:type="dxa"/>
            <w:gridSpan w:val="2"/>
            <w:tcBorders>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18"/>
                <w:szCs w:val="18"/>
              </w:rPr>
            </w:pPr>
          </w:p>
        </w:tc>
        <w:tc>
          <w:tcPr>
            <w:tcW w:w="593" w:type="dxa"/>
            <w:gridSpan w:val="3"/>
            <w:tcBorders>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18"/>
                <w:szCs w:val="18"/>
              </w:rPr>
            </w:pPr>
          </w:p>
        </w:tc>
        <w:tc>
          <w:tcPr>
            <w:tcW w:w="925" w:type="dxa"/>
            <w:gridSpan w:val="2"/>
            <w:tcBorders>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18"/>
                <w:szCs w:val="18"/>
              </w:rPr>
            </w:pPr>
          </w:p>
        </w:tc>
        <w:tc>
          <w:tcPr>
            <w:tcW w:w="1084" w:type="dxa"/>
            <w:tcBorders>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18"/>
                <w:szCs w:val="18"/>
              </w:rPr>
            </w:pPr>
          </w:p>
        </w:tc>
      </w:tr>
      <w:tr w:rsidR="00D36A06">
        <w:trPr>
          <w:gridAfter w:val="1"/>
          <w:wAfter w:w="180" w:type="dxa"/>
          <w:trHeight w:val="195"/>
        </w:trPr>
        <w:tc>
          <w:tcPr>
            <w:tcW w:w="3786"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11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101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5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9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r>
      <w:tr w:rsidR="00D36A06">
        <w:trPr>
          <w:gridAfter w:val="1"/>
          <w:wAfter w:w="180" w:type="dxa"/>
          <w:trHeight w:hRule="exact" w:val="457"/>
        </w:trPr>
        <w:tc>
          <w:tcPr>
            <w:tcW w:w="3786"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color w:val="000000"/>
                <w:sz w:val="18"/>
                <w:szCs w:val="18"/>
              </w:rPr>
            </w:pPr>
            <w:r>
              <w:rPr>
                <w:rFonts w:ascii="宋体" w:hAnsi="宋体" w:cs="宋体" w:hint="eastAsia"/>
                <w:b/>
                <w:color w:val="000000"/>
                <w:kern w:val="0"/>
                <w:sz w:val="18"/>
                <w:szCs w:val="18"/>
              </w:rPr>
              <w:t>6417.36</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color w:val="000000"/>
                <w:sz w:val="18"/>
                <w:szCs w:val="18"/>
              </w:rPr>
            </w:pPr>
            <w:r>
              <w:rPr>
                <w:rFonts w:ascii="宋体" w:hAnsi="宋体" w:cs="宋体" w:hint="eastAsia"/>
                <w:b/>
                <w:color w:val="000000"/>
                <w:kern w:val="0"/>
                <w:sz w:val="18"/>
                <w:szCs w:val="18"/>
              </w:rPr>
              <w:t>1654.82</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color w:val="000000"/>
                <w:sz w:val="18"/>
                <w:szCs w:val="18"/>
              </w:rPr>
            </w:pPr>
            <w:r>
              <w:rPr>
                <w:rFonts w:ascii="宋体" w:hAnsi="宋体" w:cs="宋体" w:hint="eastAsia"/>
                <w:b/>
                <w:color w:val="000000"/>
                <w:kern w:val="0"/>
                <w:sz w:val="18"/>
                <w:szCs w:val="18"/>
              </w:rPr>
              <w:t>4762.54</w:t>
            </w: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b/>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b/>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b/>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208</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社会保障和就业支出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91.80</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91.80</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20802</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民政管理事务</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0.61</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0.61</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2080201</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行政运行</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0.61</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0.61</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20805</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行政事业单位离退休</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60.51</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60.51</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2080505</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机关事业单位基本养老保险缴费支出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60.51</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60.51</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20808</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抚恤</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6.83</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6.83</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2080801</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死亡抚恤</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6.83</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6.83</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20827</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财政对其他社会保险基金的补助</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0.60</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0.60</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2082702</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财政对工伤保险基金的补助</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0.60</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0.60</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20899</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其他社会保障和就业支出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23.25</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23.25</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2089901</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其他社会保障和就业支出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23.25</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23.25</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212</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城乡社区支出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290.86</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1082"/>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21208</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国有土地使用权出让收入及对应专项债务收入安排的支出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290.86</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2120801</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征地和拆迁补偿支出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290.86</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214</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交通运输支出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6034.70</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1563.02</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21401</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公路水路运输</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5746.19</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1563.02</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2140101</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行政运行</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1326.79</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1278.13</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2140102</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一般行政管理事务</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43.67</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2140104</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公路建设</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2203.00</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lastRenderedPageBreak/>
              <w:t>2140106</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公路养护</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1557.58</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2140112</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公路运输管理</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12.00</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2140199</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其他公路水路运输支出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603.15</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284.89</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21404</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成品油价格改革对交通运输的补贴</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288.51</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2140401</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对城市公交的补贴</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91.04</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2140402</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对农村道路客运的补贴</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127.45</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2140499</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成品油价格改革补贴其他支出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70.02</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hRule="exact" w:val="420"/>
        </w:trPr>
        <w:tc>
          <w:tcPr>
            <w:tcW w:w="99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208</w:t>
            </w:r>
          </w:p>
        </w:tc>
        <w:tc>
          <w:tcPr>
            <w:tcW w:w="279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rPr>
              <w:t>社会保障和就业支出</w:t>
            </w:r>
          </w:p>
        </w:tc>
        <w:tc>
          <w:tcPr>
            <w:tcW w:w="102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91.80</w:t>
            </w:r>
          </w:p>
        </w:tc>
        <w:tc>
          <w:tcPr>
            <w:tcW w:w="11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91.80</w:t>
            </w:r>
          </w:p>
        </w:tc>
        <w:tc>
          <w:tcPr>
            <w:tcW w:w="101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gridAfter w:val="1"/>
          <w:wAfter w:w="180" w:type="dxa"/>
          <w:trHeight w:val="748"/>
        </w:trPr>
        <w:tc>
          <w:tcPr>
            <w:tcW w:w="9550" w:type="dxa"/>
            <w:gridSpan w:val="16"/>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注：本表反映部门本年度各项支出情况。</w:t>
            </w:r>
          </w:p>
        </w:tc>
      </w:tr>
    </w:tbl>
    <w:p w:rsidR="00D36A06" w:rsidRDefault="00D36A06" w:rsidP="005B2288">
      <w:pPr>
        <w:widowControl/>
        <w:spacing w:after="0" w:line="560" w:lineRule="exact"/>
        <w:ind w:firstLineChars="200" w:firstLine="561"/>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tbl>
      <w:tblPr>
        <w:tblW w:w="9764" w:type="dxa"/>
        <w:tblInd w:w="-442" w:type="dxa"/>
        <w:tblLayout w:type="fixed"/>
        <w:tblCellMar>
          <w:left w:w="0" w:type="dxa"/>
          <w:right w:w="0" w:type="dxa"/>
        </w:tblCellMar>
        <w:tblLook w:val="04A0" w:firstRow="1" w:lastRow="0" w:firstColumn="1" w:lastColumn="0" w:noHBand="0" w:noVBand="1"/>
      </w:tblPr>
      <w:tblGrid>
        <w:gridCol w:w="2158"/>
        <w:gridCol w:w="379"/>
        <w:gridCol w:w="518"/>
        <w:gridCol w:w="968"/>
        <w:gridCol w:w="2100"/>
        <w:gridCol w:w="79"/>
        <w:gridCol w:w="439"/>
        <w:gridCol w:w="762"/>
        <w:gridCol w:w="226"/>
        <w:gridCol w:w="599"/>
        <w:gridCol w:w="609"/>
        <w:gridCol w:w="927"/>
      </w:tblGrid>
      <w:tr w:rsidR="00D36A06">
        <w:trPr>
          <w:trHeight w:val="152"/>
        </w:trPr>
        <w:tc>
          <w:tcPr>
            <w:tcW w:w="9764" w:type="dxa"/>
            <w:gridSpan w:val="12"/>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财政拨款收入支出决算总表</w:t>
            </w:r>
          </w:p>
        </w:tc>
      </w:tr>
      <w:tr w:rsidR="00D36A06">
        <w:trPr>
          <w:trHeight w:val="90"/>
        </w:trPr>
        <w:tc>
          <w:tcPr>
            <w:tcW w:w="2158"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 w:val="20"/>
                <w:szCs w:val="20"/>
              </w:rPr>
            </w:pPr>
          </w:p>
        </w:tc>
        <w:tc>
          <w:tcPr>
            <w:tcW w:w="379"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 w:val="20"/>
                <w:szCs w:val="20"/>
              </w:rPr>
            </w:pPr>
          </w:p>
        </w:tc>
        <w:tc>
          <w:tcPr>
            <w:tcW w:w="518"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 w:val="20"/>
                <w:szCs w:val="20"/>
              </w:rPr>
            </w:pPr>
          </w:p>
        </w:tc>
        <w:tc>
          <w:tcPr>
            <w:tcW w:w="3147"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 w:val="20"/>
                <w:szCs w:val="20"/>
              </w:rPr>
            </w:pPr>
          </w:p>
        </w:tc>
        <w:tc>
          <w:tcPr>
            <w:tcW w:w="439"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 w:val="20"/>
                <w:szCs w:val="20"/>
              </w:rPr>
            </w:pPr>
          </w:p>
        </w:tc>
        <w:tc>
          <w:tcPr>
            <w:tcW w:w="762"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 w:val="20"/>
                <w:szCs w:val="20"/>
              </w:rPr>
            </w:pPr>
          </w:p>
        </w:tc>
        <w:tc>
          <w:tcPr>
            <w:tcW w:w="1536"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04</w:t>
            </w:r>
            <w:r>
              <w:rPr>
                <w:rFonts w:ascii="宋体" w:hAnsi="宋体" w:cs="宋体" w:hint="eastAsia"/>
                <w:color w:val="000000"/>
                <w:kern w:val="0"/>
                <w:sz w:val="20"/>
                <w:szCs w:val="20"/>
              </w:rPr>
              <w:t>表</w:t>
            </w:r>
          </w:p>
        </w:tc>
      </w:tr>
      <w:tr w:rsidR="00D36A06">
        <w:trPr>
          <w:trHeight w:val="152"/>
        </w:trPr>
        <w:tc>
          <w:tcPr>
            <w:tcW w:w="6641" w:type="dxa"/>
            <w:gridSpan w:val="7"/>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部门：无极县交通运输局</w:t>
            </w:r>
          </w:p>
        </w:tc>
        <w:tc>
          <w:tcPr>
            <w:tcW w:w="762"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 w:val="20"/>
                <w:szCs w:val="20"/>
              </w:rPr>
            </w:pPr>
          </w:p>
        </w:tc>
        <w:tc>
          <w:tcPr>
            <w:tcW w:w="2361" w:type="dxa"/>
            <w:gridSpan w:val="4"/>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D36A06">
        <w:trPr>
          <w:trHeight w:val="90"/>
        </w:trPr>
        <w:tc>
          <w:tcPr>
            <w:tcW w:w="3055"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收</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入</w:t>
            </w:r>
          </w:p>
        </w:tc>
        <w:tc>
          <w:tcPr>
            <w:tcW w:w="6709" w:type="dxa"/>
            <w:gridSpan w:val="9"/>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支</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出</w:t>
            </w:r>
          </w:p>
        </w:tc>
      </w:tr>
      <w:tr w:rsidR="00D36A06">
        <w:trPr>
          <w:trHeight w:val="170"/>
        </w:trPr>
        <w:tc>
          <w:tcPr>
            <w:tcW w:w="2537"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5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9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金额</w:t>
            </w:r>
          </w:p>
        </w:tc>
        <w:tc>
          <w:tcPr>
            <w:tcW w:w="21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51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12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18"/>
                <w:szCs w:val="18"/>
              </w:rPr>
            </w:pP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center"/>
              <w:rPr>
                <w:rFonts w:ascii="宋体" w:hAnsi="宋体" w:cs="宋体"/>
                <w:color w:val="000000"/>
                <w:sz w:val="18"/>
                <w:szCs w:val="18"/>
              </w:rPr>
            </w:pP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r>
      <w:tr w:rsidR="00D36A06">
        <w:trPr>
          <w:trHeight w:hRule="exact" w:val="413"/>
        </w:trPr>
        <w:tc>
          <w:tcPr>
            <w:tcW w:w="2537"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一、一般公共预算财政拨款</w:t>
            </w: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9017.80</w:t>
            </w: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一、一般公共服务支出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29</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120"/>
        </w:trPr>
        <w:tc>
          <w:tcPr>
            <w:tcW w:w="2537"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二、政府性基金预算财政拨款</w:t>
            </w: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二、外交支出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30</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三、国防支出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31</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四、公共安全支出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32</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五、教育支出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33</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六、科学技术支出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34</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七、文化体育与传媒支出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35</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hRule="exact" w:val="399"/>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8</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八、社会保障和就业支出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36</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91.80</w:t>
            </w: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91.80</w:t>
            </w: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9</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九、医疗卫生与计划生育支出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37</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10</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十、节能环保支出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38</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hRule="exact" w:val="416"/>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11</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十一、城乡社区支出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39</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290.86</w:t>
            </w: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0.00</w:t>
            </w: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290.86</w:t>
            </w:r>
          </w:p>
        </w:tc>
      </w:tr>
      <w:tr w:rsidR="00D36A06">
        <w:trPr>
          <w:trHeight w:hRule="exact" w:val="363"/>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12</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十二、农林水支出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40</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hRule="exact" w:val="401"/>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13</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十三、交通运输支出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41</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6034.70</w:t>
            </w: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6034.70</w:t>
            </w: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14</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十四、资源勘探信息等支出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42</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15</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十五、商业服务业等支出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43</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16</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十六、金融支出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44</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17</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十七、援助其他地区支出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45</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18</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十八、国土海洋气象等支出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46</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19</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十九、住房保障支出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47</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20</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二十、粮油物资储备支出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48</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21</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二十一、其他支出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49</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22</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二十二、债务还本支出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50</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val="90"/>
        </w:trPr>
        <w:tc>
          <w:tcPr>
            <w:tcW w:w="253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left"/>
              <w:rPr>
                <w:rFonts w:ascii="宋体" w:hAnsi="宋体" w:cs="宋体"/>
                <w:color w:val="000000"/>
                <w:sz w:val="18"/>
                <w:szCs w:val="18"/>
              </w:rPr>
            </w:pP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23</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二十三、债务付息支出</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51</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right"/>
              <w:rPr>
                <w:rFonts w:ascii="宋体" w:hAnsi="宋体" w:cs="宋体"/>
                <w:color w:val="000000"/>
                <w:sz w:val="18"/>
                <w:szCs w:val="18"/>
              </w:rPr>
            </w:pPr>
          </w:p>
        </w:tc>
      </w:tr>
      <w:tr w:rsidR="00D36A06">
        <w:trPr>
          <w:trHeight w:hRule="exact" w:val="491"/>
        </w:trPr>
        <w:tc>
          <w:tcPr>
            <w:tcW w:w="2537"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本年收入合计</w:t>
            </w: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24</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9017.80</w:t>
            </w: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本年支出合计</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52</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6417.36</w:t>
            </w: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6126.50</w:t>
            </w: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290.86</w:t>
            </w:r>
          </w:p>
        </w:tc>
      </w:tr>
      <w:tr w:rsidR="00D36A06">
        <w:trPr>
          <w:trHeight w:hRule="exact" w:val="415"/>
        </w:trPr>
        <w:tc>
          <w:tcPr>
            <w:tcW w:w="2537"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年初财政拨款结转和结余</w:t>
            </w: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25</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1452.58</w:t>
            </w: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年末财政拨款结转和结余</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53</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4053.02</w:t>
            </w: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4053.02</w:t>
            </w: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18"/>
                <w:szCs w:val="18"/>
              </w:rPr>
            </w:pPr>
          </w:p>
        </w:tc>
      </w:tr>
      <w:tr w:rsidR="00D36A06">
        <w:trPr>
          <w:trHeight w:hRule="exact" w:val="456"/>
        </w:trPr>
        <w:tc>
          <w:tcPr>
            <w:tcW w:w="2537"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一般公共预算财政拨款</w:t>
            </w: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26</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1161.72</w:t>
            </w: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spacing w:after="0" w:line="240" w:lineRule="atLeast"/>
              <w:jc w:val="center"/>
              <w:rPr>
                <w:rFonts w:ascii="宋体" w:hAnsi="宋体" w:cs="宋体"/>
                <w:color w:val="000000"/>
                <w:sz w:val="18"/>
                <w:szCs w:val="18"/>
              </w:rPr>
            </w:pP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54</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jc w:val="right"/>
              <w:rPr>
                <w:rFonts w:ascii="宋体" w:hAnsi="宋体" w:cs="宋体"/>
                <w:color w:val="000000"/>
                <w:sz w:val="18"/>
                <w:szCs w:val="18"/>
              </w:rPr>
            </w:pPr>
          </w:p>
        </w:tc>
      </w:tr>
      <w:tr w:rsidR="00D36A06">
        <w:trPr>
          <w:trHeight w:hRule="exact" w:val="469"/>
        </w:trPr>
        <w:tc>
          <w:tcPr>
            <w:tcW w:w="2537"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政府性基金预算财政拨款</w:t>
            </w: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27</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290.86</w:t>
            </w: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spacing w:after="0" w:line="240" w:lineRule="atLeast"/>
              <w:jc w:val="center"/>
              <w:rPr>
                <w:rFonts w:ascii="宋体" w:hAnsi="宋体" w:cs="宋体"/>
                <w:color w:val="000000"/>
                <w:sz w:val="18"/>
                <w:szCs w:val="18"/>
              </w:rPr>
            </w:pP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55</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jc w:val="right"/>
              <w:rPr>
                <w:rFonts w:ascii="宋体" w:hAnsi="宋体" w:cs="宋体"/>
                <w:color w:val="000000"/>
                <w:sz w:val="18"/>
                <w:szCs w:val="18"/>
              </w:rPr>
            </w:pP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jc w:val="right"/>
              <w:rPr>
                <w:rFonts w:ascii="宋体" w:hAnsi="宋体" w:cs="宋体"/>
                <w:color w:val="000000"/>
                <w:sz w:val="18"/>
                <w:szCs w:val="18"/>
              </w:rPr>
            </w:pP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jc w:val="right"/>
              <w:rPr>
                <w:rFonts w:ascii="宋体" w:hAnsi="宋体" w:cs="宋体"/>
                <w:color w:val="000000"/>
                <w:sz w:val="18"/>
                <w:szCs w:val="18"/>
              </w:rPr>
            </w:pPr>
          </w:p>
        </w:tc>
      </w:tr>
      <w:tr w:rsidR="00D36A06">
        <w:trPr>
          <w:trHeight w:hRule="exact" w:val="401"/>
        </w:trPr>
        <w:tc>
          <w:tcPr>
            <w:tcW w:w="2537"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5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28</w:t>
            </w:r>
          </w:p>
        </w:tc>
        <w:tc>
          <w:tcPr>
            <w:tcW w:w="9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10470.38</w:t>
            </w:r>
          </w:p>
        </w:tc>
        <w:tc>
          <w:tcPr>
            <w:tcW w:w="210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51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56</w:t>
            </w:r>
          </w:p>
        </w:tc>
        <w:tc>
          <w:tcPr>
            <w:tcW w:w="98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10470.38</w:t>
            </w:r>
          </w:p>
        </w:tc>
        <w:tc>
          <w:tcPr>
            <w:tcW w:w="1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10179.52</w:t>
            </w:r>
          </w:p>
        </w:tc>
        <w:tc>
          <w:tcPr>
            <w:tcW w:w="9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18"/>
                <w:szCs w:val="18"/>
              </w:rPr>
            </w:pPr>
            <w:r>
              <w:rPr>
                <w:rFonts w:ascii="宋体" w:hAnsi="宋体" w:cs="宋体" w:hint="eastAsia"/>
                <w:color w:val="000000"/>
                <w:kern w:val="0"/>
                <w:sz w:val="18"/>
                <w:szCs w:val="18"/>
              </w:rPr>
              <w:t>290.86</w:t>
            </w:r>
          </w:p>
        </w:tc>
      </w:tr>
      <w:tr w:rsidR="00D36A06">
        <w:trPr>
          <w:trHeight w:val="155"/>
        </w:trPr>
        <w:tc>
          <w:tcPr>
            <w:tcW w:w="9764" w:type="dxa"/>
            <w:gridSpan w:val="12"/>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注：本表反映部门本年度一般公共预算财政拨款和政府性基金预算财政拨款的总收支和年末结转结余情况。</w:t>
            </w:r>
          </w:p>
        </w:tc>
      </w:tr>
    </w:tbl>
    <w:p w:rsidR="00D36A06" w:rsidRDefault="00D36A06">
      <w:pPr>
        <w:widowControl/>
        <w:spacing w:after="0" w:line="560" w:lineRule="exact"/>
        <w:jc w:val="left"/>
        <w:rPr>
          <w:rFonts w:ascii="仿宋_GB2312" w:eastAsia="仿宋_GB2312" w:hAnsiTheme="majorEastAsia"/>
          <w:b/>
          <w:sz w:val="28"/>
          <w:szCs w:val="28"/>
          <w:highlight w:val="yellow"/>
        </w:rPr>
        <w:sectPr w:rsidR="00D36A06">
          <w:pgSz w:w="11906" w:h="16838"/>
          <w:pgMar w:top="1134" w:right="1474" w:bottom="1134" w:left="1588" w:header="851" w:footer="992" w:gutter="0"/>
          <w:cols w:space="0"/>
          <w:docGrid w:type="lines" w:linePitch="312"/>
        </w:sectPr>
      </w:pPr>
    </w:p>
    <w:tbl>
      <w:tblPr>
        <w:tblW w:w="8860" w:type="dxa"/>
        <w:tblLayout w:type="fixed"/>
        <w:tblCellMar>
          <w:left w:w="0" w:type="dxa"/>
          <w:right w:w="0" w:type="dxa"/>
        </w:tblCellMar>
        <w:tblLook w:val="04A0" w:firstRow="1" w:lastRow="0" w:firstColumn="1" w:lastColumn="0" w:noHBand="0" w:noVBand="1"/>
      </w:tblPr>
      <w:tblGrid>
        <w:gridCol w:w="317"/>
        <w:gridCol w:w="319"/>
        <w:gridCol w:w="357"/>
        <w:gridCol w:w="2701"/>
        <w:gridCol w:w="153"/>
        <w:gridCol w:w="1174"/>
        <w:gridCol w:w="718"/>
        <w:gridCol w:w="1201"/>
        <w:gridCol w:w="1920"/>
      </w:tblGrid>
      <w:tr w:rsidR="00D36A06">
        <w:trPr>
          <w:trHeight w:val="600"/>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rsidR="00D36A06" w:rsidRDefault="00F64830">
            <w:pPr>
              <w:widowControl/>
              <w:spacing w:after="0" w:line="240" w:lineRule="auto"/>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一般公共预算财政拨款支出决算表</w:t>
            </w:r>
          </w:p>
        </w:tc>
      </w:tr>
      <w:tr w:rsidR="00D36A06">
        <w:trPr>
          <w:trHeight w:val="334"/>
        </w:trPr>
        <w:tc>
          <w:tcPr>
            <w:tcW w:w="317"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2701"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53"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05</w:t>
            </w:r>
            <w:r>
              <w:rPr>
                <w:rFonts w:ascii="宋体" w:hAnsi="宋体" w:cs="宋体" w:hint="eastAsia"/>
                <w:color w:val="000000"/>
                <w:kern w:val="0"/>
                <w:szCs w:val="21"/>
              </w:rPr>
              <w:t>表</w:t>
            </w:r>
          </w:p>
        </w:tc>
      </w:tr>
      <w:tr w:rsidR="00D36A06">
        <w:trPr>
          <w:trHeight w:val="334"/>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部门：无极县交通运输局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36A06">
        <w:trPr>
          <w:trHeight w:val="351"/>
        </w:trPr>
        <w:tc>
          <w:tcPr>
            <w:tcW w:w="3694"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项目</w:t>
            </w:r>
          </w:p>
        </w:tc>
        <w:tc>
          <w:tcPr>
            <w:tcW w:w="5166"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本年支出</w:t>
            </w:r>
          </w:p>
        </w:tc>
      </w:tr>
      <w:tr w:rsidR="00D36A06">
        <w:trPr>
          <w:trHeight w:hRule="exac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功能分类科目编码</w:t>
            </w:r>
          </w:p>
        </w:tc>
        <w:tc>
          <w:tcPr>
            <w:tcW w:w="2701"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科目名称</w:t>
            </w:r>
          </w:p>
        </w:tc>
        <w:tc>
          <w:tcPr>
            <w:tcW w:w="1327"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项目支出</w:t>
            </w:r>
          </w:p>
        </w:tc>
      </w:tr>
      <w:tr w:rsidR="00D36A06">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c>
          <w:tcPr>
            <w:tcW w:w="270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c>
          <w:tcPr>
            <w:tcW w:w="1327"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r>
      <w:tr w:rsidR="00D36A06">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c>
          <w:tcPr>
            <w:tcW w:w="270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c>
          <w:tcPr>
            <w:tcW w:w="1327"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tLeast"/>
              <w:jc w:val="center"/>
              <w:rPr>
                <w:rFonts w:asciiTheme="majorEastAsia" w:eastAsiaTheme="majorEastAsia" w:hAnsiTheme="majorEastAsia" w:cs="宋体"/>
                <w:color w:val="000000"/>
                <w:szCs w:val="21"/>
              </w:rPr>
            </w:pPr>
          </w:p>
        </w:tc>
      </w:tr>
      <w:tr w:rsidR="00D36A06">
        <w:trPr>
          <w:trHeight w:val="256"/>
        </w:trPr>
        <w:tc>
          <w:tcPr>
            <w:tcW w:w="369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栏次</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3</w:t>
            </w:r>
          </w:p>
        </w:tc>
      </w:tr>
      <w:tr w:rsidR="00D36A06">
        <w:trPr>
          <w:trHeight w:hRule="exact" w:val="478"/>
        </w:trPr>
        <w:tc>
          <w:tcPr>
            <w:tcW w:w="369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spacing w:after="0" w:line="240" w:lineRule="atLeast"/>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合计</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b/>
                <w:color w:val="000000"/>
                <w:szCs w:val="21"/>
              </w:rPr>
            </w:pPr>
            <w:r>
              <w:rPr>
                <w:rFonts w:asciiTheme="majorEastAsia" w:eastAsiaTheme="majorEastAsia" w:hAnsiTheme="majorEastAsia" w:cs="宋体" w:hint="eastAsia"/>
                <w:b/>
                <w:color w:val="000000"/>
                <w:kern w:val="0"/>
                <w:szCs w:val="21"/>
              </w:rPr>
              <w:t>6126.50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b/>
                <w:color w:val="000000"/>
                <w:szCs w:val="21"/>
              </w:rPr>
            </w:pPr>
            <w:r>
              <w:rPr>
                <w:rFonts w:asciiTheme="majorEastAsia" w:eastAsiaTheme="majorEastAsia" w:hAnsiTheme="majorEastAsia" w:cs="宋体" w:hint="eastAsia"/>
                <w:b/>
                <w:color w:val="000000"/>
                <w:kern w:val="0"/>
                <w:szCs w:val="21"/>
              </w:rPr>
              <w:t>1654.82</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b/>
                <w:color w:val="000000"/>
                <w:szCs w:val="21"/>
              </w:rPr>
            </w:pPr>
            <w:r>
              <w:rPr>
                <w:rFonts w:asciiTheme="majorEastAsia" w:eastAsiaTheme="majorEastAsia" w:hAnsiTheme="majorEastAsia" w:cs="宋体" w:hint="eastAsia"/>
                <w:b/>
                <w:color w:val="000000"/>
                <w:kern w:val="0"/>
                <w:szCs w:val="21"/>
              </w:rPr>
              <w:t>4471.69</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208</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社会保障和就业支出</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91.80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91.80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20802</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民政管理事务</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0.61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0.61</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2080201</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ind w:firstLineChars="100" w:firstLine="210"/>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行政运行</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0.61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0.61</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20805</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行政事业单位离退休</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60.51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60.51</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694"/>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2080505</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机关事业单位基本养老保险缴费支出</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60.51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60.51</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20808</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抚恤</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6.83</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6.83</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2080801</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ind w:firstLineChars="100" w:firstLine="210"/>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死亡抚恤</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6.83</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6.83</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20827</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财政对其他社会保险基金的补助</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0.60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0.60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2082702</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财政对工伤保险基金的补助</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0.60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0.60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20899</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其他社会保障和就业支出</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23.25</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23.25</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2089901</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其他社会保障和就业支出</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23.25</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23.25</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214</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交通运输支出</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6034.70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1563.02</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4471.69</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21401</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公路水路运输</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5746.19</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1563.02</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4183.18</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2140101</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ind w:firstLineChars="100" w:firstLine="210"/>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行政运行</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1326.79</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1278.13</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48.66</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2140102</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ind w:firstLineChars="100" w:firstLine="210"/>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一般行政管理事务</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43.67</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43.67</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2140104</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ind w:firstLineChars="100" w:firstLine="210"/>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公路建设</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2203.00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2203.00</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2140106</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ind w:firstLineChars="100" w:firstLine="210"/>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公路养护</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1557.58</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1557.58</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2140112</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ind w:firstLineChars="100" w:firstLine="210"/>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公路运输管理</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12.00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12.00</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2140199</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ind w:firstLineChars="100" w:firstLine="210"/>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其他公路水路运输支出</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603.15</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284.89</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318.26</w:t>
            </w:r>
          </w:p>
        </w:tc>
      </w:tr>
      <w:tr w:rsidR="00D36A06">
        <w:trPr>
          <w:trHeight w:hRule="exact" w:val="425"/>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center"/>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21404</w:t>
            </w:r>
          </w:p>
        </w:tc>
        <w:tc>
          <w:tcPr>
            <w:tcW w:w="270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textAlignment w:val="center"/>
              <w:rPr>
                <w:rFonts w:asciiTheme="majorEastAsia" w:eastAsiaTheme="majorEastAsia" w:hAnsiTheme="majorEastAsia" w:cs="宋体"/>
                <w:b/>
                <w:bCs/>
                <w:color w:val="000000"/>
                <w:szCs w:val="21"/>
              </w:rPr>
            </w:pPr>
            <w:r>
              <w:rPr>
                <w:rFonts w:asciiTheme="majorEastAsia" w:eastAsiaTheme="majorEastAsia" w:hAnsiTheme="majorEastAsia" w:cs="宋体" w:hint="eastAsia"/>
                <w:b/>
                <w:bCs/>
                <w:color w:val="000000"/>
                <w:kern w:val="0"/>
                <w:szCs w:val="21"/>
              </w:rPr>
              <w:t>成品油价格改革对交通运输的补贴</w:t>
            </w:r>
          </w:p>
        </w:tc>
        <w:tc>
          <w:tcPr>
            <w:tcW w:w="132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288.51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D36A06">
            <w:pPr>
              <w:widowControl/>
              <w:jc w:val="right"/>
              <w:textAlignment w:val="center"/>
              <w:rPr>
                <w:rFonts w:asciiTheme="majorEastAsia" w:eastAsiaTheme="majorEastAsia" w:hAnsiTheme="majorEastAsia"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D36A06" w:rsidRDefault="00F64830">
            <w:pPr>
              <w:widowControl/>
              <w:jc w:val="right"/>
              <w:textAlignment w:val="center"/>
              <w:rPr>
                <w:rFonts w:asciiTheme="majorEastAsia" w:eastAsiaTheme="majorEastAsia" w:hAnsiTheme="majorEastAsia" w:cs="宋体"/>
                <w:color w:val="000000"/>
                <w:szCs w:val="21"/>
              </w:rPr>
            </w:pPr>
            <w:r>
              <w:rPr>
                <w:rFonts w:asciiTheme="majorEastAsia" w:eastAsiaTheme="majorEastAsia" w:hAnsiTheme="majorEastAsia" w:cs="宋体" w:hint="eastAsia"/>
                <w:color w:val="000000"/>
                <w:kern w:val="0"/>
                <w:szCs w:val="21"/>
              </w:rPr>
              <w:t>288.51</w:t>
            </w:r>
          </w:p>
        </w:tc>
      </w:tr>
      <w:tr w:rsidR="00D36A06">
        <w:trPr>
          <w:trHeight w:val="368"/>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注：本表反映部门本年度一般公共预算财政拨款收入及支出情况。</w:t>
            </w:r>
            <w:r>
              <w:rPr>
                <w:rFonts w:ascii="宋体" w:hAnsi="宋体" w:cs="宋体" w:hint="eastAsia"/>
                <w:color w:val="000000"/>
                <w:kern w:val="0"/>
                <w:szCs w:val="21"/>
              </w:rPr>
              <w:t xml:space="preserve">      </w:t>
            </w:r>
          </w:p>
        </w:tc>
      </w:tr>
    </w:tbl>
    <w:p w:rsidR="00D36A06" w:rsidRDefault="00D36A06">
      <w:pPr>
        <w:widowControl/>
        <w:spacing w:after="0" w:line="560" w:lineRule="exact"/>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firstRow="1" w:lastRow="0" w:firstColumn="1" w:lastColumn="0" w:noHBand="0" w:noVBand="1"/>
      </w:tblPr>
      <w:tblGrid>
        <w:gridCol w:w="558"/>
        <w:gridCol w:w="1597"/>
        <w:gridCol w:w="840"/>
        <w:gridCol w:w="477"/>
        <w:gridCol w:w="1763"/>
        <w:gridCol w:w="740"/>
        <w:gridCol w:w="560"/>
        <w:gridCol w:w="1980"/>
        <w:gridCol w:w="665"/>
      </w:tblGrid>
      <w:tr w:rsidR="00D36A06">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一般公共预算财政拨款基本支出决算表</w:t>
            </w:r>
          </w:p>
        </w:tc>
      </w:tr>
      <w:tr w:rsidR="00D36A06">
        <w:trPr>
          <w:trHeight w:val="269"/>
          <w:jc w:val="center"/>
        </w:trPr>
        <w:tc>
          <w:tcPr>
            <w:tcW w:w="558"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D36A06" w:rsidRDefault="00F64830">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06</w:t>
            </w:r>
            <w:r>
              <w:rPr>
                <w:rFonts w:ascii="宋体" w:hAnsi="宋体" w:cs="宋体" w:hint="eastAsia"/>
                <w:color w:val="000000"/>
                <w:kern w:val="0"/>
                <w:sz w:val="22"/>
                <w:szCs w:val="22"/>
              </w:rPr>
              <w:t>表</w:t>
            </w:r>
          </w:p>
        </w:tc>
      </w:tr>
      <w:tr w:rsidR="00D36A06">
        <w:trPr>
          <w:trHeight w:val="269"/>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部门：无极县交通运输局</w:t>
            </w:r>
          </w:p>
        </w:tc>
        <w:tc>
          <w:tcPr>
            <w:tcW w:w="74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D36A06" w:rsidRDefault="00F64830">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D36A06">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公用经费</w:t>
            </w:r>
          </w:p>
        </w:tc>
      </w:tr>
      <w:tr w:rsidR="00D36A06">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科目编码</w:t>
            </w:r>
          </w:p>
        </w:tc>
        <w:tc>
          <w:tcPr>
            <w:tcW w:w="198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科目名称</w:t>
            </w:r>
          </w:p>
        </w:tc>
        <w:tc>
          <w:tcPr>
            <w:tcW w:w="66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18"/>
                <w:szCs w:val="18"/>
              </w:rPr>
            </w:pPr>
            <w:r>
              <w:rPr>
                <w:rFonts w:ascii="宋体" w:hAnsi="宋体" w:cs="宋体" w:hint="eastAsia"/>
                <w:color w:val="000000"/>
                <w:kern w:val="0"/>
                <w:sz w:val="18"/>
                <w:szCs w:val="18"/>
              </w:rPr>
              <w:t>决算数</w:t>
            </w:r>
          </w:p>
        </w:tc>
      </w:tr>
      <w:tr w:rsidR="00D36A06">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c>
          <w:tcPr>
            <w:tcW w:w="198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c>
          <w:tcPr>
            <w:tcW w:w="66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pacing w:after="0" w:line="240" w:lineRule="auto"/>
              <w:jc w:val="center"/>
              <w:rPr>
                <w:rFonts w:ascii="宋体" w:hAnsi="宋体" w:cs="宋体"/>
                <w:color w:val="00000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sz w:val="18"/>
                <w:szCs w:val="18"/>
              </w:rPr>
            </w:pPr>
            <w:r>
              <w:rPr>
                <w:rFonts w:ascii="宋体" w:hAnsi="宋体" w:cs="宋体" w:hint="eastAsia"/>
                <w:color w:val="000000"/>
                <w:kern w:val="0"/>
                <w:sz w:val="18"/>
                <w:szCs w:val="18"/>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sz w:val="18"/>
                <w:szCs w:val="18"/>
              </w:rPr>
            </w:pPr>
            <w:r>
              <w:rPr>
                <w:rFonts w:ascii="宋体" w:hAnsi="宋体" w:cs="宋体" w:hint="eastAsia"/>
                <w:color w:val="000000"/>
                <w:kern w:val="0"/>
                <w:sz w:val="18"/>
                <w:szCs w:val="18"/>
              </w:rPr>
              <w:t>工资福利支出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sz w:val="18"/>
                <w:szCs w:val="18"/>
              </w:rPr>
            </w:pPr>
            <w:r>
              <w:rPr>
                <w:rFonts w:ascii="宋体" w:hAnsi="宋体" w:cs="宋体" w:hint="eastAsia"/>
                <w:color w:val="000000"/>
                <w:kern w:val="0"/>
                <w:sz w:val="18"/>
                <w:szCs w:val="18"/>
              </w:rPr>
              <w:t>1285.24</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商品和服务支出</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278.11</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307</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债务利息及费用支出</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rPr>
                <w:rFonts w:ascii="宋体" w:hAnsi="宋体" w:cs="宋体"/>
                <w:color w:val="00000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基本工资</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806.15</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办公费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44.14</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30701</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国内债务付息</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津贴补贴</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49.71</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印刷费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8.37</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30702</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国外债务付息</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奖金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85.88</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咨询费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资本性支出</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伙食补助费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手续费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0.20</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31001</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房屋建筑物购建</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绩效工资</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148.92</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水费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1.56</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31002</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办公设备购置</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89"/>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机关事业单位基本养老保险缴费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75.57</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电费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9.58</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31003</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专用设备购置</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职业年金缴费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3.72</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邮电费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11.73</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31005</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基础设施建设</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43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职工基本医疗保险缴费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3.98</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取暖费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37.55</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31006</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大型修缮</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4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公务员医疗补助缴费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物业管理费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31007</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信息网络及软件购置更新</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其他社会保障缴费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4.93</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差旅费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2.41</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31008</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物资储备</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住房公积金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8.11</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因公出国（境）费用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31009</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土地补偿</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医疗费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tabs>
                <w:tab w:val="left" w:pos="442"/>
              </w:tabs>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维修（护）费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4.10</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31010</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安置补助</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其他工资福利支出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98.26</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租赁费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8.70</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31011</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地上附着物和青苗补偿</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对个人和家庭的补助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91.47</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会议费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0.14</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31012</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拆迁补偿</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离休费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1.46</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培训费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0.31</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31013</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公务用车购置</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退休费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43.88</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公务接待费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31019</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其他交通工具购置</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退职（役）费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专用材料费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5.70</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31021</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文物和陈列品购置</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抚恤金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6.87</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被装购置费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31022</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无形资产购置</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生活补助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39.26</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专用燃料费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31099</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其他资本性支出</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救济费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劳务费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10.57</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399</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其他支出</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医疗费补助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委托业务费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39906</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赠与</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助学金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工会经费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8.68</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39907</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国家赔偿费用支出</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400"/>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奖励金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福利费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7.99</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39908</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对民间非营利组织和群众性自治组织补贴</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个人农业生产补贴</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公务用车运行维护费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3.99</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39999</w:t>
            </w: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其他支出</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642"/>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其他对个人和家庭的补助支出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其他交通费用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39.72</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税金及附加费用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其他商品和服务支出</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72.66</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19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napToGrid w:val="0"/>
              <w:spacing w:after="0" w:line="240" w:lineRule="auto"/>
              <w:jc w:val="left"/>
              <w:textAlignment w:val="center"/>
              <w:rPr>
                <w:rFonts w:ascii="宋体" w:hAnsi="宋体" w:cs="宋体"/>
                <w:color w:val="000000"/>
                <w:kern w:val="0"/>
                <w:sz w:val="18"/>
                <w:szCs w:val="18"/>
              </w:rPr>
            </w:pPr>
          </w:p>
        </w:tc>
      </w:tr>
      <w:tr w:rsidR="00D36A06">
        <w:trPr>
          <w:trHeight w:hRule="exact" w:val="306"/>
          <w:jc w:val="center"/>
        </w:trPr>
        <w:tc>
          <w:tcPr>
            <w:tcW w:w="2155"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人员经费合计</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1376.71</w:t>
            </w:r>
          </w:p>
        </w:tc>
        <w:tc>
          <w:tcPr>
            <w:tcW w:w="5520"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 w:val="18"/>
                <w:szCs w:val="18"/>
              </w:rPr>
            </w:pPr>
            <w:r>
              <w:rPr>
                <w:rFonts w:ascii="宋体" w:hAnsi="宋体" w:cs="宋体" w:hint="eastAsia"/>
                <w:color w:val="000000"/>
                <w:kern w:val="0"/>
                <w:sz w:val="18"/>
                <w:szCs w:val="18"/>
              </w:rPr>
              <w:t>公用经费合计</w:t>
            </w:r>
          </w:p>
        </w:tc>
        <w:tc>
          <w:tcPr>
            <w:tcW w:w="6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right"/>
              <w:textAlignment w:val="center"/>
              <w:rPr>
                <w:rFonts w:ascii="宋体" w:hAnsi="宋体" w:cs="宋体"/>
                <w:color w:val="000000"/>
                <w:kern w:val="0"/>
                <w:sz w:val="18"/>
                <w:szCs w:val="18"/>
              </w:rPr>
            </w:pPr>
            <w:r>
              <w:rPr>
                <w:rFonts w:ascii="宋体" w:hAnsi="宋体" w:cs="宋体" w:hint="eastAsia"/>
                <w:color w:val="000000"/>
                <w:kern w:val="0"/>
                <w:sz w:val="18"/>
                <w:szCs w:val="18"/>
              </w:rPr>
              <w:t>278.11</w:t>
            </w:r>
          </w:p>
        </w:tc>
      </w:tr>
      <w:tr w:rsidR="00D36A06">
        <w:trPr>
          <w:trHeight w:val="277"/>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napToGrid w:val="0"/>
              <w:spacing w:after="0" w:line="240" w:lineRule="auto"/>
              <w:jc w:val="left"/>
              <w:textAlignment w:val="center"/>
              <w:rPr>
                <w:rFonts w:ascii="宋体" w:hAnsi="宋体" w:cs="宋体"/>
                <w:color w:val="000000"/>
                <w:kern w:val="0"/>
                <w:szCs w:val="21"/>
              </w:rPr>
            </w:pPr>
            <w:r>
              <w:rPr>
                <w:rFonts w:ascii="宋体" w:hAnsi="宋体" w:cs="宋体" w:hint="eastAsia"/>
                <w:color w:val="000000"/>
                <w:kern w:val="0"/>
                <w:szCs w:val="21"/>
              </w:rPr>
              <w:t>注：本表反映部门本年度一般公共预算财政拨款基本支出明细情况。</w:t>
            </w:r>
            <w:r>
              <w:rPr>
                <w:rFonts w:ascii="宋体" w:hAnsi="宋体" w:cs="宋体" w:hint="eastAsia"/>
                <w:color w:val="000000"/>
                <w:kern w:val="0"/>
                <w:szCs w:val="21"/>
              </w:rPr>
              <w:t xml:space="preserve">        </w:t>
            </w:r>
          </w:p>
        </w:tc>
      </w:tr>
    </w:tbl>
    <w:p w:rsidR="00D36A06" w:rsidRDefault="00D36A06">
      <w:pPr>
        <w:widowControl/>
        <w:spacing w:after="0" w:line="560" w:lineRule="exact"/>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firstRow="1" w:lastRow="0" w:firstColumn="1" w:lastColumn="0" w:noHBand="0" w:noVBand="1"/>
      </w:tblPr>
      <w:tblGrid>
        <w:gridCol w:w="1158"/>
        <w:gridCol w:w="1527"/>
        <w:gridCol w:w="1528"/>
        <w:gridCol w:w="1530"/>
        <w:gridCol w:w="1530"/>
        <w:gridCol w:w="1527"/>
      </w:tblGrid>
      <w:tr w:rsidR="00D36A06">
        <w:trPr>
          <w:trHeight w:val="584"/>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一般公共预算财政拨款“三公”经费支出决算表</w:t>
            </w:r>
          </w:p>
        </w:tc>
      </w:tr>
      <w:tr w:rsidR="00D36A06">
        <w:trPr>
          <w:trHeight w:val="347"/>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07</w:t>
            </w:r>
            <w:r>
              <w:rPr>
                <w:rFonts w:ascii="宋体" w:hAnsi="宋体" w:cs="宋体" w:hint="eastAsia"/>
                <w:color w:val="000000"/>
                <w:kern w:val="0"/>
                <w:sz w:val="20"/>
                <w:szCs w:val="20"/>
              </w:rPr>
              <w:t>表</w:t>
            </w:r>
          </w:p>
        </w:tc>
      </w:tr>
      <w:tr w:rsidR="00D36A06">
        <w:trPr>
          <w:trHeight w:val="347"/>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部门：无极县交通运输局</w:t>
            </w:r>
          </w:p>
        </w:tc>
        <w:tc>
          <w:tcPr>
            <w:tcW w:w="1527" w:type="dxa"/>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D36A06">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预算数</w:t>
            </w:r>
          </w:p>
        </w:tc>
      </w:tr>
      <w:tr w:rsidR="00D36A06">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D36A06">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r>
      <w:tr w:rsidR="00D36A06">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D36A06">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D36A06">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D36A06">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r>
      <w:tr w:rsidR="00D36A06">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12</w:t>
            </w:r>
          </w:p>
        </w:tc>
      </w:tr>
      <w:tr w:rsidR="00D36A06">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注：本表反映部门本年度“三公”经费支出预决算情况。其中：预算数为“三公”经费年初预算数，决算数是包括当年一般公共预算财政拨款和以前年度结转资金安排的实际支出。</w:t>
            </w:r>
            <w:r>
              <w:rPr>
                <w:rFonts w:ascii="宋体" w:hAnsi="宋体" w:cs="宋体" w:hint="eastAsia"/>
                <w:color w:val="000000"/>
                <w:kern w:val="0"/>
                <w:szCs w:val="21"/>
              </w:rPr>
              <w:t xml:space="preserve">           </w:t>
            </w:r>
          </w:p>
        </w:tc>
      </w:tr>
    </w:tbl>
    <w:p w:rsidR="00D36A06" w:rsidRDefault="00D36A06">
      <w:pPr>
        <w:widowControl/>
        <w:spacing w:after="0" w:line="560" w:lineRule="exact"/>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tbl>
      <w:tblPr>
        <w:tblW w:w="9597" w:type="dxa"/>
        <w:tblInd w:w="-737" w:type="dxa"/>
        <w:tblLayout w:type="fixed"/>
        <w:tblCellMar>
          <w:left w:w="0" w:type="dxa"/>
          <w:right w:w="0" w:type="dxa"/>
        </w:tblCellMar>
        <w:tblLook w:val="04A0" w:firstRow="1" w:lastRow="0" w:firstColumn="1" w:lastColumn="0" w:noHBand="0" w:noVBand="1"/>
      </w:tblPr>
      <w:tblGrid>
        <w:gridCol w:w="415"/>
        <w:gridCol w:w="240"/>
        <w:gridCol w:w="240"/>
        <w:gridCol w:w="1477"/>
        <w:gridCol w:w="639"/>
        <w:gridCol w:w="1170"/>
        <w:gridCol w:w="915"/>
        <w:gridCol w:w="849"/>
        <w:gridCol w:w="1192"/>
        <w:gridCol w:w="1192"/>
        <w:gridCol w:w="1268"/>
      </w:tblGrid>
      <w:tr w:rsidR="00D36A06">
        <w:trPr>
          <w:trHeight w:val="707"/>
        </w:trPr>
        <w:tc>
          <w:tcPr>
            <w:tcW w:w="9597" w:type="dxa"/>
            <w:gridSpan w:val="11"/>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rPr>
              <w:lastRenderedPageBreak/>
              <w:t>政府性基金预算财政拨款收入支出决算表</w:t>
            </w:r>
          </w:p>
        </w:tc>
      </w:tr>
      <w:tr w:rsidR="00D36A06">
        <w:trPr>
          <w:trHeight w:val="315"/>
        </w:trPr>
        <w:tc>
          <w:tcPr>
            <w:tcW w:w="415"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1477"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1809"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915"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849"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08</w:t>
            </w:r>
            <w:r>
              <w:rPr>
                <w:rFonts w:ascii="宋体" w:hAnsi="宋体" w:cs="宋体" w:hint="eastAsia"/>
                <w:color w:val="000000"/>
                <w:kern w:val="0"/>
                <w:szCs w:val="21"/>
              </w:rPr>
              <w:t>表</w:t>
            </w:r>
          </w:p>
        </w:tc>
      </w:tr>
      <w:tr w:rsidR="00D36A06">
        <w:trPr>
          <w:trHeight w:val="411"/>
        </w:trPr>
        <w:tc>
          <w:tcPr>
            <w:tcW w:w="4181" w:type="dxa"/>
            <w:gridSpan w:val="6"/>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部门：无极县交通运输局</w:t>
            </w:r>
          </w:p>
        </w:tc>
        <w:tc>
          <w:tcPr>
            <w:tcW w:w="915"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849"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36A06">
        <w:trPr>
          <w:trHeight w:val="324"/>
        </w:trPr>
        <w:tc>
          <w:tcPr>
            <w:tcW w:w="3011"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17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年初结转和结余</w:t>
            </w:r>
          </w:p>
        </w:tc>
        <w:tc>
          <w:tcPr>
            <w:tcW w:w="915"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本年收入</w:t>
            </w:r>
          </w:p>
        </w:tc>
        <w:tc>
          <w:tcPr>
            <w:tcW w:w="3233"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本年支出</w:t>
            </w:r>
          </w:p>
        </w:tc>
        <w:tc>
          <w:tcPr>
            <w:tcW w:w="1268"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年末结转和结余</w:t>
            </w:r>
          </w:p>
        </w:tc>
      </w:tr>
      <w:tr w:rsidR="00D36A06">
        <w:trPr>
          <w:trHeight w:val="324"/>
        </w:trPr>
        <w:tc>
          <w:tcPr>
            <w:tcW w:w="89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2116" w:type="dxa"/>
            <w:gridSpan w:val="2"/>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17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915"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84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268"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r>
      <w:tr w:rsidR="00D36A06">
        <w:trPr>
          <w:trHeight w:val="324"/>
        </w:trPr>
        <w:tc>
          <w:tcPr>
            <w:tcW w:w="89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2116"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117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915"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84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1268"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r>
      <w:tr w:rsidR="00D36A06">
        <w:trPr>
          <w:trHeight w:val="312"/>
        </w:trPr>
        <w:tc>
          <w:tcPr>
            <w:tcW w:w="89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2116"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117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915"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84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c>
          <w:tcPr>
            <w:tcW w:w="1268"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D36A06">
            <w:pPr>
              <w:widowControl/>
              <w:adjustRightInd w:val="0"/>
              <w:spacing w:after="0" w:line="240" w:lineRule="auto"/>
              <w:jc w:val="center"/>
              <w:rPr>
                <w:rFonts w:ascii="宋体" w:hAnsi="宋体" w:cs="宋体"/>
                <w:color w:val="000000"/>
                <w:szCs w:val="21"/>
              </w:rPr>
            </w:pPr>
          </w:p>
        </w:tc>
      </w:tr>
      <w:tr w:rsidR="00D36A06">
        <w:trPr>
          <w:trHeight w:val="324"/>
        </w:trPr>
        <w:tc>
          <w:tcPr>
            <w:tcW w:w="3011"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1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91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8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D36A06">
        <w:trPr>
          <w:trHeight w:val="324"/>
        </w:trPr>
        <w:tc>
          <w:tcPr>
            <w:tcW w:w="3011"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center"/>
              <w:textAlignment w:val="center"/>
              <w:rPr>
                <w:rFonts w:ascii="宋体" w:hAnsi="宋体" w:cs="宋体"/>
                <w:color w:val="000000"/>
                <w:szCs w:val="21"/>
              </w:rPr>
            </w:pPr>
            <w:r>
              <w:rPr>
                <w:rFonts w:ascii="宋体" w:hAnsi="宋体" w:cs="宋体" w:hint="eastAsia"/>
                <w:color w:val="000000"/>
                <w:kern w:val="0"/>
                <w:sz w:val="22"/>
                <w:szCs w:val="22"/>
              </w:rPr>
              <w:t>合计</w:t>
            </w:r>
          </w:p>
        </w:tc>
        <w:tc>
          <w:tcPr>
            <w:tcW w:w="11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color w:val="000000"/>
                <w:szCs w:val="21"/>
              </w:rPr>
            </w:pPr>
            <w:r>
              <w:rPr>
                <w:rFonts w:ascii="宋体" w:hAnsi="宋体" w:cs="宋体" w:hint="eastAsia"/>
                <w:b/>
                <w:color w:val="000000"/>
                <w:kern w:val="0"/>
                <w:sz w:val="22"/>
                <w:szCs w:val="22"/>
              </w:rPr>
              <w:t>290.86</w:t>
            </w:r>
          </w:p>
        </w:tc>
        <w:tc>
          <w:tcPr>
            <w:tcW w:w="91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b/>
                <w:color w:val="000000"/>
                <w:szCs w:val="21"/>
              </w:rPr>
            </w:pPr>
          </w:p>
        </w:tc>
        <w:tc>
          <w:tcPr>
            <w:tcW w:w="8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color w:val="000000"/>
                <w:szCs w:val="21"/>
              </w:rPr>
            </w:pPr>
            <w:r>
              <w:rPr>
                <w:rFonts w:ascii="宋体" w:hAnsi="宋体" w:cs="宋体" w:hint="eastAsia"/>
                <w:b/>
                <w:color w:val="000000"/>
                <w:kern w:val="0"/>
                <w:sz w:val="22"/>
                <w:szCs w:val="22"/>
              </w:rPr>
              <w:t>290.86</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b/>
                <w:color w:val="000000"/>
                <w:szCs w:val="21"/>
              </w:rPr>
            </w:pPr>
            <w:r>
              <w:rPr>
                <w:rFonts w:ascii="宋体" w:hAnsi="宋体" w:cs="宋体" w:hint="eastAsia"/>
                <w:b/>
                <w:color w:val="000000"/>
                <w:kern w:val="0"/>
                <w:sz w:val="22"/>
                <w:szCs w:val="22"/>
              </w:rPr>
              <w:t>290.86</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b/>
                <w:color w:val="000000"/>
                <w:szCs w:val="21"/>
              </w:rPr>
            </w:pPr>
          </w:p>
        </w:tc>
      </w:tr>
      <w:tr w:rsidR="00D36A06">
        <w:trPr>
          <w:trHeight w:hRule="exact" w:val="590"/>
        </w:trPr>
        <w:tc>
          <w:tcPr>
            <w:tcW w:w="89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212</w:t>
            </w:r>
          </w:p>
        </w:tc>
        <w:tc>
          <w:tcPr>
            <w:tcW w:w="211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城乡社区支出</w:t>
            </w:r>
          </w:p>
        </w:tc>
        <w:tc>
          <w:tcPr>
            <w:tcW w:w="11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91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8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r>
      <w:tr w:rsidR="00D36A06">
        <w:trPr>
          <w:trHeight w:hRule="exact" w:val="1120"/>
        </w:trPr>
        <w:tc>
          <w:tcPr>
            <w:tcW w:w="89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20"/>
                <w:szCs w:val="20"/>
              </w:rPr>
              <w:t>21208</w:t>
            </w:r>
          </w:p>
        </w:tc>
        <w:tc>
          <w:tcPr>
            <w:tcW w:w="211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b/>
                <w:bCs/>
                <w:color w:val="000000"/>
                <w:sz w:val="20"/>
                <w:szCs w:val="20"/>
              </w:rPr>
            </w:pPr>
            <w:r>
              <w:rPr>
                <w:rFonts w:ascii="宋体" w:hAnsi="宋体" w:cs="宋体" w:hint="eastAsia"/>
                <w:b/>
                <w:bCs/>
                <w:color w:val="000000"/>
                <w:kern w:val="0"/>
                <w:sz w:val="15"/>
                <w:szCs w:val="15"/>
              </w:rPr>
              <w:t>国有土地使用权出让收入及对应专项债务收入安排的支出</w:t>
            </w:r>
          </w:p>
        </w:tc>
        <w:tc>
          <w:tcPr>
            <w:tcW w:w="11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91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8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r>
      <w:tr w:rsidR="00D36A06">
        <w:trPr>
          <w:trHeight w:hRule="exact" w:val="590"/>
        </w:trPr>
        <w:tc>
          <w:tcPr>
            <w:tcW w:w="89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2120801</w:t>
            </w:r>
          </w:p>
        </w:tc>
        <w:tc>
          <w:tcPr>
            <w:tcW w:w="211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征地和拆迁补偿支出</w:t>
            </w:r>
          </w:p>
        </w:tc>
        <w:tc>
          <w:tcPr>
            <w:tcW w:w="11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91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8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290.86</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r>
      <w:tr w:rsidR="00D36A06">
        <w:trPr>
          <w:trHeight w:val="324"/>
        </w:trPr>
        <w:tc>
          <w:tcPr>
            <w:tcW w:w="9597" w:type="dxa"/>
            <w:gridSpan w:val="11"/>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注：本表反映部门本年度政府性基金预算财政拨款收入、支出及结转和结余情况。</w:t>
            </w:r>
            <w:r>
              <w:rPr>
                <w:rFonts w:ascii="宋体" w:hAnsi="宋体" w:cs="宋体" w:hint="eastAsia"/>
                <w:color w:val="000000"/>
                <w:kern w:val="0"/>
                <w:szCs w:val="21"/>
              </w:rPr>
              <w:t xml:space="preserve">         </w:t>
            </w:r>
          </w:p>
        </w:tc>
      </w:tr>
    </w:tbl>
    <w:p w:rsidR="00D36A06" w:rsidRDefault="00D36A06">
      <w:pPr>
        <w:widowControl/>
        <w:spacing w:after="0" w:line="560" w:lineRule="exact"/>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tbl>
      <w:tblPr>
        <w:tblW w:w="8785" w:type="dxa"/>
        <w:tblInd w:w="15" w:type="dxa"/>
        <w:tblLayout w:type="fixed"/>
        <w:tblCellMar>
          <w:left w:w="0" w:type="dxa"/>
          <w:right w:w="0" w:type="dxa"/>
        </w:tblCellMar>
        <w:tblLook w:val="04A0" w:firstRow="1" w:lastRow="0" w:firstColumn="1" w:lastColumn="0" w:noHBand="0" w:noVBand="1"/>
      </w:tblPr>
      <w:tblGrid>
        <w:gridCol w:w="427"/>
        <w:gridCol w:w="208"/>
        <w:gridCol w:w="504"/>
        <w:gridCol w:w="274"/>
        <w:gridCol w:w="894"/>
        <w:gridCol w:w="783"/>
        <w:gridCol w:w="252"/>
        <w:gridCol w:w="1646"/>
        <w:gridCol w:w="359"/>
        <w:gridCol w:w="1539"/>
        <w:gridCol w:w="1899"/>
      </w:tblGrid>
      <w:tr w:rsidR="00D36A06">
        <w:trPr>
          <w:trHeight w:val="656"/>
        </w:trPr>
        <w:tc>
          <w:tcPr>
            <w:tcW w:w="8785" w:type="dxa"/>
            <w:gridSpan w:val="11"/>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国有资本经营预算财政拨款支出决算表</w:t>
            </w:r>
          </w:p>
        </w:tc>
      </w:tr>
      <w:tr w:rsidR="00D36A06">
        <w:trPr>
          <w:trHeight w:val="335"/>
        </w:trPr>
        <w:tc>
          <w:tcPr>
            <w:tcW w:w="427"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09</w:t>
            </w:r>
            <w:r>
              <w:rPr>
                <w:rFonts w:ascii="宋体" w:hAnsi="宋体" w:cs="宋体" w:hint="eastAsia"/>
                <w:color w:val="000000"/>
                <w:kern w:val="0"/>
                <w:sz w:val="22"/>
                <w:szCs w:val="22"/>
              </w:rPr>
              <w:t>表</w:t>
            </w:r>
          </w:p>
        </w:tc>
      </w:tr>
      <w:tr w:rsidR="00D36A06">
        <w:trPr>
          <w:trHeight w:val="335"/>
        </w:trPr>
        <w:tc>
          <w:tcPr>
            <w:tcW w:w="3342" w:type="dxa"/>
            <w:gridSpan w:val="7"/>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编制单位：无极县交通运输局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D36A06">
        <w:trPr>
          <w:trHeight w:val="358"/>
        </w:trPr>
        <w:tc>
          <w:tcPr>
            <w:tcW w:w="3090"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w:t>
            </w:r>
          </w:p>
        </w:tc>
        <w:tc>
          <w:tcPr>
            <w:tcW w:w="5695"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本年支出</w:t>
            </w:r>
          </w:p>
        </w:tc>
      </w:tr>
      <w:tr w:rsidR="00D36A06">
        <w:trPr>
          <w:trHeight w:val="826"/>
        </w:trPr>
        <w:tc>
          <w:tcPr>
            <w:tcW w:w="141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功能分类科目编码</w:t>
            </w: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科目名称</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小计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基本支出</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项目支出</w:t>
            </w:r>
          </w:p>
        </w:tc>
      </w:tr>
      <w:tr w:rsidR="00D36A06">
        <w:trPr>
          <w:trHeight w:val="358"/>
        </w:trPr>
        <w:tc>
          <w:tcPr>
            <w:tcW w:w="3090"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栏次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1</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2</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3</w:t>
            </w:r>
          </w:p>
        </w:tc>
      </w:tr>
      <w:tr w:rsidR="00D36A06">
        <w:trPr>
          <w:trHeight w:val="358"/>
        </w:trPr>
        <w:tc>
          <w:tcPr>
            <w:tcW w:w="3090"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合计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r>
      <w:tr w:rsidR="00D36A06">
        <w:trPr>
          <w:trHeight w:val="346"/>
        </w:trPr>
        <w:tc>
          <w:tcPr>
            <w:tcW w:w="141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r>
      <w:tr w:rsidR="00D36A06">
        <w:trPr>
          <w:trHeight w:val="346"/>
        </w:trPr>
        <w:tc>
          <w:tcPr>
            <w:tcW w:w="141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r>
      <w:tr w:rsidR="00D36A06">
        <w:trPr>
          <w:trHeight w:val="346"/>
        </w:trPr>
        <w:tc>
          <w:tcPr>
            <w:tcW w:w="141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r>
      <w:tr w:rsidR="00D36A06">
        <w:trPr>
          <w:trHeight w:val="346"/>
        </w:trPr>
        <w:tc>
          <w:tcPr>
            <w:tcW w:w="141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r>
      <w:tr w:rsidR="00D36A06">
        <w:trPr>
          <w:trHeight w:val="346"/>
        </w:trPr>
        <w:tc>
          <w:tcPr>
            <w:tcW w:w="141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r>
      <w:tr w:rsidR="00D36A06">
        <w:trPr>
          <w:trHeight w:val="346"/>
        </w:trPr>
        <w:tc>
          <w:tcPr>
            <w:tcW w:w="141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spacing w:after="0" w:line="240" w:lineRule="auto"/>
              <w:jc w:val="right"/>
              <w:rPr>
                <w:rFonts w:ascii="宋体" w:hAnsi="宋体" w:cs="宋体"/>
                <w:color w:val="000000"/>
                <w:sz w:val="22"/>
                <w:szCs w:val="22"/>
              </w:rPr>
            </w:pPr>
          </w:p>
        </w:tc>
      </w:tr>
      <w:tr w:rsidR="00D36A06">
        <w:trPr>
          <w:trHeight w:val="358"/>
        </w:trPr>
        <w:tc>
          <w:tcPr>
            <w:tcW w:w="8785" w:type="dxa"/>
            <w:gridSpan w:val="11"/>
            <w:tcBorders>
              <w:top w:val="nil"/>
              <w:left w:val="nil"/>
              <w:bottom w:val="nil"/>
              <w:right w:val="nil"/>
            </w:tcBorders>
            <w:shd w:val="clear" w:color="auto" w:fill="auto"/>
            <w:tcMar>
              <w:top w:w="15" w:type="dxa"/>
              <w:left w:w="15" w:type="dxa"/>
              <w:right w:w="15" w:type="dxa"/>
            </w:tcMar>
            <w:vAlign w:val="center"/>
          </w:tcPr>
          <w:p w:rsidR="00D36A06" w:rsidRDefault="00F64830">
            <w:pPr>
              <w:widowControl/>
              <w:jc w:val="left"/>
              <w:rPr>
                <w:rFonts w:ascii="宋体" w:hAnsi="宋体" w:cs="宋体"/>
                <w:color w:val="000000"/>
                <w:kern w:val="0"/>
                <w:szCs w:val="21"/>
              </w:rPr>
            </w:pPr>
            <w:r>
              <w:rPr>
                <w:rFonts w:ascii="宋体" w:hAnsi="宋体" w:cs="宋体" w:hint="eastAsia"/>
                <w:color w:val="000000"/>
                <w:kern w:val="0"/>
                <w:szCs w:val="21"/>
              </w:rPr>
              <w:t>注：本表反映部门本年度国有资本经营预算财政拨款支出情况。本部门本年度无相关支出情况，按要求以空表列式。</w:t>
            </w:r>
          </w:p>
          <w:p w:rsidR="00D36A06" w:rsidRDefault="00D36A06">
            <w:pPr>
              <w:widowControl/>
              <w:spacing w:after="0" w:line="240" w:lineRule="auto"/>
              <w:jc w:val="left"/>
              <w:textAlignment w:val="center"/>
              <w:rPr>
                <w:rFonts w:ascii="宋体" w:hAnsi="宋体" w:cs="宋体"/>
                <w:color w:val="000000"/>
                <w:sz w:val="22"/>
                <w:szCs w:val="22"/>
              </w:rPr>
            </w:pPr>
          </w:p>
        </w:tc>
      </w:tr>
    </w:tbl>
    <w:p w:rsidR="00D36A06" w:rsidRDefault="00D36A06">
      <w:pPr>
        <w:widowControl/>
        <w:spacing w:after="0" w:line="560" w:lineRule="exact"/>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firstRow="1" w:lastRow="0" w:firstColumn="1" w:lastColumn="0" w:noHBand="0" w:noVBand="1"/>
      </w:tblPr>
      <w:tblGrid>
        <w:gridCol w:w="1901"/>
        <w:gridCol w:w="1203"/>
        <w:gridCol w:w="790"/>
        <w:gridCol w:w="362"/>
        <w:gridCol w:w="911"/>
        <w:gridCol w:w="241"/>
        <w:gridCol w:w="1032"/>
        <w:gridCol w:w="120"/>
        <w:gridCol w:w="1154"/>
        <w:gridCol w:w="1226"/>
      </w:tblGrid>
      <w:tr w:rsidR="00D36A06">
        <w:trPr>
          <w:trHeight w:val="635"/>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政府采购情况表</w:t>
            </w:r>
          </w:p>
        </w:tc>
      </w:tr>
      <w:tr w:rsidR="00D36A06">
        <w:trPr>
          <w:trHeight w:val="326"/>
        </w:trPr>
        <w:tc>
          <w:tcPr>
            <w:tcW w:w="1901"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10</w:t>
            </w:r>
            <w:r>
              <w:rPr>
                <w:rFonts w:ascii="宋体" w:hAnsi="宋体" w:cs="宋体" w:hint="eastAsia"/>
                <w:color w:val="000000"/>
                <w:kern w:val="0"/>
                <w:szCs w:val="21"/>
              </w:rPr>
              <w:t>表</w:t>
            </w:r>
          </w:p>
        </w:tc>
      </w:tr>
      <w:tr w:rsidR="00D36A06">
        <w:trPr>
          <w:trHeight w:val="360"/>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编制单位：无极县交通运输局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36A06">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采购计划金额</w:t>
            </w:r>
          </w:p>
        </w:tc>
      </w:tr>
      <w:tr w:rsidR="00D36A06">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D36A06">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r>
      <w:tr w:rsidR="00D36A06">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D36A06">
        <w:trPr>
          <w:trHeight w:hRule="exact" w:val="476"/>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1288.99</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1288.99</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1288.99</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 w:val="20"/>
                <w:szCs w:val="20"/>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hRule="exact" w:val="476"/>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310.00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310.00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310.00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 w:val="20"/>
                <w:szCs w:val="20"/>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hRule="exact" w:val="476"/>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838.99</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838.99</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838.99</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 w:val="20"/>
                <w:szCs w:val="20"/>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hRule="exact" w:val="476"/>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140.00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140.00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140.00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 w:val="20"/>
                <w:szCs w:val="20"/>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实际采购金额</w:t>
            </w:r>
          </w:p>
        </w:tc>
      </w:tr>
      <w:tr w:rsidR="00D36A06">
        <w:trPr>
          <w:trHeight w:val="350"/>
        </w:trPr>
        <w:tc>
          <w:tcPr>
            <w:tcW w:w="1901" w:type="dxa"/>
            <w:vMerge/>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D36A06">
        <w:trPr>
          <w:trHeight w:val="543"/>
        </w:trPr>
        <w:tc>
          <w:tcPr>
            <w:tcW w:w="1901" w:type="dxa"/>
            <w:vMerge/>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center"/>
              <w:rPr>
                <w:rFonts w:ascii="宋体" w:hAnsi="宋体" w:cs="宋体"/>
                <w:color w:val="000000"/>
                <w:szCs w:val="21"/>
              </w:rPr>
            </w:pPr>
          </w:p>
        </w:tc>
      </w:tr>
      <w:tr w:rsidR="00D36A06">
        <w:trPr>
          <w:trHeight w:val="309"/>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D36A06">
        <w:trPr>
          <w:trHeight w:hRule="exact" w:val="448"/>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1271.44</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1271.44</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1271.44</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hRule="exact" w:val="448"/>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302.90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302.90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302.90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hRule="exact" w:val="448"/>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837.54</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837.54</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837.54</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hRule="exact" w:val="448"/>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131.00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131.00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F64830">
            <w:pPr>
              <w:widowControl/>
              <w:jc w:val="right"/>
              <w:textAlignment w:val="center"/>
              <w:rPr>
                <w:rFonts w:ascii="宋体" w:hAnsi="宋体" w:cs="宋体"/>
                <w:color w:val="000000"/>
                <w:kern w:val="0"/>
                <w:sz w:val="20"/>
                <w:szCs w:val="20"/>
              </w:rPr>
            </w:pPr>
            <w:r>
              <w:rPr>
                <w:rFonts w:ascii="宋体" w:hAnsi="宋体" w:cs="宋体" w:hint="eastAsia"/>
                <w:color w:val="000000"/>
                <w:kern w:val="0"/>
                <w:sz w:val="20"/>
                <w:szCs w:val="20"/>
              </w:rPr>
              <w:t>131.00</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jc w:val="right"/>
              <w:textAlignment w:val="center"/>
              <w:rPr>
                <w:rFonts w:ascii="宋体" w:hAnsi="宋体" w:cs="宋体"/>
                <w:color w:val="000000"/>
                <w:sz w:val="20"/>
                <w:szCs w:val="20"/>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36A06" w:rsidRDefault="00D36A06">
            <w:pPr>
              <w:widowControl/>
              <w:adjustRightInd w:val="0"/>
              <w:snapToGrid w:val="0"/>
              <w:spacing w:after="0" w:line="240" w:lineRule="auto"/>
              <w:jc w:val="right"/>
              <w:rPr>
                <w:rFonts w:ascii="宋体" w:hAnsi="宋体" w:cs="宋体"/>
                <w:color w:val="000000"/>
                <w:szCs w:val="21"/>
              </w:rPr>
            </w:pPr>
          </w:p>
        </w:tc>
      </w:tr>
      <w:tr w:rsidR="00D36A06">
        <w:trPr>
          <w:trHeight w:val="398"/>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sidR="00D36A06" w:rsidRDefault="00F64830">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注：本表反映部门本年度纳入部门预算范围的政府采购预算及支出情况。</w:t>
            </w:r>
            <w:r>
              <w:rPr>
                <w:rFonts w:ascii="宋体" w:hAnsi="宋体" w:cs="宋体" w:hint="eastAsia"/>
                <w:color w:val="000000"/>
                <w:kern w:val="0"/>
                <w:szCs w:val="21"/>
              </w:rPr>
              <w:t xml:space="preserve">     </w:t>
            </w:r>
          </w:p>
        </w:tc>
      </w:tr>
    </w:tbl>
    <w:p w:rsidR="00D36A06" w:rsidRDefault="00D36A06">
      <w:pPr>
        <w:widowControl/>
        <w:spacing w:after="0" w:line="560" w:lineRule="exact"/>
        <w:jc w:val="left"/>
        <w:rPr>
          <w:rFonts w:ascii="仿宋_GB2312" w:eastAsia="仿宋_GB2312" w:hAnsiTheme="majorEastAsia"/>
          <w:b/>
          <w:sz w:val="28"/>
          <w:szCs w:val="28"/>
          <w:highlight w:val="yellow"/>
        </w:rPr>
      </w:pPr>
    </w:p>
    <w:p w:rsidR="00D36A06" w:rsidRDefault="00D36A06"/>
    <w:p w:rsidR="00D36A06" w:rsidRDefault="00D36A06"/>
    <w:p w:rsidR="00D36A06" w:rsidRDefault="00D36A06"/>
    <w:p w:rsidR="00D36A06" w:rsidRDefault="00D36A06">
      <w:pPr>
        <w:tabs>
          <w:tab w:val="left" w:pos="1086"/>
        </w:tabs>
        <w:jc w:val="left"/>
        <w:rPr>
          <w:rFonts w:ascii="仿宋_GB2312" w:eastAsia="仿宋_GB2312" w:hAnsiTheme="majorEastAsia"/>
          <w:b/>
          <w:sz w:val="28"/>
          <w:szCs w:val="28"/>
          <w:highlight w:val="yellow"/>
        </w:rPr>
        <w:sectPr w:rsidR="00D36A06">
          <w:pgSz w:w="11906" w:h="16838"/>
          <w:pgMar w:top="2098" w:right="1474" w:bottom="1984" w:left="1588" w:header="851" w:footer="992" w:gutter="0"/>
          <w:cols w:space="0"/>
          <w:docGrid w:type="lines" w:linePitch="312"/>
        </w:sectPr>
      </w:pPr>
    </w:p>
    <w:p w:rsidR="00D36A06" w:rsidRDefault="00F64830">
      <w:pPr>
        <w:rPr>
          <w:rFonts w:ascii="宋体" w:hAnsi="宋体" w:cs="ArialUnicodeMS"/>
          <w:color w:val="000000"/>
          <w:kern w:val="0"/>
        </w:rPr>
        <w:sectPr w:rsidR="00D36A06">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Pr>
          <w:sz w:val="72"/>
        </w:rPr>
        <w:pict>
          <v:shape id="_x0000_s1028" type="#_x0000_t202" style="position:absolute;left:0;text-align:left;margin-left:-78.7pt;margin-top:232.8pt;width:596.2pt;height:159.1pt;z-index:251643904;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filled="f" stroked="f" strokeweight=".5pt">
            <v:textbox>
              <w:txbxContent>
                <w:p w:rsidR="00D36A06" w:rsidRDefault="00F64830">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D36A06" w:rsidRDefault="00F64830">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D36A06" w:rsidRDefault="00F64830">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年度收支总计（含结转和结余）</w:t>
      </w:r>
      <w:r>
        <w:rPr>
          <w:rFonts w:ascii="仿宋_GB2312" w:eastAsia="仿宋_GB2312" w:cs="DengXian-Regular" w:hint="eastAsia"/>
          <w:sz w:val="32"/>
          <w:szCs w:val="32"/>
        </w:rPr>
        <w:t>10513.61</w:t>
      </w:r>
      <w:r>
        <w:rPr>
          <w:rFonts w:ascii="仿宋_GB2312" w:eastAsia="仿宋_GB2312" w:cs="DengXian-Regular" w:hint="eastAsia"/>
          <w:sz w:val="32"/>
          <w:szCs w:val="32"/>
        </w:rPr>
        <w:t>万元。与</w:t>
      </w:r>
      <w:r>
        <w:rPr>
          <w:rFonts w:ascii="仿宋_GB2312" w:eastAsia="仿宋_GB2312" w:cs="DengXian-Regular" w:hint="eastAsia"/>
          <w:sz w:val="32"/>
          <w:szCs w:val="32"/>
        </w:rPr>
        <w:t>2017</w:t>
      </w:r>
      <w:r>
        <w:rPr>
          <w:rFonts w:ascii="仿宋_GB2312" w:eastAsia="仿宋_GB2312" w:cs="DengXian-Regular" w:hint="eastAsia"/>
          <w:sz w:val="32"/>
          <w:szCs w:val="32"/>
        </w:rPr>
        <w:t>年度决算相比，收支各增加</w:t>
      </w:r>
      <w:r>
        <w:rPr>
          <w:rFonts w:ascii="仿宋_GB2312" w:eastAsia="仿宋_GB2312" w:cs="DengXian-Regular" w:hint="eastAsia"/>
          <w:sz w:val="32"/>
          <w:szCs w:val="32"/>
        </w:rPr>
        <w:t>4356.82</w:t>
      </w:r>
      <w:r>
        <w:rPr>
          <w:rFonts w:ascii="仿宋_GB2312" w:eastAsia="仿宋_GB2312" w:cs="DengXian-Regular" w:hint="eastAsia"/>
          <w:sz w:val="32"/>
          <w:szCs w:val="32"/>
        </w:rPr>
        <w:t>万元，增长</w:t>
      </w:r>
      <w:r>
        <w:rPr>
          <w:rFonts w:ascii="仿宋_GB2312" w:eastAsia="仿宋_GB2312" w:cs="DengXian-Regular" w:hint="eastAsia"/>
          <w:sz w:val="32"/>
          <w:szCs w:val="32"/>
        </w:rPr>
        <w:t>70.76%</w:t>
      </w:r>
      <w:r>
        <w:rPr>
          <w:rFonts w:ascii="仿宋_GB2312" w:eastAsia="仿宋_GB2312" w:cs="DengXian-Regular" w:hint="eastAsia"/>
          <w:sz w:val="32"/>
          <w:szCs w:val="32"/>
        </w:rPr>
        <w:t>，主要原因是加大了公路工程建设力度。</w:t>
      </w:r>
    </w:p>
    <w:p w:rsidR="00D36A06" w:rsidRDefault="00F64830">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年度本年收入合计</w:t>
      </w:r>
      <w:r>
        <w:rPr>
          <w:rFonts w:ascii="仿宋" w:eastAsia="仿宋" w:hAnsi="仿宋" w:cs="仿宋" w:hint="eastAsia"/>
          <w:sz w:val="32"/>
          <w:szCs w:val="32"/>
        </w:rPr>
        <w:t>90</w:t>
      </w:r>
      <w:r>
        <w:rPr>
          <w:rFonts w:ascii="仿宋_GB2312" w:eastAsia="仿宋_GB2312" w:cs="DengXian-Regular" w:hint="eastAsia"/>
          <w:sz w:val="32"/>
          <w:szCs w:val="32"/>
        </w:rPr>
        <w:t>61.03</w:t>
      </w:r>
      <w:r>
        <w:rPr>
          <w:rFonts w:ascii="仿宋_GB2312" w:eastAsia="仿宋_GB2312" w:cs="DengXian-Regular" w:hint="eastAsia"/>
          <w:sz w:val="32"/>
          <w:szCs w:val="32"/>
        </w:rPr>
        <w:t>万元，其中：财政拨款收入</w:t>
      </w:r>
      <w:r>
        <w:rPr>
          <w:rFonts w:ascii="仿宋" w:eastAsia="仿宋" w:hAnsi="仿宋" w:cs="仿宋" w:hint="eastAsia"/>
          <w:sz w:val="32"/>
          <w:szCs w:val="32"/>
        </w:rPr>
        <w:t>90</w:t>
      </w:r>
      <w:r>
        <w:rPr>
          <w:rFonts w:ascii="仿宋_GB2312" w:eastAsia="仿宋_GB2312" w:cs="DengXian-Regular" w:hint="eastAsia"/>
          <w:sz w:val="32"/>
          <w:szCs w:val="32"/>
        </w:rPr>
        <w:t>17.8</w:t>
      </w:r>
      <w:r>
        <w:rPr>
          <w:rFonts w:ascii="仿宋_GB2312" w:eastAsia="仿宋_GB2312" w:cs="DengXian-Regular" w:hint="eastAsia"/>
          <w:sz w:val="32"/>
          <w:szCs w:val="32"/>
        </w:rPr>
        <w:t>万元，占</w:t>
      </w:r>
      <w:r>
        <w:rPr>
          <w:rFonts w:ascii="仿宋" w:eastAsia="仿宋" w:hAnsi="仿宋" w:cs="仿宋" w:hint="eastAsia"/>
          <w:sz w:val="32"/>
          <w:szCs w:val="32"/>
        </w:rPr>
        <w:t>99</w:t>
      </w:r>
      <w:r>
        <w:rPr>
          <w:rFonts w:ascii="仿宋_GB2312" w:eastAsia="仿宋_GB2312" w:cs="DengXian-Regular" w:hint="eastAsia"/>
          <w:sz w:val="32"/>
          <w:szCs w:val="32"/>
        </w:rPr>
        <w:t>.52%</w:t>
      </w:r>
      <w:r>
        <w:rPr>
          <w:rFonts w:ascii="仿宋_GB2312" w:eastAsia="仿宋_GB2312" w:cs="DengXian-Regular" w:hint="eastAsia"/>
          <w:sz w:val="32"/>
          <w:szCs w:val="32"/>
        </w:rPr>
        <w:t>；事业收入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；经营收入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；其他收入</w:t>
      </w:r>
      <w:r>
        <w:rPr>
          <w:rFonts w:ascii="仿宋_GB2312" w:eastAsia="仿宋_GB2312" w:cs="DengXian-Regular" w:hint="eastAsia"/>
          <w:sz w:val="32"/>
          <w:szCs w:val="32"/>
        </w:rPr>
        <w:t>43.22</w:t>
      </w:r>
      <w:r>
        <w:rPr>
          <w:rFonts w:ascii="仿宋_GB2312" w:eastAsia="仿宋_GB2312" w:cs="DengXian-Regular" w:hint="eastAsia"/>
          <w:sz w:val="32"/>
          <w:szCs w:val="32"/>
        </w:rPr>
        <w:t>万元，占</w:t>
      </w:r>
      <w:r>
        <w:rPr>
          <w:rFonts w:ascii="仿宋_GB2312" w:eastAsia="仿宋_GB2312" w:cs="DengXian-Regular" w:hint="eastAsia"/>
          <w:sz w:val="32"/>
          <w:szCs w:val="32"/>
        </w:rPr>
        <w:t>0.48%</w:t>
      </w:r>
      <w:r>
        <w:rPr>
          <w:rFonts w:ascii="仿宋_GB2312" w:eastAsia="仿宋_GB2312" w:cs="DengXian-Regular" w:hint="eastAsia"/>
          <w:sz w:val="32"/>
          <w:szCs w:val="32"/>
        </w:rPr>
        <w:t>。如图所示：</w:t>
      </w:r>
    </w:p>
    <w:p w:rsidR="00D36A06" w:rsidRDefault="00F64830">
      <w:pPr>
        <w:adjustRightInd w:val="0"/>
        <w:snapToGrid w:val="0"/>
        <w:spacing w:after="0" w:line="240" w:lineRule="auto"/>
        <w:ind w:firstLineChars="300" w:firstLine="960"/>
        <w:rPr>
          <w:rFonts w:ascii="仿宋_GB2312" w:eastAsia="仿宋_GB2312" w:cs="DengXian-Regular"/>
          <w:sz w:val="32"/>
          <w:szCs w:val="32"/>
        </w:rPr>
      </w:pPr>
      <w:r>
        <w:rPr>
          <w:rFonts w:ascii="仿宋_GB2312" w:eastAsia="仿宋_GB2312" w:cs="DengXian-Regular" w:hint="eastAsia"/>
          <w:noProof/>
          <w:sz w:val="32"/>
          <w:szCs w:val="32"/>
        </w:rPr>
        <w:drawing>
          <wp:inline distT="0" distB="0" distL="114300" distR="114300">
            <wp:extent cx="4019550" cy="2378075"/>
            <wp:effectExtent l="0" t="0" r="0" b="0"/>
            <wp:docPr id="18" name="图片 1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片1"/>
                    <pic:cNvPicPr>
                      <a:picLocks noChangeAspect="1"/>
                    </pic:cNvPicPr>
                  </pic:nvPicPr>
                  <pic:blipFill>
                    <a:blip r:embed="rId12"/>
                    <a:stretch>
                      <a:fillRect/>
                    </a:stretch>
                  </pic:blipFill>
                  <pic:spPr>
                    <a:xfrm>
                      <a:off x="0" y="0"/>
                      <a:ext cx="4020510" cy="2378778"/>
                    </a:xfrm>
                    <a:prstGeom prst="rect">
                      <a:avLst/>
                    </a:prstGeom>
                  </pic:spPr>
                </pic:pic>
              </a:graphicData>
            </a:graphic>
          </wp:inline>
        </w:drawing>
      </w:r>
    </w:p>
    <w:p w:rsidR="00D36A06" w:rsidRDefault="00F64830">
      <w:pPr>
        <w:pStyle w:val="2"/>
        <w:spacing w:before="0" w:after="0" w:line="580" w:lineRule="exact"/>
        <w:rPr>
          <w:rFonts w:ascii="黑体" w:eastAsia="黑体"/>
          <w:b w:val="0"/>
          <w:bCs w:val="0"/>
        </w:rPr>
      </w:pPr>
      <w:r>
        <w:rPr>
          <w:rFonts w:ascii="黑体" w:eastAsia="黑体" w:hint="eastAsia"/>
          <w:b w:val="0"/>
          <w:bCs w:val="0"/>
        </w:rPr>
        <w:t>三、支出决算情况说明</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6417.36</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1654.82</w:t>
      </w:r>
      <w:r>
        <w:rPr>
          <w:rFonts w:ascii="仿宋_GB2312" w:eastAsia="仿宋_GB2312" w:cs="DengXian-Regular" w:hint="eastAsia"/>
          <w:sz w:val="32"/>
          <w:szCs w:val="32"/>
        </w:rPr>
        <w:t>万元，占</w:t>
      </w:r>
      <w:r>
        <w:rPr>
          <w:rFonts w:ascii="仿宋_GB2312" w:eastAsia="仿宋_GB2312" w:cs="DengXian-Regular" w:hint="eastAsia"/>
          <w:sz w:val="32"/>
          <w:szCs w:val="32"/>
        </w:rPr>
        <w:t>25.</w:t>
      </w:r>
      <w:r>
        <w:rPr>
          <w:rFonts w:ascii="仿宋" w:eastAsia="仿宋" w:hAnsi="仿宋" w:cs="仿宋" w:hint="eastAsia"/>
          <w:sz w:val="32"/>
          <w:szCs w:val="32"/>
        </w:rPr>
        <w:t>79</w:t>
      </w:r>
      <w:r>
        <w:rPr>
          <w:rFonts w:ascii="仿宋_GB2312" w:eastAsia="仿宋_GB2312" w:cs="DengXian-Regular" w:hint="eastAsia"/>
          <w:sz w:val="32"/>
          <w:szCs w:val="32"/>
        </w:rPr>
        <w:t>%</w:t>
      </w:r>
      <w:r>
        <w:rPr>
          <w:rFonts w:ascii="仿宋_GB2312" w:eastAsia="仿宋_GB2312" w:cs="DengXian-Regular" w:hint="eastAsia"/>
          <w:sz w:val="32"/>
          <w:szCs w:val="32"/>
        </w:rPr>
        <w:t>；项目支出</w:t>
      </w:r>
      <w:r>
        <w:rPr>
          <w:rFonts w:ascii="仿宋_GB2312" w:eastAsia="仿宋_GB2312" w:cs="DengXian-Regular" w:hint="eastAsia"/>
          <w:sz w:val="32"/>
          <w:szCs w:val="32"/>
        </w:rPr>
        <w:t>4762.54</w:t>
      </w:r>
      <w:r>
        <w:rPr>
          <w:rFonts w:ascii="仿宋_GB2312" w:eastAsia="仿宋_GB2312" w:cs="DengXian-Regular" w:hint="eastAsia"/>
          <w:sz w:val="32"/>
          <w:szCs w:val="32"/>
        </w:rPr>
        <w:t>万元，占</w:t>
      </w:r>
      <w:r>
        <w:rPr>
          <w:rFonts w:ascii="仿宋_GB2312" w:eastAsia="仿宋_GB2312" w:cs="DengXian-Regular" w:hint="eastAsia"/>
          <w:sz w:val="32"/>
          <w:szCs w:val="32"/>
        </w:rPr>
        <w:t>74.21%</w:t>
      </w:r>
      <w:r>
        <w:rPr>
          <w:rFonts w:ascii="仿宋_GB2312" w:eastAsia="仿宋_GB2312" w:cs="DengXian-Regular" w:hint="eastAsia"/>
          <w:sz w:val="32"/>
          <w:szCs w:val="32"/>
        </w:rPr>
        <w:t>；经营支出</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。如图所示：</w:t>
      </w:r>
    </w:p>
    <w:p w:rsidR="00D36A06" w:rsidRDefault="00F64830">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hint="eastAsia"/>
          <w:noProof/>
          <w:sz w:val="32"/>
          <w:szCs w:val="32"/>
        </w:rPr>
        <w:lastRenderedPageBreak/>
        <w:drawing>
          <wp:inline distT="0" distB="0" distL="114300" distR="114300">
            <wp:extent cx="4316095" cy="2621280"/>
            <wp:effectExtent l="0" t="0" r="8255" b="7620"/>
            <wp:docPr id="19" name="图片 19"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图片2"/>
                    <pic:cNvPicPr>
                      <a:picLocks noChangeAspect="1"/>
                    </pic:cNvPicPr>
                  </pic:nvPicPr>
                  <pic:blipFill>
                    <a:blip r:embed="rId13"/>
                    <a:stretch>
                      <a:fillRect/>
                    </a:stretch>
                  </pic:blipFill>
                  <pic:spPr>
                    <a:xfrm>
                      <a:off x="0" y="0"/>
                      <a:ext cx="4316095" cy="2621280"/>
                    </a:xfrm>
                    <a:prstGeom prst="rect">
                      <a:avLst/>
                    </a:prstGeom>
                  </pic:spPr>
                </pic:pic>
              </a:graphicData>
            </a:graphic>
          </wp:inline>
        </w:drawing>
      </w:r>
    </w:p>
    <w:p w:rsidR="00D36A06" w:rsidRDefault="00F64830">
      <w:pPr>
        <w:pStyle w:val="2"/>
        <w:spacing w:before="0" w:after="0" w:line="580" w:lineRule="exact"/>
        <w:rPr>
          <w:rFonts w:ascii="黑体" w:eastAsia="黑体"/>
          <w:b w:val="0"/>
          <w:bCs w:val="0"/>
        </w:rPr>
      </w:pPr>
      <w:r>
        <w:rPr>
          <w:rFonts w:ascii="黑体" w:eastAsia="黑体" w:hint="eastAsia"/>
          <w:b w:val="0"/>
          <w:bCs w:val="0"/>
        </w:rPr>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D36A06" w:rsidRDefault="00F64830" w:rsidP="005B2288">
      <w:pPr>
        <w:spacing w:after="0" w:line="580" w:lineRule="exact"/>
        <w:ind w:firstLineChars="200" w:firstLine="641"/>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2017 </w:t>
      </w:r>
      <w:r>
        <w:rPr>
          <w:rFonts w:ascii="楷体_GB2312" w:eastAsia="楷体_GB2312" w:cs="DengXian-Bold" w:hint="eastAsia"/>
          <w:b/>
          <w:bCs/>
          <w:sz w:val="32"/>
          <w:szCs w:val="32"/>
        </w:rPr>
        <w:t>年度决算对比情况</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年度财政拨款本年收入</w:t>
      </w:r>
      <w:r>
        <w:rPr>
          <w:rFonts w:ascii="仿宋" w:eastAsia="仿宋" w:hAnsi="仿宋" w:cs="仿宋" w:hint="eastAsia"/>
          <w:sz w:val="32"/>
          <w:szCs w:val="32"/>
        </w:rPr>
        <w:t>90</w:t>
      </w:r>
      <w:r>
        <w:rPr>
          <w:rFonts w:ascii="仿宋_GB2312" w:eastAsia="仿宋_GB2312" w:cs="DengXian-Regular" w:hint="eastAsia"/>
          <w:sz w:val="32"/>
          <w:szCs w:val="32"/>
        </w:rPr>
        <w:t>17.8</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比</w:t>
      </w:r>
      <w:r>
        <w:rPr>
          <w:rFonts w:ascii="仿宋_GB2312" w:eastAsia="仿宋_GB2312" w:cs="DengXian-Regular" w:hint="eastAsia"/>
          <w:sz w:val="32"/>
          <w:szCs w:val="32"/>
        </w:rPr>
        <w:t>2017</w:t>
      </w:r>
      <w:r>
        <w:rPr>
          <w:rFonts w:ascii="仿宋_GB2312" w:eastAsia="仿宋_GB2312" w:cs="DengXian-Regular" w:hint="eastAsia"/>
          <w:sz w:val="32"/>
          <w:szCs w:val="32"/>
        </w:rPr>
        <w:t>年度增加</w:t>
      </w:r>
      <w:r>
        <w:rPr>
          <w:rFonts w:ascii="仿宋_GB2312" w:eastAsia="仿宋_GB2312" w:cs="DengXian-Regular" w:hint="eastAsia"/>
          <w:sz w:val="32"/>
          <w:szCs w:val="32"/>
        </w:rPr>
        <w:t>3621.62</w:t>
      </w:r>
      <w:r>
        <w:rPr>
          <w:rFonts w:ascii="仿宋_GB2312" w:eastAsia="仿宋_GB2312" w:cs="DengXian-Regular" w:hint="eastAsia"/>
          <w:sz w:val="32"/>
          <w:szCs w:val="32"/>
        </w:rPr>
        <w:t>万元，增长</w:t>
      </w:r>
      <w:r>
        <w:rPr>
          <w:rFonts w:ascii="仿宋_GB2312" w:eastAsia="仿宋_GB2312" w:cs="DengXian-Regular" w:hint="eastAsia"/>
          <w:sz w:val="32"/>
          <w:szCs w:val="32"/>
        </w:rPr>
        <w:t>54.15%</w:t>
      </w:r>
      <w:r>
        <w:rPr>
          <w:rFonts w:ascii="仿宋_GB2312" w:eastAsia="仿宋_GB2312" w:cs="DengXian-Regular" w:hint="eastAsia"/>
          <w:sz w:val="32"/>
          <w:szCs w:val="32"/>
        </w:rPr>
        <w:t>，主要是加大了公路工程建设的投入；本年支出</w:t>
      </w:r>
      <w:r>
        <w:rPr>
          <w:rFonts w:ascii="仿宋_GB2312" w:eastAsia="仿宋_GB2312" w:cs="DengXian-Regular" w:hint="eastAsia"/>
          <w:sz w:val="32"/>
          <w:szCs w:val="32"/>
        </w:rPr>
        <w:t>6417.36</w:t>
      </w:r>
      <w:r>
        <w:rPr>
          <w:rFonts w:ascii="仿宋_GB2312" w:eastAsia="仿宋_GB2312" w:cs="DengXian-Regular" w:hint="eastAsia"/>
          <w:sz w:val="32"/>
          <w:szCs w:val="32"/>
        </w:rPr>
        <w:t>万元，增加</w:t>
      </w:r>
      <w:r>
        <w:rPr>
          <w:rFonts w:ascii="仿宋_GB2312" w:eastAsia="仿宋_GB2312" w:cs="DengXian-Regular" w:hint="eastAsia"/>
          <w:sz w:val="32"/>
          <w:szCs w:val="32"/>
        </w:rPr>
        <w:t>2032.57</w:t>
      </w:r>
      <w:r>
        <w:rPr>
          <w:rFonts w:ascii="仿宋_GB2312" w:eastAsia="仿宋_GB2312" w:cs="DengXian-Regular" w:hint="eastAsia"/>
          <w:sz w:val="32"/>
          <w:szCs w:val="32"/>
        </w:rPr>
        <w:t>万元，增长</w:t>
      </w:r>
      <w:r>
        <w:rPr>
          <w:rFonts w:ascii="仿宋_GB2312" w:eastAsia="仿宋_GB2312" w:cs="DengXian-Regular" w:hint="eastAsia"/>
          <w:sz w:val="32"/>
          <w:szCs w:val="32"/>
        </w:rPr>
        <w:t>46.36%</w:t>
      </w:r>
      <w:r>
        <w:rPr>
          <w:rFonts w:ascii="仿宋_GB2312" w:eastAsia="仿宋_GB2312" w:cs="DengXian-Regular" w:hint="eastAsia"/>
          <w:sz w:val="32"/>
          <w:szCs w:val="32"/>
        </w:rPr>
        <w:t>，主要是加大了公路工程建设力度。</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其中：一般公共预算财政拨款本年收入</w:t>
      </w:r>
      <w:r>
        <w:rPr>
          <w:rFonts w:ascii="仿宋_GB2312" w:eastAsia="仿宋_GB2312" w:cs="DengXian-Regular" w:hint="eastAsia"/>
          <w:sz w:val="32"/>
          <w:szCs w:val="32"/>
        </w:rPr>
        <w:t>9017.8</w:t>
      </w:r>
      <w:r>
        <w:rPr>
          <w:rFonts w:ascii="仿宋_GB2312" w:eastAsia="仿宋_GB2312" w:cs="DengXian-Regular" w:hint="eastAsia"/>
          <w:sz w:val="32"/>
          <w:szCs w:val="32"/>
        </w:rPr>
        <w:t>万元，比上年增加</w:t>
      </w:r>
      <w:r>
        <w:rPr>
          <w:rFonts w:ascii="仿宋_GB2312" w:eastAsia="仿宋_GB2312" w:cs="DengXian-Regular" w:hint="eastAsia"/>
          <w:sz w:val="32"/>
          <w:szCs w:val="32"/>
        </w:rPr>
        <w:t>3621.62</w:t>
      </w:r>
      <w:r>
        <w:rPr>
          <w:rFonts w:ascii="仿宋_GB2312" w:eastAsia="仿宋_GB2312" w:cs="DengXian-Regular" w:hint="eastAsia"/>
          <w:sz w:val="32"/>
          <w:szCs w:val="32"/>
        </w:rPr>
        <w:t>万元；主要是加大了公路工程建设力度和人员经费的增加；本年支出</w:t>
      </w:r>
      <w:r>
        <w:rPr>
          <w:rFonts w:ascii="仿宋_GB2312" w:eastAsia="仿宋_GB2312" w:cs="DengXian-Regular" w:hint="eastAsia"/>
          <w:sz w:val="32"/>
          <w:szCs w:val="32"/>
        </w:rPr>
        <w:t>6417.36</w:t>
      </w:r>
      <w:r>
        <w:rPr>
          <w:rFonts w:ascii="仿宋_GB2312" w:eastAsia="仿宋_GB2312" w:cs="DengXian-Regular" w:hint="eastAsia"/>
          <w:sz w:val="32"/>
          <w:szCs w:val="32"/>
        </w:rPr>
        <w:t>万元，比上年增加</w:t>
      </w:r>
      <w:r>
        <w:rPr>
          <w:rFonts w:ascii="仿宋_GB2312" w:eastAsia="仿宋_GB2312" w:cs="DengXian-Regular" w:hint="eastAsia"/>
          <w:sz w:val="32"/>
          <w:szCs w:val="32"/>
        </w:rPr>
        <w:t>2032.57</w:t>
      </w:r>
      <w:r>
        <w:rPr>
          <w:rFonts w:ascii="仿宋_GB2312" w:eastAsia="仿宋_GB2312" w:cs="DengXian-Regular" w:hint="eastAsia"/>
          <w:sz w:val="32"/>
          <w:szCs w:val="32"/>
        </w:rPr>
        <w:t>万元，增长</w:t>
      </w:r>
      <w:r>
        <w:rPr>
          <w:rFonts w:ascii="仿宋_GB2312" w:eastAsia="仿宋_GB2312" w:cs="DengXian-Regular" w:hint="eastAsia"/>
          <w:sz w:val="32"/>
          <w:szCs w:val="32"/>
        </w:rPr>
        <w:t>46.36%</w:t>
      </w:r>
      <w:r>
        <w:rPr>
          <w:rFonts w:ascii="仿宋_GB2312" w:eastAsia="仿宋_GB2312" w:cs="DengXian-Regular" w:hint="eastAsia"/>
          <w:sz w:val="32"/>
          <w:szCs w:val="32"/>
        </w:rPr>
        <w:t>，主要是加大了公路工程建设力度。政府性基金预算财政拨款本年收入</w:t>
      </w:r>
      <w:r>
        <w:rPr>
          <w:rFonts w:ascii="仿宋_GB2312" w:eastAsia="仿宋_GB2312" w:cs="DengXian-Regular" w:hint="eastAsia"/>
          <w:sz w:val="32"/>
          <w:szCs w:val="32"/>
        </w:rPr>
        <w:t>0</w:t>
      </w:r>
      <w:r>
        <w:rPr>
          <w:rFonts w:ascii="仿宋_GB2312" w:eastAsia="仿宋_GB2312" w:cs="DengXian-Regular" w:hint="eastAsia"/>
          <w:sz w:val="32"/>
          <w:szCs w:val="32"/>
        </w:rPr>
        <w:t>万元，比上年减少</w:t>
      </w:r>
      <w:r>
        <w:rPr>
          <w:rFonts w:ascii="仿宋_GB2312" w:eastAsia="仿宋_GB2312" w:cs="DengXian-Regular" w:hint="eastAsia"/>
          <w:sz w:val="32"/>
          <w:szCs w:val="32"/>
        </w:rPr>
        <w:t>453.96</w:t>
      </w:r>
      <w:r>
        <w:rPr>
          <w:rFonts w:ascii="仿宋_GB2312" w:eastAsia="仿宋_GB2312" w:cs="DengXian-Regular" w:hint="eastAsia"/>
          <w:sz w:val="32"/>
          <w:szCs w:val="32"/>
        </w:rPr>
        <w:t>万元，降低</w:t>
      </w:r>
      <w:r>
        <w:rPr>
          <w:rFonts w:ascii="仿宋_GB2312" w:eastAsia="仿宋_GB2312" w:cs="DengXian-Regular" w:hint="eastAsia"/>
          <w:sz w:val="32"/>
          <w:szCs w:val="32"/>
        </w:rPr>
        <w:t>10</w:t>
      </w:r>
      <w:r>
        <w:rPr>
          <w:rFonts w:ascii="仿宋_GB2312" w:eastAsia="仿宋_GB2312" w:cs="DengXian-Regular" w:hint="eastAsia"/>
          <w:sz w:val="32"/>
          <w:szCs w:val="32"/>
        </w:rPr>
        <w:t>0%</w:t>
      </w:r>
      <w:r>
        <w:rPr>
          <w:rFonts w:ascii="仿宋_GB2312" w:eastAsia="仿宋_GB2312" w:cs="DengXian-Regular" w:hint="eastAsia"/>
          <w:sz w:val="32"/>
          <w:szCs w:val="32"/>
        </w:rPr>
        <w:t>，主要原因是征地补偿款由财政局直接转给乡镇；本年支出</w:t>
      </w:r>
      <w:r>
        <w:rPr>
          <w:rFonts w:ascii="仿宋_GB2312" w:eastAsia="仿宋_GB2312" w:cs="DengXian-Regular" w:hint="eastAsia"/>
          <w:sz w:val="32"/>
          <w:szCs w:val="32"/>
        </w:rPr>
        <w:t>6417.36</w:t>
      </w:r>
      <w:r>
        <w:rPr>
          <w:rFonts w:ascii="仿宋_GB2312" w:eastAsia="仿宋_GB2312" w:cs="DengXian-Regular" w:hint="eastAsia"/>
          <w:sz w:val="32"/>
          <w:szCs w:val="32"/>
        </w:rPr>
        <w:t>万元，比上年增加</w:t>
      </w:r>
      <w:r>
        <w:rPr>
          <w:rFonts w:ascii="仿宋_GB2312" w:eastAsia="仿宋_GB2312" w:cs="DengXian-Regular" w:hint="eastAsia"/>
          <w:sz w:val="32"/>
          <w:szCs w:val="32"/>
        </w:rPr>
        <w:t>2032.57</w:t>
      </w:r>
      <w:r>
        <w:rPr>
          <w:rFonts w:ascii="仿宋_GB2312" w:eastAsia="仿宋_GB2312" w:cs="DengXian-Regular" w:hint="eastAsia"/>
          <w:sz w:val="32"/>
          <w:szCs w:val="32"/>
        </w:rPr>
        <w:t>万元，增长</w:t>
      </w:r>
      <w:r>
        <w:rPr>
          <w:rFonts w:ascii="仿宋_GB2312" w:eastAsia="仿宋_GB2312" w:cs="DengXian-Regular" w:hint="eastAsia"/>
          <w:sz w:val="32"/>
          <w:szCs w:val="32"/>
        </w:rPr>
        <w:t>46.36%</w:t>
      </w:r>
      <w:r>
        <w:rPr>
          <w:rFonts w:ascii="仿宋_GB2312" w:eastAsia="仿宋_GB2312" w:cs="DengXian-Regular" w:hint="eastAsia"/>
          <w:sz w:val="32"/>
          <w:szCs w:val="32"/>
        </w:rPr>
        <w:t>，主要是加大了公路工程建设力度。</w:t>
      </w:r>
    </w:p>
    <w:p w:rsidR="00D36A06" w:rsidRDefault="00D36A06">
      <w:pPr>
        <w:adjustRightInd w:val="0"/>
        <w:snapToGrid w:val="0"/>
        <w:spacing w:after="0" w:line="240" w:lineRule="auto"/>
        <w:ind w:firstLineChars="200" w:firstLine="640"/>
        <w:rPr>
          <w:rFonts w:ascii="仿宋_GB2312" w:eastAsia="仿宋_GB2312" w:cs="DengXian-Regular"/>
          <w:sz w:val="32"/>
          <w:szCs w:val="32"/>
        </w:rPr>
      </w:pPr>
    </w:p>
    <w:p w:rsidR="00D36A06" w:rsidRDefault="00F64830">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hint="eastAsia"/>
          <w:noProof/>
          <w:sz w:val="32"/>
          <w:szCs w:val="32"/>
        </w:rPr>
        <w:lastRenderedPageBreak/>
        <w:drawing>
          <wp:inline distT="0" distB="0" distL="114300" distR="114300">
            <wp:extent cx="4105275" cy="2716530"/>
            <wp:effectExtent l="0" t="0" r="0" b="0"/>
            <wp:docPr id="1" name="图片 1"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1"/>
                    <pic:cNvPicPr>
                      <a:picLocks noChangeAspect="1"/>
                    </pic:cNvPicPr>
                  </pic:nvPicPr>
                  <pic:blipFill>
                    <a:blip r:embed="rId14"/>
                    <a:stretch>
                      <a:fillRect/>
                    </a:stretch>
                  </pic:blipFill>
                  <pic:spPr>
                    <a:xfrm>
                      <a:off x="0" y="0"/>
                      <a:ext cx="4111188" cy="2720854"/>
                    </a:xfrm>
                    <a:prstGeom prst="rect">
                      <a:avLst/>
                    </a:prstGeom>
                  </pic:spPr>
                </pic:pic>
              </a:graphicData>
            </a:graphic>
          </wp:inline>
        </w:drawing>
      </w:r>
    </w:p>
    <w:p w:rsidR="00D36A06" w:rsidRDefault="00F64830">
      <w:pPr>
        <w:spacing w:after="0" w:line="580" w:lineRule="exact"/>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年度一般公共预算财政拨款收入</w:t>
      </w:r>
      <w:r>
        <w:rPr>
          <w:rFonts w:ascii="仿宋" w:eastAsia="仿宋" w:hAnsi="仿宋" w:cs="仿宋" w:hint="eastAsia"/>
          <w:sz w:val="32"/>
          <w:szCs w:val="32"/>
        </w:rPr>
        <w:t>90</w:t>
      </w:r>
      <w:r>
        <w:rPr>
          <w:rFonts w:ascii="仿宋_GB2312" w:eastAsia="仿宋_GB2312" w:cs="DengXian-Regular" w:hint="eastAsia"/>
          <w:sz w:val="32"/>
          <w:szCs w:val="32"/>
        </w:rPr>
        <w:t>17.8</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268.66%,</w:t>
      </w:r>
      <w:r>
        <w:rPr>
          <w:rFonts w:ascii="仿宋_GB2312" w:eastAsia="仿宋_GB2312" w:cs="DengXian-Regular" w:hint="eastAsia"/>
          <w:sz w:val="32"/>
          <w:szCs w:val="32"/>
        </w:rPr>
        <w:t>比年初预算增加</w:t>
      </w:r>
      <w:r>
        <w:rPr>
          <w:rFonts w:ascii="仿宋_GB2312" w:eastAsia="仿宋_GB2312" w:cs="DengXian-Regular" w:hint="eastAsia"/>
          <w:sz w:val="32"/>
          <w:szCs w:val="32"/>
        </w:rPr>
        <w:t>5661.27</w:t>
      </w:r>
      <w:r>
        <w:rPr>
          <w:rFonts w:ascii="仿宋_GB2312" w:eastAsia="仿宋_GB2312" w:cs="DengXian-Regular" w:hint="eastAsia"/>
          <w:sz w:val="32"/>
          <w:szCs w:val="32"/>
        </w:rPr>
        <w:t>万元，决算数大于预算</w:t>
      </w:r>
      <w:proofErr w:type="gramStart"/>
      <w:r>
        <w:rPr>
          <w:rFonts w:ascii="仿宋_GB2312" w:eastAsia="仿宋_GB2312" w:cs="DengXian-Regular" w:hint="eastAsia"/>
          <w:sz w:val="32"/>
          <w:szCs w:val="32"/>
        </w:rPr>
        <w:t>数主要</w:t>
      </w:r>
      <w:proofErr w:type="gramEnd"/>
      <w:r>
        <w:rPr>
          <w:rFonts w:ascii="仿宋_GB2312" w:eastAsia="仿宋_GB2312" w:cs="DengXian-Regular" w:hint="eastAsia"/>
          <w:sz w:val="32"/>
          <w:szCs w:val="32"/>
        </w:rPr>
        <w:t>原因是加大了公路工程建设力度；本年支出</w:t>
      </w:r>
      <w:r>
        <w:rPr>
          <w:rFonts w:ascii="仿宋_GB2312" w:eastAsia="仿宋_GB2312" w:cs="DengXian-Regular" w:hint="eastAsia"/>
          <w:sz w:val="32"/>
          <w:szCs w:val="32"/>
        </w:rPr>
        <w:t>6417.36</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w:t>
      </w:r>
      <w:r>
        <w:rPr>
          <w:rFonts w:ascii="仿宋" w:eastAsia="仿宋" w:hAnsi="仿宋" w:cs="仿宋" w:hint="eastAsia"/>
          <w:sz w:val="32"/>
          <w:szCs w:val="32"/>
        </w:rPr>
        <w:t>91.19</w:t>
      </w:r>
      <w:r>
        <w:rPr>
          <w:rFonts w:ascii="仿宋_GB2312" w:eastAsia="仿宋_GB2312" w:cs="DengXian-Regular" w:hint="eastAsia"/>
          <w:sz w:val="32"/>
          <w:szCs w:val="32"/>
        </w:rPr>
        <w:t>%,</w:t>
      </w:r>
      <w:r>
        <w:rPr>
          <w:rFonts w:ascii="仿宋_GB2312" w:eastAsia="仿宋_GB2312" w:cs="DengXian-Regular" w:hint="eastAsia"/>
          <w:sz w:val="32"/>
          <w:szCs w:val="32"/>
        </w:rPr>
        <w:t>比年初预算增加</w:t>
      </w:r>
      <w:r>
        <w:rPr>
          <w:rFonts w:ascii="仿宋_GB2312" w:eastAsia="仿宋_GB2312" w:cs="DengXian-Regular" w:hint="eastAsia"/>
          <w:sz w:val="32"/>
          <w:szCs w:val="32"/>
        </w:rPr>
        <w:t>3060.83</w:t>
      </w:r>
      <w:r>
        <w:rPr>
          <w:rFonts w:ascii="仿宋_GB2312" w:eastAsia="仿宋_GB2312" w:cs="DengXian-Regular" w:hint="eastAsia"/>
          <w:sz w:val="32"/>
          <w:szCs w:val="32"/>
        </w:rPr>
        <w:t>万元，决算数大于预算</w:t>
      </w:r>
      <w:proofErr w:type="gramStart"/>
      <w:r>
        <w:rPr>
          <w:rFonts w:ascii="仿宋_GB2312" w:eastAsia="仿宋_GB2312" w:cs="DengXian-Regular" w:hint="eastAsia"/>
          <w:sz w:val="32"/>
          <w:szCs w:val="32"/>
        </w:rPr>
        <w:t>数主要</w:t>
      </w:r>
      <w:proofErr w:type="gramEnd"/>
      <w:r>
        <w:rPr>
          <w:rFonts w:ascii="仿宋_GB2312" w:eastAsia="仿宋_GB2312" w:cs="DengXian-Regular" w:hint="eastAsia"/>
          <w:sz w:val="32"/>
          <w:szCs w:val="32"/>
        </w:rPr>
        <w:t>原因是加大了公路工程建设力度。</w:t>
      </w:r>
    </w:p>
    <w:p w:rsidR="00D36A06" w:rsidRDefault="00F64830">
      <w:pPr>
        <w:adjustRightInd w:val="0"/>
        <w:snapToGrid w:val="0"/>
        <w:spacing w:after="0" w:line="240" w:lineRule="auto"/>
        <w:ind w:firstLineChars="700" w:firstLine="2240"/>
        <w:rPr>
          <w:rFonts w:ascii="仿宋_GB2312" w:eastAsia="仿宋_GB2312" w:cs="DengXian-Regular"/>
          <w:sz w:val="32"/>
          <w:szCs w:val="32"/>
          <w:highlight w:val="yellow"/>
        </w:rPr>
      </w:pPr>
      <w:r>
        <w:rPr>
          <w:rFonts w:ascii="仿宋_GB2312" w:eastAsia="仿宋_GB2312" w:cs="DengXian-Regular" w:hint="eastAsia"/>
          <w:noProof/>
          <w:sz w:val="32"/>
          <w:szCs w:val="32"/>
        </w:rPr>
        <w:drawing>
          <wp:inline distT="0" distB="0" distL="114300" distR="114300">
            <wp:extent cx="3505200" cy="2759075"/>
            <wp:effectExtent l="0" t="0" r="0" b="0"/>
            <wp:docPr id="24" name="图片 24"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图片4"/>
                    <pic:cNvPicPr>
                      <a:picLocks noChangeAspect="1"/>
                    </pic:cNvPicPr>
                  </pic:nvPicPr>
                  <pic:blipFill>
                    <a:blip r:embed="rId15"/>
                    <a:stretch>
                      <a:fillRect/>
                    </a:stretch>
                  </pic:blipFill>
                  <pic:spPr>
                    <a:xfrm>
                      <a:off x="0" y="0"/>
                      <a:ext cx="3518655" cy="2769853"/>
                    </a:xfrm>
                    <a:prstGeom prst="rect">
                      <a:avLst/>
                    </a:prstGeom>
                  </pic:spPr>
                </pic:pic>
              </a:graphicData>
            </a:graphic>
          </wp:inline>
        </w:drawing>
      </w:r>
    </w:p>
    <w:p w:rsidR="00D36A06" w:rsidRDefault="00D36A06">
      <w:pPr>
        <w:adjustRightInd w:val="0"/>
        <w:snapToGrid w:val="0"/>
        <w:spacing w:after="0" w:line="580" w:lineRule="exact"/>
        <w:ind w:firstLineChars="200" w:firstLine="640"/>
        <w:rPr>
          <w:rFonts w:ascii="仿宋_GB2312" w:eastAsia="仿宋_GB2312" w:cs="DengXian-Regular"/>
          <w:sz w:val="32"/>
          <w:szCs w:val="32"/>
          <w:highlight w:val="yellow"/>
        </w:rPr>
      </w:pPr>
    </w:p>
    <w:p w:rsidR="00D36A06" w:rsidRDefault="00F64830">
      <w:pPr>
        <w:adjustRightInd w:val="0"/>
        <w:snapToGrid w:val="0"/>
        <w:spacing w:after="0" w:line="580" w:lineRule="exact"/>
        <w:rPr>
          <w:rFonts w:ascii="楷体_GB2312" w:eastAsia="楷体_GB2312" w:cs="DengXian-Bold"/>
          <w:b/>
          <w:bCs/>
          <w:sz w:val="32"/>
          <w:szCs w:val="32"/>
        </w:rPr>
      </w:pPr>
      <w:r>
        <w:rPr>
          <w:rFonts w:ascii="楷体_GB2312" w:eastAsia="楷体_GB2312" w:cs="DengXian-Bold" w:hint="eastAsia"/>
          <w:b/>
          <w:bCs/>
          <w:sz w:val="32"/>
          <w:szCs w:val="32"/>
        </w:rPr>
        <w:t>（三）财政拨款支出决算结构情况。</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年度财政拨款支出</w:t>
      </w:r>
      <w:r>
        <w:rPr>
          <w:rFonts w:ascii="仿宋_GB2312" w:eastAsia="仿宋_GB2312" w:cs="DengXian-Regular" w:hint="eastAsia"/>
          <w:sz w:val="32"/>
          <w:szCs w:val="32"/>
        </w:rPr>
        <w:t>6417.36</w:t>
      </w:r>
      <w:r>
        <w:rPr>
          <w:rFonts w:ascii="仿宋_GB2312" w:eastAsia="仿宋_GB2312" w:cs="DengXian-Regular" w:hint="eastAsia"/>
          <w:sz w:val="32"/>
          <w:szCs w:val="32"/>
        </w:rPr>
        <w:t>万元，主要用于以下方面：社会保障和就业支出</w:t>
      </w:r>
      <w:r>
        <w:rPr>
          <w:rFonts w:ascii="仿宋" w:eastAsia="仿宋" w:hAnsi="仿宋" w:cs="仿宋" w:hint="eastAsia"/>
          <w:sz w:val="32"/>
          <w:szCs w:val="32"/>
        </w:rPr>
        <w:t>9</w:t>
      </w:r>
      <w:r>
        <w:rPr>
          <w:rFonts w:ascii="仿宋_GB2312" w:eastAsia="仿宋_GB2312" w:cs="DengXian-Regular" w:hint="eastAsia"/>
          <w:sz w:val="32"/>
          <w:szCs w:val="32"/>
        </w:rPr>
        <w:t>1.8</w:t>
      </w:r>
      <w:r>
        <w:rPr>
          <w:rFonts w:ascii="仿宋_GB2312" w:eastAsia="仿宋_GB2312" w:cs="DengXian-Regular" w:hint="eastAsia"/>
          <w:sz w:val="32"/>
          <w:szCs w:val="32"/>
        </w:rPr>
        <w:t>万元，占</w:t>
      </w:r>
      <w:r>
        <w:rPr>
          <w:rFonts w:ascii="仿宋_GB2312" w:eastAsia="仿宋_GB2312" w:cs="DengXian-Regular" w:hint="eastAsia"/>
          <w:sz w:val="32"/>
          <w:szCs w:val="32"/>
        </w:rPr>
        <w:t>1.43%</w:t>
      </w:r>
      <w:r>
        <w:rPr>
          <w:rFonts w:ascii="仿宋_GB2312" w:eastAsia="仿宋_GB2312" w:cs="DengXian-Regular" w:hint="eastAsia"/>
          <w:sz w:val="32"/>
          <w:szCs w:val="32"/>
        </w:rPr>
        <w:t>；城乡社区支出</w:t>
      </w:r>
      <w:r>
        <w:rPr>
          <w:rFonts w:ascii="仿宋_GB2312" w:eastAsia="仿宋_GB2312" w:cs="DengXian-Regular" w:hint="eastAsia"/>
          <w:sz w:val="32"/>
          <w:szCs w:val="32"/>
        </w:rPr>
        <w:t>2</w:t>
      </w:r>
      <w:r>
        <w:rPr>
          <w:rFonts w:ascii="仿宋" w:eastAsia="仿宋" w:hAnsi="仿宋" w:cs="仿宋" w:hint="eastAsia"/>
          <w:sz w:val="32"/>
          <w:szCs w:val="32"/>
        </w:rPr>
        <w:t>9</w:t>
      </w:r>
      <w:r>
        <w:rPr>
          <w:rFonts w:ascii="仿宋_GB2312" w:eastAsia="仿宋_GB2312" w:cs="DengXian-Regular" w:hint="eastAsia"/>
          <w:sz w:val="32"/>
          <w:szCs w:val="32"/>
        </w:rPr>
        <w:t>0.86</w:t>
      </w:r>
      <w:r>
        <w:rPr>
          <w:rFonts w:ascii="仿宋_GB2312" w:eastAsia="仿宋_GB2312" w:cs="DengXian-Regular" w:hint="eastAsia"/>
          <w:sz w:val="32"/>
          <w:szCs w:val="32"/>
        </w:rPr>
        <w:t>万元，占</w:t>
      </w:r>
      <w:r>
        <w:rPr>
          <w:rFonts w:ascii="仿宋_GB2312" w:eastAsia="仿宋_GB2312" w:cs="DengXian-Regular" w:hint="eastAsia"/>
          <w:sz w:val="32"/>
          <w:szCs w:val="32"/>
        </w:rPr>
        <w:t>4.53%</w:t>
      </w:r>
      <w:r>
        <w:rPr>
          <w:rFonts w:ascii="仿宋_GB2312" w:eastAsia="仿宋_GB2312" w:cs="DengXian-Regular" w:hint="eastAsia"/>
          <w:sz w:val="32"/>
          <w:szCs w:val="32"/>
        </w:rPr>
        <w:t>；交通运输支出</w:t>
      </w:r>
      <w:r>
        <w:rPr>
          <w:rFonts w:ascii="仿宋_GB2312" w:eastAsia="仿宋_GB2312" w:cs="DengXian-Regular" w:hint="eastAsia"/>
          <w:sz w:val="32"/>
          <w:szCs w:val="32"/>
        </w:rPr>
        <w:t>6034.7</w:t>
      </w:r>
      <w:r>
        <w:rPr>
          <w:rFonts w:ascii="仿宋_GB2312" w:eastAsia="仿宋_GB2312" w:cs="DengXian-Regular" w:hint="eastAsia"/>
          <w:sz w:val="32"/>
          <w:szCs w:val="32"/>
        </w:rPr>
        <w:t>万元，占</w:t>
      </w:r>
      <w:r>
        <w:rPr>
          <w:rFonts w:ascii="仿宋" w:eastAsia="仿宋" w:hAnsi="仿宋" w:cs="仿宋" w:hint="eastAsia"/>
          <w:sz w:val="32"/>
          <w:szCs w:val="32"/>
        </w:rPr>
        <w:t>9</w:t>
      </w:r>
      <w:r>
        <w:rPr>
          <w:rFonts w:ascii="仿宋_GB2312" w:eastAsia="仿宋_GB2312" w:cs="DengXian-Regular" w:hint="eastAsia"/>
          <w:sz w:val="32"/>
          <w:szCs w:val="32"/>
        </w:rPr>
        <w:t>4.04%</w:t>
      </w:r>
      <w:r>
        <w:rPr>
          <w:rFonts w:ascii="仿宋_GB2312" w:eastAsia="仿宋_GB2312" w:cs="DengXian-Regular" w:hint="eastAsia"/>
          <w:sz w:val="32"/>
          <w:szCs w:val="32"/>
        </w:rPr>
        <w:t>。</w:t>
      </w:r>
    </w:p>
    <w:p w:rsidR="00D36A06" w:rsidRDefault="00D36A06">
      <w:pPr>
        <w:adjustRightInd w:val="0"/>
        <w:snapToGrid w:val="0"/>
        <w:spacing w:after="0" w:line="580" w:lineRule="exact"/>
        <w:rPr>
          <w:rFonts w:ascii="楷体_GB2312" w:eastAsia="楷体_GB2312" w:cs="DengXian-Bold"/>
          <w:b/>
          <w:bCs/>
          <w:sz w:val="32"/>
          <w:szCs w:val="32"/>
        </w:rPr>
      </w:pPr>
    </w:p>
    <w:p w:rsidR="00D36A06" w:rsidRDefault="00F64830" w:rsidP="005B2288">
      <w:pPr>
        <w:adjustRightInd w:val="0"/>
        <w:snapToGrid w:val="0"/>
        <w:spacing w:after="0" w:line="240" w:lineRule="auto"/>
        <w:ind w:firstLineChars="600" w:firstLine="1922"/>
        <w:rPr>
          <w:rFonts w:ascii="楷体_GB2312" w:eastAsia="楷体_GB2312" w:cs="DengXian-Bold"/>
          <w:b/>
          <w:bCs/>
          <w:sz w:val="32"/>
          <w:szCs w:val="32"/>
        </w:rPr>
      </w:pPr>
      <w:r>
        <w:rPr>
          <w:rFonts w:ascii="楷体_GB2312" w:eastAsia="楷体_GB2312" w:cs="DengXian-Bold" w:hint="eastAsia"/>
          <w:b/>
          <w:bCs/>
          <w:noProof/>
          <w:sz w:val="32"/>
          <w:szCs w:val="32"/>
        </w:rPr>
        <w:drawing>
          <wp:inline distT="0" distB="0" distL="114300" distR="114300">
            <wp:extent cx="2847975" cy="2189480"/>
            <wp:effectExtent l="0" t="0" r="0" b="0"/>
            <wp:docPr id="2" name="图片 2"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5"/>
                    <pic:cNvPicPr>
                      <a:picLocks noChangeAspect="1"/>
                    </pic:cNvPicPr>
                  </pic:nvPicPr>
                  <pic:blipFill>
                    <a:blip r:embed="rId16"/>
                    <a:stretch>
                      <a:fillRect/>
                    </a:stretch>
                  </pic:blipFill>
                  <pic:spPr>
                    <a:xfrm>
                      <a:off x="0" y="0"/>
                      <a:ext cx="2854814" cy="2194876"/>
                    </a:xfrm>
                    <a:prstGeom prst="rect">
                      <a:avLst/>
                    </a:prstGeom>
                  </pic:spPr>
                </pic:pic>
              </a:graphicData>
            </a:graphic>
          </wp:inline>
        </w:drawing>
      </w:r>
    </w:p>
    <w:p w:rsidR="00D36A06" w:rsidRDefault="00F64830">
      <w:pPr>
        <w:adjustRightInd w:val="0"/>
        <w:snapToGrid w:val="0"/>
        <w:spacing w:after="0" w:line="580" w:lineRule="exact"/>
        <w:rPr>
          <w:rFonts w:ascii="楷体_GB2312" w:eastAsia="楷体_GB2312" w:cs="DengXian-Bold"/>
          <w:b/>
          <w:bCs/>
          <w:sz w:val="32"/>
          <w:szCs w:val="32"/>
        </w:rPr>
      </w:pPr>
      <w:r>
        <w:rPr>
          <w:rFonts w:ascii="楷体_GB2312" w:eastAsia="楷体_GB2312" w:cs="DengXian-Bold" w:hint="eastAsia"/>
          <w:b/>
          <w:bCs/>
          <w:sz w:val="32"/>
          <w:szCs w:val="32"/>
        </w:rPr>
        <w:t>（四）一般公共预算财政拨款基本支出决算情况说明</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年度一般公共预算财政拨款基本支出</w:t>
      </w:r>
      <w:r>
        <w:rPr>
          <w:rFonts w:ascii="仿宋_GB2312" w:eastAsia="仿宋_GB2312" w:cs="DengXian-Regular" w:hint="eastAsia"/>
          <w:sz w:val="32"/>
          <w:szCs w:val="32"/>
        </w:rPr>
        <w:t>1654.82</w:t>
      </w:r>
      <w:r>
        <w:rPr>
          <w:rFonts w:ascii="仿宋_GB2312" w:eastAsia="仿宋_GB2312" w:cs="DengXian-Regular" w:hint="eastAsia"/>
          <w:sz w:val="32"/>
          <w:szCs w:val="32"/>
        </w:rPr>
        <w:t>万元，其中：人员经费</w:t>
      </w:r>
      <w:r>
        <w:rPr>
          <w:rFonts w:ascii="仿宋_GB2312" w:eastAsia="仿宋_GB2312" w:cs="DengXian-Regular" w:hint="eastAsia"/>
          <w:sz w:val="32"/>
          <w:szCs w:val="32"/>
        </w:rPr>
        <w:t>1376.71</w:t>
      </w:r>
      <w:r>
        <w:rPr>
          <w:rFonts w:ascii="仿宋_GB2312" w:eastAsia="仿宋_GB2312"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hint="eastAsia"/>
          <w:sz w:val="32"/>
          <w:szCs w:val="32"/>
        </w:rPr>
        <w:t>278.11</w:t>
      </w:r>
      <w:r>
        <w:rPr>
          <w:rFonts w:ascii="仿宋_GB2312" w:eastAsia="仿宋_GB2312" w:cs="DengXian-Regular" w:hint="eastAsia"/>
          <w:sz w:val="32"/>
          <w:szCs w:val="32"/>
        </w:rPr>
        <w:t>万元，主要包括办公费、印刷费、咨询费、手续费、水费、电</w:t>
      </w:r>
      <w:r>
        <w:rPr>
          <w:rFonts w:ascii="仿宋_GB2312" w:eastAsia="仿宋_GB2312" w:cs="DengXian-Regular" w:hint="eastAsia"/>
          <w:sz w:val="32"/>
          <w:szCs w:val="32"/>
        </w:rPr>
        <w:lastRenderedPageBreak/>
        <w:t>费、邮电费、取暖费、物业管理费、差旅费、因公出国（境）费用、维修（护）费</w:t>
      </w:r>
      <w:r>
        <w:rPr>
          <w:rFonts w:ascii="仿宋_GB2312" w:eastAsia="仿宋_GB2312" w:cs="DengXian-Regular" w:hint="eastAsia"/>
          <w:sz w:val="32"/>
          <w:szCs w:val="32"/>
        </w:rPr>
        <w:t>、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D36A06" w:rsidRDefault="00F64830">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仿宋" w:eastAsia="仿宋" w:hAnsi="仿宋" w:cs="仿宋" w:hint="eastAsia"/>
          <w:sz w:val="32"/>
          <w:szCs w:val="32"/>
        </w:rPr>
        <w:t>3.99</w:t>
      </w:r>
      <w:r>
        <w:rPr>
          <w:rFonts w:ascii="仿宋" w:eastAsia="仿宋" w:hAnsi="仿宋" w:cs="仿宋" w:hint="eastAsia"/>
          <w:sz w:val="32"/>
          <w:szCs w:val="32"/>
        </w:rPr>
        <w:t>万元，较年初预算减少</w:t>
      </w:r>
      <w:r>
        <w:rPr>
          <w:rFonts w:ascii="仿宋" w:eastAsia="仿宋" w:hAnsi="仿宋" w:cs="仿宋" w:hint="eastAsia"/>
          <w:sz w:val="32"/>
          <w:szCs w:val="32"/>
        </w:rPr>
        <w:t>2.01</w:t>
      </w:r>
      <w:r>
        <w:rPr>
          <w:rFonts w:ascii="仿宋" w:eastAsia="仿宋" w:hAnsi="仿宋" w:cs="仿宋" w:hint="eastAsia"/>
          <w:sz w:val="32"/>
          <w:szCs w:val="32"/>
        </w:rPr>
        <w:t>万元，降低</w:t>
      </w:r>
      <w:r>
        <w:rPr>
          <w:rFonts w:ascii="仿宋" w:eastAsia="仿宋" w:hAnsi="仿宋" w:cs="仿宋" w:hint="eastAsia"/>
          <w:sz w:val="32"/>
          <w:szCs w:val="32"/>
        </w:rPr>
        <w:t>33.5%</w:t>
      </w:r>
      <w:r>
        <w:rPr>
          <w:rFonts w:ascii="仿宋" w:eastAsia="仿宋" w:hAnsi="仿宋" w:cs="仿宋" w:hint="eastAsia"/>
          <w:sz w:val="32"/>
          <w:szCs w:val="32"/>
        </w:rPr>
        <w:t>，</w:t>
      </w:r>
      <w:r>
        <w:rPr>
          <w:rFonts w:ascii="仿宋_GB2312" w:eastAsia="仿宋_GB2312" w:cs="DengXian-Regular" w:hint="eastAsia"/>
          <w:sz w:val="32"/>
          <w:szCs w:val="32"/>
        </w:rPr>
        <w:t>主要是认真贯彻落实中央“八项规定”精神和厉行节约要求，从严控制“三公”经费开支，全年实际支出比预算有所节约。具体情况</w:t>
      </w:r>
      <w:r>
        <w:rPr>
          <w:rFonts w:ascii="仿宋_GB2312" w:eastAsia="仿宋_GB2312" w:cs="DengXian-Regular" w:hint="eastAsia"/>
          <w:sz w:val="32"/>
          <w:szCs w:val="32"/>
        </w:rPr>
        <w:t>如下：</w:t>
      </w:r>
    </w:p>
    <w:p w:rsidR="00D36A06" w:rsidRDefault="00F64830" w:rsidP="005B2288">
      <w:pPr>
        <w:widowControl/>
        <w:ind w:firstLineChars="200" w:firstLine="641"/>
        <w:jc w:val="left"/>
        <w:rPr>
          <w:rFonts w:ascii="仿宋_GB2312" w:eastAsia="仿宋_GB2312" w:cs="DengXian-Bold"/>
          <w:b/>
          <w:bCs/>
          <w:sz w:val="32"/>
          <w:szCs w:val="32"/>
        </w:rPr>
      </w:pPr>
      <w:r>
        <w:rPr>
          <w:rFonts w:ascii="楷体_GB2312" w:eastAsia="楷体_GB2312" w:cs="DengXian-Bold" w:hint="eastAsia"/>
          <w:b/>
          <w:bCs/>
          <w:sz w:val="32"/>
          <w:szCs w:val="32"/>
        </w:rPr>
        <w:t>(</w:t>
      </w:r>
      <w:proofErr w:type="gramStart"/>
      <w:r>
        <w:rPr>
          <w:rFonts w:ascii="楷体_GB2312" w:eastAsia="楷体_GB2312" w:cs="DengXian-Bold" w:hint="eastAsia"/>
          <w:b/>
          <w:bCs/>
          <w:sz w:val="32"/>
          <w:szCs w:val="32"/>
        </w:rPr>
        <w:t>一</w:t>
      </w:r>
      <w:proofErr w:type="gramEnd"/>
      <w:r>
        <w:rPr>
          <w:rFonts w:ascii="楷体_GB2312" w:eastAsia="楷体_GB2312" w:cs="DengXian-Bold" w:hint="eastAsia"/>
          <w:b/>
          <w:bCs/>
          <w:sz w:val="32"/>
          <w:szCs w:val="32"/>
        </w:rPr>
        <w:t>)</w:t>
      </w:r>
      <w:r>
        <w:rPr>
          <w:rFonts w:ascii="楷体_GB2312" w:eastAsia="楷体_GB2312" w:cs="DengXian-Bold" w:hint="eastAsia"/>
          <w:b/>
          <w:bCs/>
          <w:sz w:val="32"/>
          <w:szCs w:val="32"/>
        </w:rPr>
        <w:t>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hAnsi="宋体" w:cs="仿宋_GB2312"/>
          <w:color w:val="000000"/>
          <w:kern w:val="0"/>
          <w:sz w:val="31"/>
          <w:szCs w:val="31"/>
        </w:rPr>
        <w:t>未发生因公出国（境）费用</w:t>
      </w:r>
      <w:r>
        <w:rPr>
          <w:rFonts w:ascii="仿宋_GB2312" w:eastAsia="仿宋_GB2312" w:hAnsi="宋体" w:cs="仿宋_GB2312" w:hint="eastAsia"/>
          <w:color w:val="000000"/>
          <w:kern w:val="0"/>
          <w:sz w:val="31"/>
          <w:szCs w:val="31"/>
        </w:rPr>
        <w:t>，与年初预算持平</w:t>
      </w:r>
      <w:r>
        <w:rPr>
          <w:rFonts w:ascii="仿宋_GB2312" w:eastAsia="仿宋_GB2312" w:hAnsi="宋体" w:cs="仿宋_GB2312" w:hint="eastAsia"/>
          <w:color w:val="000000"/>
          <w:kern w:val="0"/>
          <w:sz w:val="31"/>
          <w:szCs w:val="31"/>
        </w:rPr>
        <w:t>，</w:t>
      </w:r>
      <w:r>
        <w:rPr>
          <w:rFonts w:ascii="仿宋_GB2312" w:eastAsia="仿宋_GB2312" w:hAnsi="宋体" w:cs="仿宋_GB2312" w:hint="eastAsia"/>
          <w:color w:val="000000"/>
          <w:kern w:val="0"/>
          <w:sz w:val="31"/>
          <w:szCs w:val="31"/>
        </w:rPr>
        <w:t>无增减变化</w:t>
      </w:r>
      <w:r>
        <w:rPr>
          <w:rFonts w:ascii="仿宋_GB2312" w:eastAsia="仿宋_GB2312" w:hAnsi="宋体" w:cs="仿宋_GB2312" w:hint="eastAsia"/>
          <w:color w:val="000000"/>
          <w:kern w:val="0"/>
          <w:sz w:val="31"/>
          <w:szCs w:val="31"/>
        </w:rPr>
        <w:t>。</w:t>
      </w:r>
      <w:r>
        <w:rPr>
          <w:rFonts w:ascii="仿宋_GB2312" w:eastAsia="仿宋_GB2312" w:hAnsi="宋体" w:cs="仿宋_GB2312"/>
          <w:color w:val="000000"/>
          <w:kern w:val="0"/>
          <w:sz w:val="31"/>
          <w:szCs w:val="31"/>
        </w:rPr>
        <w:t xml:space="preserve"> </w:t>
      </w:r>
    </w:p>
    <w:p w:rsidR="00D36A06" w:rsidRDefault="00F64830" w:rsidP="005B2288">
      <w:pPr>
        <w:widowControl/>
        <w:ind w:firstLineChars="100" w:firstLine="320"/>
        <w:jc w:val="left"/>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3.99</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年度公务用车购置及运行维护费较年初预算减少</w:t>
      </w:r>
      <w:r>
        <w:rPr>
          <w:rFonts w:ascii="仿宋_GB2312" w:eastAsia="仿宋_GB2312" w:cs="DengXian-Regular" w:hint="eastAsia"/>
          <w:sz w:val="32"/>
          <w:szCs w:val="32"/>
        </w:rPr>
        <w:t>2.01</w:t>
      </w:r>
      <w:r>
        <w:rPr>
          <w:rFonts w:ascii="仿宋_GB2312" w:eastAsia="仿宋_GB2312" w:cs="DengXian-Regular" w:hint="eastAsia"/>
          <w:sz w:val="32"/>
          <w:szCs w:val="32"/>
        </w:rPr>
        <w:t>万元，降低</w:t>
      </w:r>
      <w:r>
        <w:rPr>
          <w:rFonts w:ascii="仿宋_GB2312" w:eastAsia="仿宋_GB2312" w:cs="DengXian-Regular" w:hint="eastAsia"/>
          <w:sz w:val="32"/>
          <w:szCs w:val="32"/>
        </w:rPr>
        <w:t>33.5%,</w:t>
      </w:r>
      <w:r>
        <w:rPr>
          <w:rFonts w:ascii="仿宋_GB2312" w:eastAsia="仿宋_GB2312" w:cs="DengXian-Regular" w:hint="eastAsia"/>
          <w:sz w:val="32"/>
          <w:szCs w:val="32"/>
        </w:rPr>
        <w:t>主要是公车改革，压缩开支。</w:t>
      </w:r>
      <w:r>
        <w:rPr>
          <w:rFonts w:ascii="仿宋_GB2312" w:eastAsia="仿宋_GB2312" w:cs="DengXian-Bold" w:hint="eastAsia"/>
          <w:b/>
          <w:bCs/>
          <w:sz w:val="32"/>
          <w:szCs w:val="32"/>
        </w:rPr>
        <w:t>其中：</w:t>
      </w:r>
    </w:p>
    <w:p w:rsidR="00D36A06" w:rsidRDefault="00F64830" w:rsidP="005B2288">
      <w:pPr>
        <w:widowControl/>
        <w:ind w:firstLineChars="200" w:firstLine="641"/>
        <w:jc w:val="left"/>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辆，未发生“公务用车购置”经费支出，与年初预算持平。</w:t>
      </w:r>
      <w:r>
        <w:rPr>
          <w:rFonts w:ascii="仿宋_GB2312" w:eastAsia="仿宋_GB2312" w:hAnsi="宋体" w:cs="仿宋_GB2312"/>
          <w:color w:val="000000"/>
          <w:kern w:val="0"/>
          <w:sz w:val="31"/>
          <w:szCs w:val="31"/>
        </w:rPr>
        <w:t xml:space="preserve"> </w:t>
      </w:r>
    </w:p>
    <w:p w:rsidR="00D36A06" w:rsidRDefault="00F64830" w:rsidP="005B2288">
      <w:pPr>
        <w:widowControl/>
        <w:ind w:firstLineChars="200" w:firstLine="641"/>
        <w:jc w:val="left"/>
        <w:rPr>
          <w:rFonts w:ascii="仿宋_GB2312" w:eastAsia="仿宋_GB2312" w:cs="DengXian-Regular"/>
          <w:sz w:val="32"/>
          <w:szCs w:val="32"/>
        </w:rPr>
      </w:pPr>
      <w:r>
        <w:rPr>
          <w:rFonts w:ascii="仿宋_GB2312" w:eastAsia="仿宋_GB2312" w:cs="DengXian-Regular" w:hint="eastAsia"/>
          <w:b/>
          <w:sz w:val="32"/>
          <w:szCs w:val="32"/>
        </w:rPr>
        <w:lastRenderedPageBreak/>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2</w:t>
      </w:r>
      <w:r>
        <w:rPr>
          <w:rFonts w:ascii="仿宋_GB2312" w:eastAsia="仿宋_GB2312" w:cs="DengXian-Regular" w:hint="eastAsia"/>
          <w:sz w:val="32"/>
          <w:szCs w:val="32"/>
        </w:rPr>
        <w:t>辆。公车运行维护费支出</w:t>
      </w:r>
      <w:r>
        <w:rPr>
          <w:rFonts w:ascii="仿宋_GB2312" w:eastAsia="仿宋_GB2312" w:cs="DengXian-Regular" w:hint="eastAsia"/>
          <w:sz w:val="32"/>
          <w:szCs w:val="32"/>
        </w:rPr>
        <w:t>3.99</w:t>
      </w:r>
      <w:r>
        <w:rPr>
          <w:rFonts w:ascii="仿宋_GB2312" w:eastAsia="仿宋_GB2312" w:cs="DengXian-Regular" w:hint="eastAsia"/>
          <w:sz w:val="32"/>
          <w:szCs w:val="32"/>
        </w:rPr>
        <w:t>万元，</w:t>
      </w:r>
      <w:r>
        <w:rPr>
          <w:rFonts w:ascii="仿宋_GB2312" w:eastAsia="仿宋_GB2312" w:cs="DengXian-Regular" w:hint="eastAsia"/>
          <w:sz w:val="32"/>
          <w:szCs w:val="32"/>
        </w:rPr>
        <w:t>较年初预算减少</w:t>
      </w:r>
      <w:r>
        <w:rPr>
          <w:rFonts w:ascii="仿宋_GB2312" w:eastAsia="仿宋_GB2312" w:cs="DengXian-Regular" w:hint="eastAsia"/>
          <w:sz w:val="32"/>
          <w:szCs w:val="32"/>
        </w:rPr>
        <w:t>2.01</w:t>
      </w:r>
      <w:r>
        <w:rPr>
          <w:rFonts w:ascii="仿宋_GB2312" w:eastAsia="仿宋_GB2312" w:cs="DengXian-Regular" w:hint="eastAsia"/>
          <w:sz w:val="32"/>
          <w:szCs w:val="32"/>
        </w:rPr>
        <w:t>万元，降低</w:t>
      </w:r>
      <w:r>
        <w:rPr>
          <w:rFonts w:ascii="仿宋_GB2312" w:eastAsia="仿宋_GB2312" w:cs="DengXian-Regular" w:hint="eastAsia"/>
          <w:sz w:val="32"/>
          <w:szCs w:val="32"/>
        </w:rPr>
        <w:t>33.5%,</w:t>
      </w:r>
      <w:r>
        <w:rPr>
          <w:rFonts w:ascii="仿宋_GB2312" w:eastAsia="仿宋_GB2312" w:cs="DengXian-Regular" w:hint="eastAsia"/>
          <w:sz w:val="32"/>
          <w:szCs w:val="32"/>
        </w:rPr>
        <w:t>主要是认真贯彻落实中央“八项规定”精神和厉行节约要求，从</w:t>
      </w:r>
      <w:r>
        <w:rPr>
          <w:rFonts w:ascii="仿宋_GB2312" w:eastAsia="仿宋_GB2312" w:cs="DengXian-Regular"/>
          <w:sz w:val="32"/>
          <w:szCs w:val="32"/>
        </w:rPr>
        <w:t>严控制</w:t>
      </w:r>
      <w:r>
        <w:rPr>
          <w:rFonts w:ascii="仿宋_GB2312" w:eastAsia="仿宋_GB2312" w:cs="DengXian-Regular"/>
          <w:sz w:val="32"/>
          <w:szCs w:val="32"/>
        </w:rPr>
        <w:t>“</w:t>
      </w:r>
      <w:r>
        <w:rPr>
          <w:rFonts w:ascii="仿宋_GB2312" w:eastAsia="仿宋_GB2312" w:cs="DengXian-Regular"/>
          <w:sz w:val="32"/>
          <w:szCs w:val="32"/>
        </w:rPr>
        <w:t>三公</w:t>
      </w:r>
      <w:r>
        <w:rPr>
          <w:rFonts w:ascii="仿宋_GB2312" w:eastAsia="仿宋_GB2312" w:cs="DengXian-Regular"/>
          <w:sz w:val="32"/>
          <w:szCs w:val="32"/>
        </w:rPr>
        <w:t>”</w:t>
      </w:r>
      <w:r>
        <w:rPr>
          <w:rFonts w:ascii="仿宋_GB2312" w:eastAsia="仿宋_GB2312" w:cs="DengXian-Regular"/>
          <w:sz w:val="32"/>
          <w:szCs w:val="32"/>
        </w:rPr>
        <w:t>经费开支</w:t>
      </w:r>
      <w:r>
        <w:rPr>
          <w:rFonts w:ascii="楷体_GB2312" w:eastAsia="楷体_GB2312" w:cs="DengXian-Bold" w:hint="eastAsia"/>
          <w:b/>
          <w:bCs/>
          <w:sz w:val="32"/>
          <w:szCs w:val="32"/>
        </w:rPr>
        <w:t>。</w:t>
      </w:r>
    </w:p>
    <w:p w:rsidR="00D36A06" w:rsidRDefault="00F64830" w:rsidP="005B2288">
      <w:pPr>
        <w:widowControl/>
        <w:ind w:firstLineChars="200" w:firstLine="641"/>
        <w:jc w:val="left"/>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年度公务接待共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人次。本年</w:t>
      </w:r>
      <w:r>
        <w:rPr>
          <w:rFonts w:ascii="仿宋_GB2312" w:eastAsia="仿宋_GB2312" w:hAnsi="宋体" w:cs="仿宋_GB2312"/>
          <w:color w:val="000000"/>
          <w:kern w:val="0"/>
          <w:sz w:val="31"/>
          <w:szCs w:val="31"/>
        </w:rPr>
        <w:t>未发生公务接待费</w:t>
      </w:r>
      <w:r>
        <w:rPr>
          <w:rFonts w:ascii="仿宋_GB2312" w:eastAsia="仿宋_GB2312" w:hAnsi="宋体" w:cs="仿宋_GB2312" w:hint="eastAsia"/>
          <w:color w:val="000000"/>
          <w:kern w:val="0"/>
          <w:sz w:val="31"/>
          <w:szCs w:val="31"/>
        </w:rPr>
        <w:t>，与年初预算持平</w:t>
      </w:r>
    </w:p>
    <w:p w:rsidR="00D36A06" w:rsidRDefault="00F64830">
      <w:pPr>
        <w:pStyle w:val="2"/>
        <w:spacing w:before="0" w:after="0" w:line="580" w:lineRule="exact"/>
        <w:ind w:firstLineChars="200" w:firstLine="643"/>
        <w:rPr>
          <w:rFonts w:ascii="黑体" w:eastAsia="黑体" w:cs="Times New Roman"/>
        </w:rPr>
      </w:pPr>
      <w:r>
        <w:rPr>
          <w:rFonts w:ascii="黑体" w:eastAsia="黑体" w:hint="eastAsia"/>
          <w:szCs w:val="40"/>
        </w:rPr>
        <w:t>六、</w:t>
      </w:r>
      <w:r>
        <w:rPr>
          <w:rFonts w:ascii="黑体" w:eastAsia="黑体" w:cs="Times New Roman" w:hint="eastAsia"/>
        </w:rPr>
        <w:t>绩效预算情况说明</w:t>
      </w:r>
    </w:p>
    <w:p w:rsidR="00D36A06" w:rsidRDefault="00F64830">
      <w:pPr>
        <w:adjustRightInd w:val="0"/>
        <w:snapToGrid w:val="0"/>
        <w:spacing w:after="0" w:line="580" w:lineRule="exact"/>
        <w:ind w:firstLineChars="200" w:firstLine="640"/>
        <w:rPr>
          <w:rFonts w:ascii="仿宋_GB2312" w:eastAsia="仿宋_GB2312" w:cs="DengXian-Regular"/>
          <w:color w:val="FF0000"/>
          <w:sz w:val="32"/>
          <w:szCs w:val="32"/>
        </w:rPr>
      </w:pPr>
      <w:r>
        <w:rPr>
          <w:rFonts w:ascii="仿宋_GB2312" w:eastAsia="仿宋_GB2312" w:cs="DengXian-Regular" w:hint="eastAsia"/>
          <w:sz w:val="32"/>
          <w:szCs w:val="32"/>
        </w:rPr>
        <w:t>（一）绩效管理工作开展情况。根据《关于开展</w:t>
      </w:r>
      <w:r>
        <w:rPr>
          <w:rFonts w:ascii="仿宋_GB2312" w:eastAsia="仿宋_GB2312" w:cs="DengXian-Regular" w:hint="eastAsia"/>
          <w:sz w:val="32"/>
          <w:szCs w:val="32"/>
        </w:rPr>
        <w:t>2018</w:t>
      </w:r>
      <w:r>
        <w:rPr>
          <w:rFonts w:ascii="仿宋_GB2312" w:eastAsia="仿宋_GB2312" w:cs="DengXian-Regular" w:hint="eastAsia"/>
          <w:sz w:val="32"/>
          <w:szCs w:val="32"/>
        </w:rPr>
        <w:t>年度财政专项资金部门绩效自评价工作的通知》（</w:t>
      </w:r>
      <w:r w:rsidR="005B2288">
        <w:rPr>
          <w:rFonts w:ascii="仿宋_GB2312" w:eastAsia="仿宋_GB2312" w:cs="DengXian-Regular" w:hint="eastAsia"/>
          <w:sz w:val="32"/>
          <w:szCs w:val="32"/>
        </w:rPr>
        <w:t>无财[2019]13号</w:t>
      </w:r>
      <w:r>
        <w:rPr>
          <w:rFonts w:ascii="仿宋_GB2312" w:eastAsia="仿宋_GB2312" w:cs="DengXian-Regular" w:hint="eastAsia"/>
          <w:sz w:val="32"/>
          <w:szCs w:val="32"/>
        </w:rPr>
        <w:t>），本单位认真开展了预算绩效管理改革开展情况自查，对部门全面规范绩效预算编制、严格预算执行管理、推进绩效评价工作、推进预决算信息公开等方面进行了自评，考核结果为良好。</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（二）预算项目绩效评价开展情况根据预算绩效管理要求，本单位组织对</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年度一般公共预算项目支出全面开展绩效自评，涉及公路占地补偿、农村公路建设、无极县正</w:t>
      </w:r>
      <w:proofErr w:type="gramStart"/>
      <w:r>
        <w:rPr>
          <w:rFonts w:ascii="仿宋_GB2312" w:eastAsia="仿宋_GB2312" w:cs="DengXian-Regular" w:hint="eastAsia"/>
          <w:sz w:val="32"/>
          <w:szCs w:val="32"/>
        </w:rPr>
        <w:t>无路至史村</w:t>
      </w:r>
      <w:proofErr w:type="gramEnd"/>
      <w:r>
        <w:rPr>
          <w:rFonts w:ascii="仿宋_GB2312" w:eastAsia="仿宋_GB2312" w:cs="DengXian-Regular" w:hint="eastAsia"/>
          <w:sz w:val="32"/>
          <w:szCs w:val="32"/>
        </w:rPr>
        <w:t>道路改建工程、农村路网改建工程等</w:t>
      </w:r>
      <w:r>
        <w:rPr>
          <w:rFonts w:ascii="仿宋_GB2312" w:eastAsia="仿宋_GB2312" w:cs="DengXian-Regular" w:hint="eastAsia"/>
          <w:sz w:val="32"/>
          <w:szCs w:val="32"/>
        </w:rPr>
        <w:t>44</w:t>
      </w:r>
      <w:r>
        <w:rPr>
          <w:rFonts w:ascii="仿宋_GB2312" w:eastAsia="仿宋_GB2312" w:cs="DengXian-Regular" w:hint="eastAsia"/>
          <w:sz w:val="32"/>
          <w:szCs w:val="32"/>
        </w:rPr>
        <w:t>个项目，涉及资金</w:t>
      </w:r>
      <w:r>
        <w:rPr>
          <w:rFonts w:ascii="仿宋_GB2312" w:eastAsia="仿宋_GB2312" w:cs="DengXian-Regular" w:hint="eastAsia"/>
          <w:sz w:val="32"/>
          <w:szCs w:val="32"/>
        </w:rPr>
        <w:t>4471.</w:t>
      </w:r>
      <w:r>
        <w:rPr>
          <w:rFonts w:ascii="仿宋" w:eastAsia="仿宋" w:hAnsi="仿宋" w:cs="仿宋" w:hint="eastAsia"/>
          <w:sz w:val="32"/>
          <w:szCs w:val="32"/>
        </w:rPr>
        <w:t>69</w:t>
      </w:r>
      <w:r>
        <w:rPr>
          <w:rFonts w:ascii="仿宋_GB2312" w:eastAsia="仿宋_GB2312" w:cs="DengXian-Regular" w:hint="eastAsia"/>
          <w:sz w:val="32"/>
          <w:szCs w:val="32"/>
        </w:rPr>
        <w:t>万元。从评价情况看，评价结果为优秀的项目有</w:t>
      </w:r>
      <w:r>
        <w:rPr>
          <w:rFonts w:ascii="仿宋_GB2312" w:eastAsia="仿宋_GB2312" w:cs="DengXian-Regular" w:hint="eastAsia"/>
          <w:sz w:val="32"/>
          <w:szCs w:val="32"/>
        </w:rPr>
        <w:t>4</w:t>
      </w:r>
      <w:r>
        <w:rPr>
          <w:rFonts w:ascii="仿宋_GB2312" w:eastAsia="仿宋_GB2312" w:cs="DengXian-Regular" w:hint="eastAsia"/>
          <w:sz w:val="32"/>
          <w:szCs w:val="32"/>
        </w:rPr>
        <w:t>个，良好的项目有</w:t>
      </w:r>
      <w:r>
        <w:rPr>
          <w:rFonts w:ascii="仿宋_GB2312" w:eastAsia="仿宋_GB2312" w:cs="DengXian-Regular" w:hint="eastAsia"/>
          <w:sz w:val="32"/>
          <w:szCs w:val="32"/>
        </w:rPr>
        <w:t>32</w:t>
      </w:r>
      <w:r>
        <w:rPr>
          <w:rFonts w:ascii="仿宋_GB2312" w:eastAsia="仿宋_GB2312" w:cs="DengXian-Regular" w:hint="eastAsia"/>
          <w:sz w:val="32"/>
          <w:szCs w:val="32"/>
        </w:rPr>
        <w:t>个，一般的项目有</w:t>
      </w:r>
      <w:r>
        <w:rPr>
          <w:rFonts w:ascii="仿宋_GB2312" w:eastAsia="仿宋_GB2312" w:cs="DengXian-Regular" w:hint="eastAsia"/>
          <w:sz w:val="32"/>
          <w:szCs w:val="32"/>
        </w:rPr>
        <w:t>8</w:t>
      </w:r>
      <w:r>
        <w:rPr>
          <w:rFonts w:ascii="仿宋_GB2312" w:eastAsia="仿宋_GB2312" w:cs="DengXian-Regular" w:hint="eastAsia"/>
          <w:sz w:val="32"/>
          <w:szCs w:val="32"/>
        </w:rPr>
        <w:t>个。</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（三）预算项目绩效自评</w:t>
      </w:r>
      <w:r>
        <w:rPr>
          <w:rFonts w:ascii="仿宋_GB2312" w:eastAsia="仿宋_GB2312" w:cs="DengXian-Regular" w:hint="eastAsia"/>
          <w:sz w:val="32"/>
          <w:szCs w:val="32"/>
        </w:rPr>
        <w:t>选例</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lastRenderedPageBreak/>
        <w:t>本单位公路占地补偿项目绩效自评：根据年初设定的绩效目标，公路占地补偿项目自评结果为优秀。项目全年预算数为</w:t>
      </w:r>
      <w:r>
        <w:rPr>
          <w:rFonts w:ascii="仿宋_GB2312" w:eastAsia="仿宋_GB2312" w:cs="DengXian-Regular" w:hint="eastAsia"/>
          <w:sz w:val="32"/>
          <w:szCs w:val="32"/>
        </w:rPr>
        <w:t>290.86</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100%</w:t>
      </w:r>
      <w:r>
        <w:rPr>
          <w:rFonts w:ascii="仿宋_GB2312" w:eastAsia="仿宋_GB2312" w:cs="DengXian-Regular" w:hint="eastAsia"/>
          <w:sz w:val="32"/>
          <w:szCs w:val="32"/>
        </w:rPr>
        <w:t>。主要产出和效果是占地补偿款足额到位。</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本单位农村公路建设项目绩效自评：根据年初设定的绩效目标，农村公路建设项目自评结果为优秀。项目全年预算数为</w:t>
      </w:r>
      <w:r>
        <w:rPr>
          <w:rFonts w:ascii="仿宋_GB2312" w:eastAsia="仿宋_GB2312" w:cs="DengXian-Regular" w:hint="eastAsia"/>
          <w:sz w:val="32"/>
          <w:szCs w:val="32"/>
        </w:rPr>
        <w:t>300</w:t>
      </w:r>
      <w:r>
        <w:rPr>
          <w:rFonts w:ascii="仿宋_GB2312" w:eastAsia="仿宋_GB2312" w:cs="DengXian-Regular" w:hint="eastAsia"/>
          <w:sz w:val="32"/>
          <w:szCs w:val="32"/>
        </w:rPr>
        <w:t>万元。完成预算的</w:t>
      </w:r>
      <w:r>
        <w:rPr>
          <w:rFonts w:ascii="仿宋_GB2312" w:eastAsia="仿宋_GB2312" w:cs="DengXian-Regular" w:hint="eastAsia"/>
          <w:sz w:val="32"/>
          <w:szCs w:val="32"/>
        </w:rPr>
        <w:t>60.73%</w:t>
      </w:r>
      <w:r>
        <w:rPr>
          <w:rFonts w:ascii="仿宋_GB2312" w:eastAsia="仿宋_GB2312" w:cs="DengXian-Regular" w:hint="eastAsia"/>
          <w:sz w:val="32"/>
          <w:szCs w:val="32"/>
        </w:rPr>
        <w:t>。主要产出和效果是农村道路更加通畅，方便了出行。</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本单位无极县正</w:t>
      </w:r>
      <w:proofErr w:type="gramStart"/>
      <w:r>
        <w:rPr>
          <w:rFonts w:ascii="仿宋_GB2312" w:eastAsia="仿宋_GB2312" w:cs="DengXian-Regular" w:hint="eastAsia"/>
          <w:sz w:val="32"/>
          <w:szCs w:val="32"/>
        </w:rPr>
        <w:t>无路至史村</w:t>
      </w:r>
      <w:proofErr w:type="gramEnd"/>
      <w:r>
        <w:rPr>
          <w:rFonts w:ascii="仿宋_GB2312" w:eastAsia="仿宋_GB2312" w:cs="DengXian-Regular" w:hint="eastAsia"/>
          <w:sz w:val="32"/>
          <w:szCs w:val="32"/>
        </w:rPr>
        <w:t>道路改建工程项目绩效自评：根据年初设定的绩效目标，农村公路建设项目自评结果为优秀。项目全年预算数为</w:t>
      </w:r>
      <w:r>
        <w:rPr>
          <w:rFonts w:ascii="仿宋_GB2312" w:eastAsia="仿宋_GB2312" w:cs="DengXian-Regular" w:hint="eastAsia"/>
          <w:sz w:val="32"/>
          <w:szCs w:val="32"/>
        </w:rPr>
        <w:t>200</w:t>
      </w:r>
      <w:r>
        <w:rPr>
          <w:rFonts w:ascii="仿宋_GB2312" w:eastAsia="仿宋_GB2312" w:cs="DengXian-Regular" w:hint="eastAsia"/>
          <w:sz w:val="32"/>
          <w:szCs w:val="32"/>
        </w:rPr>
        <w:t>万元。完成</w:t>
      </w:r>
      <w:r>
        <w:rPr>
          <w:rFonts w:ascii="仿宋_GB2312" w:eastAsia="仿宋_GB2312" w:cs="DengXian-Regular" w:hint="eastAsia"/>
          <w:sz w:val="32"/>
          <w:szCs w:val="32"/>
        </w:rPr>
        <w:t>预算的</w:t>
      </w:r>
      <w:r>
        <w:rPr>
          <w:rFonts w:ascii="仿宋_GB2312" w:eastAsia="仿宋_GB2312" w:cs="DengXian-Regular" w:hint="eastAsia"/>
          <w:sz w:val="32"/>
          <w:szCs w:val="32"/>
        </w:rPr>
        <w:t>100%</w:t>
      </w:r>
      <w:r>
        <w:rPr>
          <w:rFonts w:ascii="仿宋_GB2312" w:eastAsia="仿宋_GB2312" w:cs="DengXian-Regular" w:hint="eastAsia"/>
          <w:sz w:val="32"/>
          <w:szCs w:val="32"/>
        </w:rPr>
        <w:t>。主要产出和效果是道路通畅，方便了出行。</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本单位农村路网改建工程项目绩效自评：根据年初设定的绩效目标，农村公路建设项目自评结果为优秀。项目全年预算数为</w:t>
      </w:r>
      <w:r>
        <w:rPr>
          <w:rFonts w:ascii="仿宋_GB2312" w:eastAsia="仿宋_GB2312" w:cs="DengXian-Regular" w:hint="eastAsia"/>
          <w:sz w:val="32"/>
          <w:szCs w:val="32"/>
        </w:rPr>
        <w:t>750</w:t>
      </w:r>
      <w:r>
        <w:rPr>
          <w:rFonts w:ascii="仿宋_GB2312" w:eastAsia="仿宋_GB2312" w:cs="DengXian-Regular" w:hint="eastAsia"/>
          <w:sz w:val="32"/>
          <w:szCs w:val="32"/>
        </w:rPr>
        <w:t>万元。完成预算的</w:t>
      </w:r>
      <w:r>
        <w:rPr>
          <w:rFonts w:ascii="仿宋" w:eastAsia="仿宋" w:hAnsi="仿宋" w:cs="仿宋" w:hint="eastAsia"/>
          <w:sz w:val="32"/>
          <w:szCs w:val="32"/>
        </w:rPr>
        <w:t>9</w:t>
      </w:r>
      <w:r>
        <w:rPr>
          <w:rFonts w:ascii="仿宋_GB2312" w:eastAsia="仿宋_GB2312" w:cs="DengXian-Regular" w:hint="eastAsia"/>
          <w:sz w:val="32"/>
          <w:szCs w:val="32"/>
        </w:rPr>
        <w:t>3.75%</w:t>
      </w:r>
      <w:r>
        <w:rPr>
          <w:rFonts w:ascii="仿宋_GB2312" w:eastAsia="仿宋_GB2312" w:cs="DengXian-Regular" w:hint="eastAsia"/>
          <w:sz w:val="32"/>
          <w:szCs w:val="32"/>
        </w:rPr>
        <w:t>。主要产出和效果是为农村公路营造了“畅、洁、绿、美”的氛围。</w:t>
      </w:r>
    </w:p>
    <w:p w:rsidR="00D36A06" w:rsidRDefault="00F64830">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D36A06" w:rsidRDefault="00F64830" w:rsidP="005B2288">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（一）机关运行经费情况</w:t>
      </w:r>
    </w:p>
    <w:p w:rsidR="00D36A06" w:rsidRDefault="00F64830">
      <w:pPr>
        <w:widowControl/>
        <w:spacing w:after="0" w:line="560" w:lineRule="exact"/>
        <w:ind w:firstLineChars="200" w:firstLine="640"/>
        <w:rPr>
          <w:rFonts w:ascii="仿宋_GB2312" w:eastAsia="仿宋_GB2312" w:hAnsiTheme="majorEastAsia"/>
          <w:color w:val="000000"/>
          <w:kern w:val="0"/>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64.45</w:t>
      </w:r>
      <w:r>
        <w:rPr>
          <w:rFonts w:ascii="仿宋_GB2312" w:eastAsia="仿宋_GB2312" w:cs="DengXian-Regular" w:hint="eastAsia"/>
          <w:sz w:val="32"/>
          <w:szCs w:val="32"/>
        </w:rPr>
        <w:t>万元，比年初预算数增加</w:t>
      </w:r>
      <w:r>
        <w:rPr>
          <w:rFonts w:ascii="仿宋_GB2312" w:eastAsia="仿宋_GB2312" w:cs="DengXian-Regular" w:hint="eastAsia"/>
          <w:sz w:val="32"/>
          <w:szCs w:val="32"/>
        </w:rPr>
        <w:t>53.35</w:t>
      </w:r>
      <w:r>
        <w:rPr>
          <w:rFonts w:ascii="仿宋_GB2312" w:eastAsia="仿宋_GB2312" w:cs="DengXian-Regular" w:hint="eastAsia"/>
          <w:sz w:val="32"/>
          <w:szCs w:val="32"/>
        </w:rPr>
        <w:t>万元，增长</w:t>
      </w:r>
      <w:r>
        <w:rPr>
          <w:rFonts w:ascii="仿宋_GB2312" w:eastAsia="仿宋_GB2312" w:cs="DengXian-Regular" w:hint="eastAsia"/>
          <w:sz w:val="32"/>
          <w:szCs w:val="32"/>
        </w:rPr>
        <w:t>480.63%</w:t>
      </w:r>
      <w:r>
        <w:rPr>
          <w:rFonts w:ascii="仿宋_GB2312" w:eastAsia="仿宋_GB2312" w:cs="DengXian-Regular" w:hint="eastAsia"/>
          <w:sz w:val="32"/>
          <w:szCs w:val="32"/>
        </w:rPr>
        <w:t>。主要原因是年初预算只做了公车补贴，</w:t>
      </w:r>
      <w:r>
        <w:rPr>
          <w:rFonts w:ascii="仿宋_GB2312" w:eastAsia="仿宋_GB2312" w:hAnsiTheme="majorEastAsia" w:hint="eastAsia"/>
          <w:color w:val="000000"/>
          <w:kern w:val="0"/>
          <w:sz w:val="32"/>
          <w:szCs w:val="32"/>
        </w:rPr>
        <w:t>办公及印刷费、邮电费、差旅费、会议费、福利费、日常维修费、专用材料以及一般设备购置费、办公用房水</w:t>
      </w:r>
      <w:r>
        <w:rPr>
          <w:rFonts w:ascii="仿宋_GB2312" w:eastAsia="仿宋_GB2312" w:hAnsiTheme="majorEastAsia" w:hint="eastAsia"/>
          <w:color w:val="000000"/>
          <w:kern w:val="0"/>
          <w:sz w:val="32"/>
          <w:szCs w:val="32"/>
        </w:rPr>
        <w:lastRenderedPageBreak/>
        <w:t>电费、办公用房取暖费、办公用房物业管理费、公务用车运行维护费以及其他费用未列入预算。</w:t>
      </w:r>
    </w:p>
    <w:p w:rsidR="00D36A06" w:rsidRDefault="00F64830" w:rsidP="005B2288">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（二）政府采购情况</w:t>
      </w:r>
    </w:p>
    <w:p w:rsidR="00D36A06" w:rsidRDefault="00F64830">
      <w:pPr>
        <w:widowControl/>
        <w:spacing w:after="0"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1271.44</w:t>
      </w:r>
      <w:r>
        <w:rPr>
          <w:rFonts w:ascii="仿宋_GB2312" w:eastAsia="仿宋_GB2312"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30</w:t>
      </w:r>
      <w:r>
        <w:rPr>
          <w:rFonts w:ascii="仿宋" w:eastAsia="仿宋" w:hAnsi="仿宋" w:cs="仿宋" w:hint="eastAsia"/>
          <w:color w:val="000000"/>
          <w:kern w:val="0"/>
          <w:sz w:val="32"/>
          <w:szCs w:val="32"/>
        </w:rPr>
        <w:t>2.9</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837.54</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hint="eastAsia"/>
          <w:color w:val="000000"/>
          <w:kern w:val="0"/>
          <w:sz w:val="32"/>
          <w:szCs w:val="32"/>
        </w:rPr>
        <w:t>131</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color w:val="000000"/>
          <w:kern w:val="0"/>
          <w:sz w:val="32"/>
          <w:szCs w:val="32"/>
        </w:rPr>
        <w:t>万元。</w:t>
      </w:r>
    </w:p>
    <w:p w:rsidR="00D36A06" w:rsidRDefault="00F64830" w:rsidP="005B2288">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（三）国有资产占用情况</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2018</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hint="eastAsia"/>
          <w:sz w:val="32"/>
          <w:szCs w:val="32"/>
        </w:rPr>
        <w:t>23</w:t>
      </w:r>
      <w:r>
        <w:rPr>
          <w:rFonts w:ascii="仿宋_GB2312" w:eastAsia="仿宋_GB2312" w:cs="DengXian-Regular" w:hint="eastAsia"/>
          <w:sz w:val="32"/>
          <w:szCs w:val="32"/>
        </w:rPr>
        <w:t>辆，比上年增加</w:t>
      </w:r>
      <w:r>
        <w:rPr>
          <w:rFonts w:ascii="仿宋_GB2312" w:eastAsia="仿宋_GB2312" w:cs="DengXian-Regular" w:hint="eastAsia"/>
          <w:sz w:val="32"/>
          <w:szCs w:val="32"/>
        </w:rPr>
        <w:t>2</w:t>
      </w:r>
      <w:r>
        <w:rPr>
          <w:rFonts w:ascii="仿宋_GB2312" w:eastAsia="仿宋_GB2312" w:cs="DengXian-Regular" w:hint="eastAsia"/>
          <w:sz w:val="32"/>
          <w:szCs w:val="32"/>
        </w:rPr>
        <w:t>辆，主要是办公需求，购置其他车辆</w:t>
      </w:r>
      <w:r>
        <w:rPr>
          <w:rFonts w:ascii="仿宋_GB2312" w:eastAsia="仿宋_GB2312" w:cs="DengXian-Regular" w:hint="eastAsia"/>
          <w:sz w:val="32"/>
          <w:szCs w:val="32"/>
        </w:rPr>
        <w:t>2</w:t>
      </w:r>
      <w:r>
        <w:rPr>
          <w:rFonts w:ascii="仿宋_GB2312" w:eastAsia="仿宋_GB2312" w:cs="DengXian-Regular" w:hint="eastAsia"/>
          <w:sz w:val="32"/>
          <w:szCs w:val="32"/>
        </w:rPr>
        <w:t>辆。其中，主要领导干</w:t>
      </w:r>
      <w:r>
        <w:rPr>
          <w:rFonts w:ascii="仿宋_GB2312" w:eastAsia="仿宋_GB2312" w:cs="DengXian-Regular" w:hint="eastAsia"/>
          <w:sz w:val="32"/>
          <w:szCs w:val="32"/>
        </w:rPr>
        <w:t>部用车</w:t>
      </w:r>
      <w:r>
        <w:rPr>
          <w:rFonts w:ascii="仿宋_GB2312" w:eastAsia="仿宋_GB2312" w:cs="DengXian-Regular" w:hint="eastAsia"/>
          <w:sz w:val="32"/>
          <w:szCs w:val="32"/>
        </w:rPr>
        <w:t>1</w:t>
      </w:r>
      <w:r>
        <w:rPr>
          <w:rFonts w:ascii="仿宋_GB2312" w:eastAsia="仿宋_GB2312" w:cs="DengXian-Regular" w:hint="eastAsia"/>
          <w:sz w:val="32"/>
          <w:szCs w:val="32"/>
        </w:rPr>
        <w:t>辆，应急保障用车</w:t>
      </w:r>
      <w:r>
        <w:rPr>
          <w:rFonts w:ascii="仿宋_GB2312" w:eastAsia="仿宋_GB2312" w:cs="DengXian-Regular" w:hint="eastAsia"/>
          <w:sz w:val="32"/>
          <w:szCs w:val="32"/>
        </w:rPr>
        <w:t>1</w:t>
      </w:r>
      <w:r>
        <w:rPr>
          <w:rFonts w:ascii="仿宋_GB2312" w:eastAsia="仿宋_GB2312" w:cs="DengXian-Regular" w:hint="eastAsia"/>
          <w:sz w:val="32"/>
          <w:szCs w:val="32"/>
        </w:rPr>
        <w:t>辆，执法执勤用车</w:t>
      </w:r>
      <w:r>
        <w:rPr>
          <w:rFonts w:ascii="仿宋_GB2312" w:eastAsia="仿宋_GB2312" w:cs="DengXian-Regular" w:hint="eastAsia"/>
          <w:sz w:val="32"/>
          <w:szCs w:val="32"/>
        </w:rPr>
        <w:t>7</w:t>
      </w:r>
      <w:r>
        <w:rPr>
          <w:rFonts w:ascii="仿宋_GB2312" w:eastAsia="仿宋_GB2312" w:cs="DengXian-Regular" w:hint="eastAsia"/>
          <w:sz w:val="32"/>
          <w:szCs w:val="32"/>
        </w:rPr>
        <w:t>辆，其他用车</w:t>
      </w:r>
      <w:r>
        <w:rPr>
          <w:rFonts w:ascii="仿宋_GB2312" w:eastAsia="仿宋_GB2312" w:cs="DengXian-Regular" w:hint="eastAsia"/>
          <w:sz w:val="32"/>
          <w:szCs w:val="32"/>
        </w:rPr>
        <w:t>14</w:t>
      </w:r>
      <w:r>
        <w:rPr>
          <w:rFonts w:ascii="仿宋_GB2312" w:eastAsia="仿宋_GB2312" w:cs="DengXian-Regular" w:hint="eastAsia"/>
          <w:sz w:val="32"/>
          <w:szCs w:val="32"/>
        </w:rPr>
        <w:t>辆，其他用车主要是机械施工车辆等；单位价值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w:t>
      </w:r>
      <w:r>
        <w:rPr>
          <w:rFonts w:ascii="仿宋_GB2312" w:eastAsia="仿宋_GB2312" w:cs="DengXian-Regular" w:hint="eastAsia"/>
          <w:sz w:val="32"/>
          <w:szCs w:val="32"/>
        </w:rPr>
        <w:t>5</w:t>
      </w:r>
      <w:r>
        <w:rPr>
          <w:rFonts w:ascii="仿宋_GB2312" w:eastAsia="仿宋_GB2312" w:cs="DengXian-Regular" w:hint="eastAsia"/>
          <w:sz w:val="32"/>
          <w:szCs w:val="32"/>
        </w:rPr>
        <w:t>台，比上年增加</w:t>
      </w:r>
      <w:r>
        <w:rPr>
          <w:rFonts w:ascii="仿宋_GB2312" w:eastAsia="仿宋_GB2312" w:cs="DengXian-Regular" w:hint="eastAsia"/>
          <w:sz w:val="32"/>
          <w:szCs w:val="32"/>
        </w:rPr>
        <w:t>3</w:t>
      </w:r>
      <w:r>
        <w:rPr>
          <w:rFonts w:ascii="仿宋_GB2312" w:eastAsia="仿宋_GB2312" w:cs="DengXian-Regular" w:hint="eastAsia"/>
          <w:sz w:val="32"/>
          <w:szCs w:val="32"/>
        </w:rPr>
        <w:t>台，主要是机械施工车辆</w:t>
      </w:r>
      <w:r>
        <w:rPr>
          <w:rFonts w:ascii="仿宋_GB2312" w:eastAsia="仿宋_GB2312" w:cs="DengXian-Regular" w:hint="eastAsia"/>
          <w:sz w:val="32"/>
          <w:szCs w:val="32"/>
        </w:rPr>
        <w:t xml:space="preserve"> </w:t>
      </w:r>
      <w:r>
        <w:rPr>
          <w:rFonts w:ascii="仿宋_GB2312" w:eastAsia="仿宋_GB2312" w:cs="DengXian-Regular" w:hint="eastAsia"/>
          <w:sz w:val="32"/>
          <w:szCs w:val="32"/>
        </w:rPr>
        <w:t>。</w:t>
      </w:r>
    </w:p>
    <w:p w:rsidR="00D36A06" w:rsidRDefault="00F64830" w:rsidP="005B2288">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（四）其他需要说明的情况</w:t>
      </w:r>
    </w:p>
    <w:p w:rsidR="00D36A06" w:rsidRDefault="00F64830">
      <w:pPr>
        <w:widowControl/>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proofErr w:type="gramStart"/>
      <w:r>
        <w:rPr>
          <w:rFonts w:ascii="仿宋_GB2312" w:eastAsia="仿宋_GB2312" w:hAnsi="宋体" w:cs="仿宋_GB2312"/>
          <w:color w:val="000000"/>
          <w:kern w:val="0"/>
          <w:sz w:val="31"/>
          <w:szCs w:val="31"/>
        </w:rPr>
        <w:t>度</w:t>
      </w:r>
      <w:proofErr w:type="gramEnd"/>
      <w:r>
        <w:rPr>
          <w:rFonts w:ascii="仿宋_GB2312" w:eastAsia="仿宋_GB2312" w:hAnsi="宋体" w:cs="仿宋_GB2312"/>
          <w:color w:val="000000"/>
          <w:kern w:val="0"/>
          <w:sz w:val="31"/>
          <w:szCs w:val="31"/>
        </w:rPr>
        <w:t>国有资本经营财政拨款无收支及结转结余情况</w:t>
      </w:r>
      <w:r>
        <w:rPr>
          <w:rFonts w:ascii="仿宋_GB2312" w:eastAsia="仿宋_GB2312" w:cs="DengXian-Regular" w:hint="eastAsia"/>
          <w:sz w:val="32"/>
          <w:szCs w:val="32"/>
        </w:rPr>
        <w:t>，故</w:t>
      </w:r>
      <w:r>
        <w:rPr>
          <w:rFonts w:ascii="仿宋_GB2312" w:eastAsia="仿宋_GB2312" w:hAnsi="宋体" w:cs="仿宋_GB2312"/>
          <w:color w:val="000000"/>
          <w:kern w:val="0"/>
          <w:sz w:val="31"/>
          <w:szCs w:val="31"/>
        </w:rPr>
        <w:t>国有资本经营预算财政拨款支出决算表</w:t>
      </w:r>
      <w:r>
        <w:rPr>
          <w:rFonts w:ascii="仿宋_GB2312" w:eastAsia="仿宋_GB2312" w:cs="DengXian-Regular" w:hint="eastAsia"/>
          <w:sz w:val="32"/>
          <w:szCs w:val="32"/>
        </w:rPr>
        <w:t>以空表列示。</w:t>
      </w:r>
    </w:p>
    <w:p w:rsidR="00D36A06" w:rsidRDefault="00F64830">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D36A06" w:rsidRDefault="00D36A06">
      <w:pPr>
        <w:widowControl/>
        <w:spacing w:after="0" w:line="580" w:lineRule="exact"/>
        <w:ind w:firstLineChars="200" w:firstLine="883"/>
        <w:jc w:val="left"/>
        <w:rPr>
          <w:rFonts w:asciiTheme="majorEastAsia" w:eastAsiaTheme="majorEastAsia" w:hAnsiTheme="majorEastAsia" w:cs="MS-UIGothic,Bold"/>
          <w:b/>
          <w:bCs/>
          <w:kern w:val="0"/>
          <w:sz w:val="44"/>
          <w:szCs w:val="44"/>
        </w:rPr>
        <w:sectPr w:rsidR="00D36A06">
          <w:pgSz w:w="11906" w:h="16838"/>
          <w:pgMar w:top="2098" w:right="1474" w:bottom="1984" w:left="1588" w:header="851" w:footer="992" w:gutter="0"/>
          <w:cols w:space="0"/>
          <w:docGrid w:type="lines" w:linePitch="312"/>
        </w:sectPr>
      </w:pPr>
    </w:p>
    <w:p w:rsidR="00D36A06" w:rsidRDefault="00F64830">
      <w:pPr>
        <w:rPr>
          <w:rFonts w:ascii="宋体" w:hAnsi="宋体" w:cs="ArialUnicodeMS"/>
          <w:color w:val="000000"/>
          <w:kern w:val="0"/>
        </w:rPr>
        <w:sectPr w:rsidR="00D36A06">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Pr>
          <w:sz w:val="72"/>
        </w:rPr>
        <w:pict>
          <v:shape id="_x0000_s1027" type="#_x0000_t202" style="position:absolute;left:0;text-align:left;margin-left:-78.7pt;margin-top:232.8pt;width:596.2pt;height:159.1pt;z-index:251645952;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filled="f" stroked="f" strokeweight=".5pt">
            <v:textbox>
              <w:txbxContent>
                <w:p w:rsidR="00D36A06" w:rsidRDefault="00F64830">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D36A06" w:rsidRDefault="00F64830">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指事业单位按照事业单位会计制度的规定从非财政补助结余中分配的事业基金和职工福利基金等。</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（七）年末结转和结余：</w:t>
      </w:r>
      <w:r>
        <w:rPr>
          <w:rFonts w:ascii="仿宋_GB2312" w:eastAsia="仿宋_GB2312" w:hAnsiTheme="majorEastAsia" w:hint="eastAsia"/>
          <w:color w:val="000000"/>
          <w:kern w:val="0"/>
          <w:sz w:val="32"/>
          <w:szCs w:val="32"/>
        </w:rPr>
        <w:t>指单位按有关规定结转</w:t>
      </w:r>
      <w:r>
        <w:rPr>
          <w:rFonts w:ascii="仿宋_GB2312" w:eastAsia="仿宋_GB2312" w:hAnsiTheme="majorEastAsia" w:hint="eastAsia"/>
          <w:color w:val="000000"/>
          <w:kern w:val="0"/>
          <w:sz w:val="32"/>
          <w:szCs w:val="32"/>
        </w:rPr>
        <w:t>到下年或以后年度继续使用的资金，或项目已完成等产生的结余资金。</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指部门用财政拨款安排的因公出国（境）费、公务用</w:t>
      </w:r>
      <w:r>
        <w:rPr>
          <w:rFonts w:ascii="仿宋_GB2312" w:eastAsia="仿宋_GB2312" w:hAnsiTheme="majorEastAsia" w:hint="eastAsia"/>
          <w:color w:val="000000"/>
          <w:kern w:val="0"/>
          <w:sz w:val="32"/>
          <w:szCs w:val="32"/>
        </w:rPr>
        <w:t>车购置及运行费和公务接待费。其中，因公出国（境）</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单位公务用车购置支出（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购置税）及租用费、燃料费、维修费、过路过桥费、保险费、安全奖励费用等支出；公务接待</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单位按规定开支的各类公务接待（含外宾接待）支出。</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（十三）其他交通费用：</w:t>
      </w:r>
      <w:r>
        <w:rPr>
          <w:rFonts w:ascii="仿宋_GB2312" w:eastAsia="仿宋_GB2312" w:hAnsiTheme="majorEastAsia" w:hint="eastAsia"/>
          <w:color w:val="000000"/>
          <w:kern w:val="0"/>
          <w:sz w:val="32"/>
          <w:szCs w:val="32"/>
        </w:rPr>
        <w:t>填列单位除公务用车运行维护费以外的其他交通费用。如公务交通补贴、租车费用、出租车费用、飞机、船舶等的燃料费、维修费、保险费等。</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w:t>
      </w:r>
      <w:r>
        <w:rPr>
          <w:rFonts w:ascii="仿宋_GB2312" w:eastAsia="仿宋_GB2312" w:hAnsiTheme="majorEastAsia" w:hint="eastAsia"/>
          <w:color w:val="000000"/>
          <w:kern w:val="0"/>
          <w:sz w:val="32"/>
          <w:szCs w:val="32"/>
        </w:rPr>
        <w:t>务用车购置支出（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购置税、牌照费）。</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购置税、牌照费）。</w:t>
      </w:r>
    </w:p>
    <w:p w:rsidR="00D36A06" w:rsidRDefault="00F64830" w:rsidP="005B2288">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D36A06" w:rsidRDefault="00F64830" w:rsidP="005B2288">
      <w:pPr>
        <w:widowControl/>
        <w:spacing w:after="0" w:line="560" w:lineRule="exact"/>
        <w:ind w:firstLineChars="200" w:firstLine="641"/>
        <w:rPr>
          <w:rFonts w:ascii="仿宋_GB2312" w:eastAsia="仿宋_GB2312" w:hAnsiTheme="minorHAnsi" w:cs="ArialUnicodeMS"/>
          <w:kern w:val="0"/>
          <w:sz w:val="32"/>
          <w:szCs w:val="32"/>
        </w:rPr>
        <w:sectPr w:rsidR="00D36A06">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b/>
          <w:bCs/>
          <w:color w:val="000000"/>
          <w:kern w:val="0"/>
          <w:sz w:val="32"/>
          <w:szCs w:val="32"/>
        </w:rPr>
        <w:t>:</w:t>
      </w:r>
      <w:r>
        <w:rPr>
          <w:rFonts w:ascii="仿宋_GB2312" w:eastAsia="仿宋_GB2312" w:hAnsiTheme="majorEastAsia" w:hint="eastAsia"/>
          <w:color w:val="000000"/>
          <w:kern w:val="0"/>
          <w:sz w:val="32"/>
          <w:szCs w:val="32"/>
        </w:rPr>
        <w:t>按照经费</w:t>
      </w:r>
      <w:r>
        <w:rPr>
          <w:rFonts w:ascii="仿宋_GB2312" w:eastAsia="仿宋_GB2312" w:hAnsiTheme="majorEastAsia" w:hint="eastAsia"/>
          <w:color w:val="000000"/>
          <w:kern w:val="0"/>
          <w:sz w:val="32"/>
          <w:szCs w:val="32"/>
        </w:rPr>
        <w:t>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D36A06" w:rsidRDefault="00F64830">
      <w:pPr>
        <w:widowControl/>
        <w:spacing w:after="0"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7"/>
                    <a:stretch>
                      <a:fillRect/>
                    </a:stretch>
                  </pic:blipFill>
                  <pic:spPr>
                    <a:xfrm>
                      <a:off x="0" y="0"/>
                      <a:ext cx="7590155" cy="10735945"/>
                    </a:xfrm>
                    <a:prstGeom prst="rect">
                      <a:avLst/>
                    </a:prstGeom>
                  </pic:spPr>
                </pic:pic>
              </a:graphicData>
            </a:graphic>
          </wp:anchor>
        </w:drawing>
      </w:r>
    </w:p>
    <w:sectPr w:rsidR="00D36A06">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4830" w:rsidRDefault="00F64830" w:rsidP="005B2288">
      <w:pPr>
        <w:spacing w:after="0" w:line="240" w:lineRule="auto"/>
      </w:pPr>
      <w:r>
        <w:separator/>
      </w:r>
    </w:p>
  </w:endnote>
  <w:endnote w:type="continuationSeparator" w:id="0">
    <w:p w:rsidR="00F64830" w:rsidRDefault="00F64830" w:rsidP="005B22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BA4770CB-AF34-40F1-8A51-94AB0EFAEDDF}"/>
    <w:embedBold r:id="rId2" w:subsetted="1" w:fontKey="{33A30158-D128-4A17-8ACF-F341F35C023B}"/>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embedBold r:id="rId3" w:subsetted="1" w:fontKey="{C760761A-A5A7-48A9-A2F1-48F26F393597}"/>
  </w:font>
  <w:font w:name="仿宋_GB2312">
    <w:altName w:val="仿宋"/>
    <w:charset w:val="86"/>
    <w:family w:val="auto"/>
    <w:pitch w:val="default"/>
    <w:sig w:usb0="00000000" w:usb1="00000000" w:usb2="00000000" w:usb3="00000000" w:csb0="00040000" w:csb1="00000000"/>
    <w:embedRegular r:id="rId4" w:fontKey="{65890D1F-5F44-425B-9F81-1A608CBB014D}"/>
    <w:embedBold r:id="rId5" w:subsetted="1" w:fontKey="{D3DD8225-CC36-45D5-A455-DB8466B74666}"/>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embedRegular r:id="rId6" w:subsetted="1" w:fontKey="{A7128C1E-E712-47AE-9551-CF58EE35ECBE}"/>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4830" w:rsidRDefault="00F64830" w:rsidP="005B2288">
      <w:pPr>
        <w:spacing w:after="0" w:line="240" w:lineRule="auto"/>
      </w:pPr>
      <w:r>
        <w:separator/>
      </w:r>
    </w:p>
  </w:footnote>
  <w:footnote w:type="continuationSeparator" w:id="0">
    <w:p w:rsidR="00F64830" w:rsidRDefault="00F64830" w:rsidP="005B228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15EDD"/>
    <w:rsid w:val="00117946"/>
    <w:rsid w:val="00117E2C"/>
    <w:rsid w:val="00146C47"/>
    <w:rsid w:val="00152FB8"/>
    <w:rsid w:val="00174389"/>
    <w:rsid w:val="00176658"/>
    <w:rsid w:val="0018239E"/>
    <w:rsid w:val="001B3410"/>
    <w:rsid w:val="001C030D"/>
    <w:rsid w:val="001C4A84"/>
    <w:rsid w:val="001E5902"/>
    <w:rsid w:val="00203F74"/>
    <w:rsid w:val="00221B5E"/>
    <w:rsid w:val="00224E91"/>
    <w:rsid w:val="00233705"/>
    <w:rsid w:val="00275CA2"/>
    <w:rsid w:val="002A65A5"/>
    <w:rsid w:val="002C04C4"/>
    <w:rsid w:val="002D08B0"/>
    <w:rsid w:val="002D1AE3"/>
    <w:rsid w:val="002F2ECE"/>
    <w:rsid w:val="00341C8F"/>
    <w:rsid w:val="0035463A"/>
    <w:rsid w:val="00391D9D"/>
    <w:rsid w:val="00391E1D"/>
    <w:rsid w:val="00392AE8"/>
    <w:rsid w:val="003B6C51"/>
    <w:rsid w:val="003C1413"/>
    <w:rsid w:val="003C549F"/>
    <w:rsid w:val="003D5A16"/>
    <w:rsid w:val="003E6C11"/>
    <w:rsid w:val="003E7DB3"/>
    <w:rsid w:val="003F7EC9"/>
    <w:rsid w:val="00431175"/>
    <w:rsid w:val="004B6E37"/>
    <w:rsid w:val="004C32BA"/>
    <w:rsid w:val="004F164F"/>
    <w:rsid w:val="00502871"/>
    <w:rsid w:val="00575922"/>
    <w:rsid w:val="005A6C90"/>
    <w:rsid w:val="005B2288"/>
    <w:rsid w:val="005E3FB0"/>
    <w:rsid w:val="005F4B66"/>
    <w:rsid w:val="005F5208"/>
    <w:rsid w:val="0063726F"/>
    <w:rsid w:val="00641318"/>
    <w:rsid w:val="0064405D"/>
    <w:rsid w:val="00685302"/>
    <w:rsid w:val="00695557"/>
    <w:rsid w:val="006C4336"/>
    <w:rsid w:val="006D4EA7"/>
    <w:rsid w:val="0070012A"/>
    <w:rsid w:val="0070664B"/>
    <w:rsid w:val="007071B8"/>
    <w:rsid w:val="007414DE"/>
    <w:rsid w:val="0074209C"/>
    <w:rsid w:val="007905A9"/>
    <w:rsid w:val="007D0B87"/>
    <w:rsid w:val="007D1C0F"/>
    <w:rsid w:val="007E5500"/>
    <w:rsid w:val="007F055B"/>
    <w:rsid w:val="0080644C"/>
    <w:rsid w:val="00811C2F"/>
    <w:rsid w:val="00833D46"/>
    <w:rsid w:val="00840A97"/>
    <w:rsid w:val="00886ADA"/>
    <w:rsid w:val="008C0149"/>
    <w:rsid w:val="008C689C"/>
    <w:rsid w:val="008D5DED"/>
    <w:rsid w:val="008E25CA"/>
    <w:rsid w:val="008F34FC"/>
    <w:rsid w:val="00935058"/>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2A4A"/>
    <w:rsid w:val="00B56722"/>
    <w:rsid w:val="00B74D39"/>
    <w:rsid w:val="00B91DA4"/>
    <w:rsid w:val="00C12630"/>
    <w:rsid w:val="00C34562"/>
    <w:rsid w:val="00C3774E"/>
    <w:rsid w:val="00C5174C"/>
    <w:rsid w:val="00C57456"/>
    <w:rsid w:val="00C65387"/>
    <w:rsid w:val="00C87FAB"/>
    <w:rsid w:val="00C91FF7"/>
    <w:rsid w:val="00C94E53"/>
    <w:rsid w:val="00CC6838"/>
    <w:rsid w:val="00D0048E"/>
    <w:rsid w:val="00D23E7A"/>
    <w:rsid w:val="00D36A06"/>
    <w:rsid w:val="00D61063"/>
    <w:rsid w:val="00DB35AF"/>
    <w:rsid w:val="00DD72D7"/>
    <w:rsid w:val="00DF5B88"/>
    <w:rsid w:val="00E0589E"/>
    <w:rsid w:val="00E21BEA"/>
    <w:rsid w:val="00E241FA"/>
    <w:rsid w:val="00E2595E"/>
    <w:rsid w:val="00E35374"/>
    <w:rsid w:val="00E50C19"/>
    <w:rsid w:val="00E54382"/>
    <w:rsid w:val="00E64655"/>
    <w:rsid w:val="00E73081"/>
    <w:rsid w:val="00E856C9"/>
    <w:rsid w:val="00E8744D"/>
    <w:rsid w:val="00EB6A8B"/>
    <w:rsid w:val="00EF38C6"/>
    <w:rsid w:val="00F64830"/>
    <w:rsid w:val="00F679C7"/>
    <w:rsid w:val="00F7711A"/>
    <w:rsid w:val="00F85218"/>
    <w:rsid w:val="00FA0D58"/>
    <w:rsid w:val="00FA56F4"/>
    <w:rsid w:val="00FB4EDA"/>
    <w:rsid w:val="00FD3BD5"/>
    <w:rsid w:val="00FE3DC8"/>
    <w:rsid w:val="015F05B7"/>
    <w:rsid w:val="01775330"/>
    <w:rsid w:val="02A97406"/>
    <w:rsid w:val="03780A9F"/>
    <w:rsid w:val="03F94424"/>
    <w:rsid w:val="04073F84"/>
    <w:rsid w:val="05191B63"/>
    <w:rsid w:val="05F37E40"/>
    <w:rsid w:val="06AF2DAB"/>
    <w:rsid w:val="07296555"/>
    <w:rsid w:val="078D1897"/>
    <w:rsid w:val="08840EF1"/>
    <w:rsid w:val="08C54853"/>
    <w:rsid w:val="09217434"/>
    <w:rsid w:val="099308CC"/>
    <w:rsid w:val="09CD5AF1"/>
    <w:rsid w:val="0A5B0A4F"/>
    <w:rsid w:val="0A7504F9"/>
    <w:rsid w:val="0B023D1D"/>
    <w:rsid w:val="0B60750A"/>
    <w:rsid w:val="0C1121AA"/>
    <w:rsid w:val="0C7F3F1B"/>
    <w:rsid w:val="0CFD364F"/>
    <w:rsid w:val="0D3E2BC3"/>
    <w:rsid w:val="0D592CE0"/>
    <w:rsid w:val="0E245400"/>
    <w:rsid w:val="0E7A05E6"/>
    <w:rsid w:val="0FFC50AD"/>
    <w:rsid w:val="10686488"/>
    <w:rsid w:val="10DF728A"/>
    <w:rsid w:val="11520626"/>
    <w:rsid w:val="1264200E"/>
    <w:rsid w:val="13771ABC"/>
    <w:rsid w:val="13A82D83"/>
    <w:rsid w:val="141C5B77"/>
    <w:rsid w:val="14C20C1B"/>
    <w:rsid w:val="150929C9"/>
    <w:rsid w:val="158B31AC"/>
    <w:rsid w:val="16102405"/>
    <w:rsid w:val="1670442F"/>
    <w:rsid w:val="16762AB0"/>
    <w:rsid w:val="181A2C41"/>
    <w:rsid w:val="18414CE3"/>
    <w:rsid w:val="18D8339D"/>
    <w:rsid w:val="18EF128F"/>
    <w:rsid w:val="194677EC"/>
    <w:rsid w:val="19D13C62"/>
    <w:rsid w:val="19D2296B"/>
    <w:rsid w:val="19D47F63"/>
    <w:rsid w:val="1A21388F"/>
    <w:rsid w:val="1A570D2F"/>
    <w:rsid w:val="1A580D17"/>
    <w:rsid w:val="1B560468"/>
    <w:rsid w:val="1B897874"/>
    <w:rsid w:val="1C4558B2"/>
    <w:rsid w:val="1C4B7687"/>
    <w:rsid w:val="1CC93958"/>
    <w:rsid w:val="1D021D48"/>
    <w:rsid w:val="21A70931"/>
    <w:rsid w:val="21CF28C7"/>
    <w:rsid w:val="226D35C1"/>
    <w:rsid w:val="226F0AEF"/>
    <w:rsid w:val="238812CD"/>
    <w:rsid w:val="2591019D"/>
    <w:rsid w:val="25A73B7D"/>
    <w:rsid w:val="25DA402E"/>
    <w:rsid w:val="26220E4C"/>
    <w:rsid w:val="263D208E"/>
    <w:rsid w:val="265F5C27"/>
    <w:rsid w:val="267726EE"/>
    <w:rsid w:val="27050461"/>
    <w:rsid w:val="271F7898"/>
    <w:rsid w:val="27E64F6E"/>
    <w:rsid w:val="281078DE"/>
    <w:rsid w:val="28AA7B73"/>
    <w:rsid w:val="28BF7203"/>
    <w:rsid w:val="28FB0B8D"/>
    <w:rsid w:val="2A3D0952"/>
    <w:rsid w:val="2A6A6522"/>
    <w:rsid w:val="2A9870FC"/>
    <w:rsid w:val="2AFE5C70"/>
    <w:rsid w:val="2B3D78EA"/>
    <w:rsid w:val="2B916845"/>
    <w:rsid w:val="2BA60C3A"/>
    <w:rsid w:val="2BB708A9"/>
    <w:rsid w:val="2C151D5A"/>
    <w:rsid w:val="2C3D2E6E"/>
    <w:rsid w:val="2D2332F7"/>
    <w:rsid w:val="2D2B7942"/>
    <w:rsid w:val="2D46481D"/>
    <w:rsid w:val="2D6A6896"/>
    <w:rsid w:val="2E32296E"/>
    <w:rsid w:val="2E733B28"/>
    <w:rsid w:val="2ED15972"/>
    <w:rsid w:val="2F1E3903"/>
    <w:rsid w:val="30334753"/>
    <w:rsid w:val="30425BF8"/>
    <w:rsid w:val="305F7BE2"/>
    <w:rsid w:val="31134C84"/>
    <w:rsid w:val="312C7852"/>
    <w:rsid w:val="31852B5A"/>
    <w:rsid w:val="31A9131A"/>
    <w:rsid w:val="32D01238"/>
    <w:rsid w:val="330B62C6"/>
    <w:rsid w:val="331A090E"/>
    <w:rsid w:val="34FF7017"/>
    <w:rsid w:val="3604198A"/>
    <w:rsid w:val="363668FE"/>
    <w:rsid w:val="36F92F6C"/>
    <w:rsid w:val="37C00C13"/>
    <w:rsid w:val="387F7FE3"/>
    <w:rsid w:val="389D2D6A"/>
    <w:rsid w:val="390F5544"/>
    <w:rsid w:val="39EA697B"/>
    <w:rsid w:val="3A2B2864"/>
    <w:rsid w:val="3A2B6DE6"/>
    <w:rsid w:val="3ACE24E6"/>
    <w:rsid w:val="3AFA1DF4"/>
    <w:rsid w:val="3B0B5CBD"/>
    <w:rsid w:val="3B321EBC"/>
    <w:rsid w:val="3B360820"/>
    <w:rsid w:val="3C73734E"/>
    <w:rsid w:val="3D2A5307"/>
    <w:rsid w:val="3D3002DC"/>
    <w:rsid w:val="3D770520"/>
    <w:rsid w:val="3DAB1529"/>
    <w:rsid w:val="3DC3323E"/>
    <w:rsid w:val="3DFC59A8"/>
    <w:rsid w:val="3ECF245E"/>
    <w:rsid w:val="3EFF3731"/>
    <w:rsid w:val="3F675D61"/>
    <w:rsid w:val="3FB96314"/>
    <w:rsid w:val="3FE439E5"/>
    <w:rsid w:val="3FF34538"/>
    <w:rsid w:val="3FFA12FE"/>
    <w:rsid w:val="40882AD5"/>
    <w:rsid w:val="42CD30E5"/>
    <w:rsid w:val="43EC7B08"/>
    <w:rsid w:val="450F20A8"/>
    <w:rsid w:val="452741EF"/>
    <w:rsid w:val="454A0FF1"/>
    <w:rsid w:val="457958C0"/>
    <w:rsid w:val="45EC5DE5"/>
    <w:rsid w:val="46B24DF3"/>
    <w:rsid w:val="487C4225"/>
    <w:rsid w:val="4914135B"/>
    <w:rsid w:val="493F103F"/>
    <w:rsid w:val="49577E1E"/>
    <w:rsid w:val="4A7D0B85"/>
    <w:rsid w:val="4AC025FC"/>
    <w:rsid w:val="4B734530"/>
    <w:rsid w:val="4B906DA0"/>
    <w:rsid w:val="4C602A14"/>
    <w:rsid w:val="4D494C3F"/>
    <w:rsid w:val="4EBC56B3"/>
    <w:rsid w:val="503B2AA6"/>
    <w:rsid w:val="50967E38"/>
    <w:rsid w:val="50C12419"/>
    <w:rsid w:val="51B17F9E"/>
    <w:rsid w:val="51BA143E"/>
    <w:rsid w:val="52022A10"/>
    <w:rsid w:val="522430BA"/>
    <w:rsid w:val="52D93376"/>
    <w:rsid w:val="52DB5036"/>
    <w:rsid w:val="53A44FAF"/>
    <w:rsid w:val="542530A8"/>
    <w:rsid w:val="55260003"/>
    <w:rsid w:val="569234C8"/>
    <w:rsid w:val="575E512D"/>
    <w:rsid w:val="58695552"/>
    <w:rsid w:val="594329EC"/>
    <w:rsid w:val="598F1C58"/>
    <w:rsid w:val="59B70BE1"/>
    <w:rsid w:val="5AEB7914"/>
    <w:rsid w:val="5B312F25"/>
    <w:rsid w:val="5BEE1540"/>
    <w:rsid w:val="5C5414C7"/>
    <w:rsid w:val="5DCC0EA2"/>
    <w:rsid w:val="5DE61A5D"/>
    <w:rsid w:val="5E462100"/>
    <w:rsid w:val="5E675340"/>
    <w:rsid w:val="5EC55B9F"/>
    <w:rsid w:val="5F6F410F"/>
    <w:rsid w:val="5F8F5AAC"/>
    <w:rsid w:val="5F943FA8"/>
    <w:rsid w:val="5FB22E94"/>
    <w:rsid w:val="605D06E5"/>
    <w:rsid w:val="61247881"/>
    <w:rsid w:val="6128525B"/>
    <w:rsid w:val="618A7201"/>
    <w:rsid w:val="622B579F"/>
    <w:rsid w:val="634A1969"/>
    <w:rsid w:val="63A61503"/>
    <w:rsid w:val="63C04243"/>
    <w:rsid w:val="63E21AAB"/>
    <w:rsid w:val="64790BBB"/>
    <w:rsid w:val="649C01C7"/>
    <w:rsid w:val="65330ABF"/>
    <w:rsid w:val="66187A6B"/>
    <w:rsid w:val="66494DB8"/>
    <w:rsid w:val="6692550A"/>
    <w:rsid w:val="66ED4044"/>
    <w:rsid w:val="684A1456"/>
    <w:rsid w:val="68B22156"/>
    <w:rsid w:val="69224EE4"/>
    <w:rsid w:val="69521DF5"/>
    <w:rsid w:val="699A3F60"/>
    <w:rsid w:val="6AE55CFB"/>
    <w:rsid w:val="6B247E23"/>
    <w:rsid w:val="6BE1615D"/>
    <w:rsid w:val="6C7812FE"/>
    <w:rsid w:val="6CC20558"/>
    <w:rsid w:val="6CD57A7C"/>
    <w:rsid w:val="6D41577C"/>
    <w:rsid w:val="6DCC35C6"/>
    <w:rsid w:val="6DF96B96"/>
    <w:rsid w:val="6E1B3AC1"/>
    <w:rsid w:val="6EBE6D9A"/>
    <w:rsid w:val="70A02EB6"/>
    <w:rsid w:val="70B80B9A"/>
    <w:rsid w:val="71C011F5"/>
    <w:rsid w:val="725122BA"/>
    <w:rsid w:val="72900FCC"/>
    <w:rsid w:val="72902E62"/>
    <w:rsid w:val="72E96900"/>
    <w:rsid w:val="73C61104"/>
    <w:rsid w:val="74D023DF"/>
    <w:rsid w:val="75E512EC"/>
    <w:rsid w:val="76B91276"/>
    <w:rsid w:val="76E70FD2"/>
    <w:rsid w:val="76F434E5"/>
    <w:rsid w:val="771505D3"/>
    <w:rsid w:val="776452EA"/>
    <w:rsid w:val="77B57330"/>
    <w:rsid w:val="790A35B4"/>
    <w:rsid w:val="79AA4C09"/>
    <w:rsid w:val="7B1C1A40"/>
    <w:rsid w:val="7B670B43"/>
    <w:rsid w:val="7BB5429A"/>
    <w:rsid w:val="7D692DE6"/>
    <w:rsid w:val="7D987397"/>
    <w:rsid w:val="7DC663B9"/>
    <w:rsid w:val="7FCC6756"/>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黑体" w:hAnsi="Cambria"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Balloon Text" w:qFormat="1"/>
    <w:lsdException w:name="Table Grid" w:semiHidden="0" w:uiPriority="1"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after="160" w:line="480" w:lineRule="auto"/>
      <w:jc w:val="both"/>
    </w:pPr>
    <w:rPr>
      <w:rFonts w:ascii="Times New Roman" w:eastAsia="宋体" w:hAnsi="Times New Roman"/>
      <w:kern w:val="2"/>
      <w:sz w:val="21"/>
      <w:szCs w:val="24"/>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paragraph" w:styleId="aa">
    <w:name w:val="No Spacing"/>
    <w:link w:val="Char5"/>
    <w:uiPriority w:val="1"/>
    <w:qFormat/>
    <w:pPr>
      <w:spacing w:after="160" w:line="480" w:lineRule="auto"/>
    </w:pPr>
    <w:rPr>
      <w:rFonts w:asciiTheme="minorHAnsi" w:eastAsiaTheme="minorEastAsia" w:hAnsiTheme="minorHAnsi" w:cstheme="minorBidi"/>
      <w:sz w:val="22"/>
      <w:szCs w:val="22"/>
    </w:rPr>
  </w:style>
  <w:style w:type="character" w:customStyle="1" w:styleId="Char5">
    <w:name w:val="无间隔 Char"/>
    <w:basedOn w:val="a0"/>
    <w:link w:val="aa"/>
    <w:uiPriority w:val="1"/>
    <w:qFormat/>
    <w:rPr>
      <w:kern w:val="0"/>
      <w:sz w:val="22"/>
    </w:rPr>
  </w:style>
  <w:style w:type="character" w:customStyle="1" w:styleId="Char0">
    <w:name w:val="批注框文本 Char"/>
    <w:basedOn w:val="a0"/>
    <w:link w:val="a4"/>
    <w:uiPriority w:val="99"/>
    <w:semiHidden/>
    <w:qFormat/>
    <w:rPr>
      <w:rFonts w:ascii="Times New Roman" w:eastAsia="宋体" w:hAnsi="Times New Roman" w:cs="Times New Roman"/>
      <w:sz w:val="18"/>
      <w:szCs w:val="18"/>
    </w:rPr>
  </w:style>
  <w:style w:type="character" w:customStyle="1" w:styleId="Char4">
    <w:name w:val="标题 Char"/>
    <w:basedOn w:val="a0"/>
    <w:link w:val="a8"/>
    <w:uiPriority w:val="10"/>
    <w:qFormat/>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Pr>
      <w:rFonts w:asciiTheme="minorHAnsi" w:eastAsiaTheme="minorEastAsia" w:hAnsiTheme="minorEastAsia" w:cstheme="minorBidi"/>
      <w:sz w:val="22"/>
      <w:szCs w:val="22"/>
      <w:lang w:eastAsia="zh-CN"/>
    </w:rPr>
  </w:style>
  <w:style w:type="character" w:customStyle="1" w:styleId="Style2">
    <w:name w:val="Style2"/>
    <w:basedOn w:val="a0"/>
    <w:uiPriority w:val="1"/>
    <w:qFormat/>
    <w:rPr>
      <w:rFonts w:asciiTheme="minorHAnsi" w:eastAsiaTheme="minorEastAsia" w:hAnsiTheme="minorEastAsia" w:cstheme="minorBidi"/>
      <w:sz w:val="22"/>
      <w:szCs w:val="22"/>
      <w:lang w:eastAsia="zh-CN"/>
    </w:rPr>
  </w:style>
  <w:style w:type="character" w:customStyle="1" w:styleId="Style3">
    <w:name w:val="Style3"/>
    <w:basedOn w:val="a0"/>
    <w:uiPriority w:val="1"/>
    <w:qFormat/>
    <w:rPr>
      <w:rFonts w:asciiTheme="minorHAnsi" w:eastAsiaTheme="minorEastAsia" w:hAnsiTheme="minorEastAsia" w:cstheme="minorBidi"/>
      <w:szCs w:val="22"/>
      <w:lang w:eastAsia="zh-CN"/>
    </w:rPr>
  </w:style>
  <w:style w:type="character" w:customStyle="1" w:styleId="Style4">
    <w:name w:val="Style4"/>
    <w:basedOn w:val="a0"/>
    <w:uiPriority w:val="1"/>
    <w:qFormat/>
    <w:rPr>
      <w:rFonts w:asciiTheme="minorHAnsi" w:eastAsiaTheme="minorEastAsia" w:hAnsiTheme="minorEastAsia" w:cstheme="minorBidi"/>
      <w:szCs w:val="22"/>
      <w:lang w:eastAsia="zh-CN"/>
    </w:rPr>
  </w:style>
  <w:style w:type="character" w:customStyle="1" w:styleId="Style5">
    <w:name w:val="Style5"/>
    <w:basedOn w:val="a0"/>
    <w:uiPriority w:val="1"/>
    <w:qFormat/>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3Char">
    <w:name w:val="标题 3 Char"/>
    <w:basedOn w:val="a0"/>
    <w:link w:val="3"/>
    <w:uiPriority w:val="9"/>
    <w:qFormat/>
    <w:rPr>
      <w:rFonts w:ascii="Times New Roman" w:eastAsia="宋体" w:hAnsi="Times New Roman" w:cs="Times New Roman"/>
      <w:b/>
      <w:bCs/>
      <w:sz w:val="32"/>
      <w:szCs w:val="32"/>
    </w:rPr>
  </w:style>
  <w:style w:type="character" w:customStyle="1" w:styleId="4Char">
    <w:name w:val="标题 4 Char"/>
    <w:basedOn w:val="a0"/>
    <w:link w:val="4"/>
    <w:uiPriority w:val="9"/>
    <w:qFormat/>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Pr>
      <w:rFonts w:ascii="Times New Roman" w:eastAsia="宋体" w:hAnsi="Times New Roman" w:cs="Times New Roman"/>
      <w:szCs w:val="24"/>
    </w:rPr>
  </w:style>
  <w:style w:type="paragraph" w:styleId="ab">
    <w:name w:val="List Paragraph"/>
    <w:basedOn w:val="a"/>
    <w:uiPriority w:val="99"/>
    <w:unhideWhenUsed/>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jpeg"/><Relationship Id="rId2" Type="http://schemas.openxmlformats.org/officeDocument/2006/relationships/customXml" Target="../customXml/item2.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microsoft.com/office/2007/relationships/stylesWithEffects" Target="stylesWithEffects.xml"/><Relationship Id="rId15" Type="http://schemas.openxmlformats.org/officeDocument/2006/relationships/image" Target="media/image6.png"/><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AD349740-2FAE-43D7-9CD3-910FBE7E9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34</Pages>
  <Words>2031</Words>
  <Characters>11577</Characters>
  <Application>Microsoft Office Word</Application>
  <DocSecurity>0</DocSecurity>
  <Lines>96</Lines>
  <Paragraphs>27</Paragraphs>
  <ScaleCrop>false</ScaleCrop>
  <Company>Microsoft</Company>
  <LinksUpToDate>false</LinksUpToDate>
  <CharactersWithSpaces>13581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Windows User</cp:lastModifiedBy>
  <cp:revision>17</cp:revision>
  <cp:lastPrinted>2019-09-07T11:21:00Z</cp:lastPrinted>
  <dcterms:created xsi:type="dcterms:W3CDTF">2019-08-28T08:40:00Z</dcterms:created>
  <dcterms:modified xsi:type="dcterms:W3CDTF">2020-01-07T02:06:00Z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