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3878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t>无极县档案馆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t>无极县档案馆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624"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无极县档案馆</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5209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w:t>
      </w:r>
      <w:r>
        <w:rPr>
          <w:rFonts w:hint="eastAsia" w:ascii="仿宋" w:hAnsi="仿宋" w:eastAsia="仿宋" w:cs="仿宋"/>
          <w:sz w:val="32"/>
          <w:szCs w:val="32"/>
          <w:lang w:eastAsia="zh-CN"/>
        </w:rPr>
        <w:t>组织指导权限范围内的档案理论与档案科学技术研究，负责全县档案保护、档案宣传、档案教育及档案工作人员的培训工作。</w:t>
      </w:r>
    </w:p>
    <w:p>
      <w:pPr>
        <w:keepNext w:val="0"/>
        <w:keepLines w:val="0"/>
        <w:pageBreakBefore w:val="0"/>
        <w:widowControl w:val="0"/>
        <w:kinsoku/>
        <w:wordWrap/>
        <w:overflowPunct/>
        <w:topLinePunct w:val="0"/>
        <w:autoSpaceDE/>
        <w:autoSpaceDN/>
        <w:bidi w:val="0"/>
        <w:adjustRightInd/>
        <w:snapToGrid w:val="0"/>
        <w:spacing w:line="52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w:t>
      </w:r>
      <w:r>
        <w:rPr>
          <w:rFonts w:hint="eastAsia" w:ascii="仿宋" w:hAnsi="仿宋" w:eastAsia="仿宋" w:cs="仿宋"/>
          <w:sz w:val="32"/>
          <w:szCs w:val="32"/>
          <w:lang w:eastAsia="zh-CN"/>
        </w:rPr>
        <w:t>负责接收全县范围内机关、团体、企事业单位保管满十年具有永久、长期保存价值的档案。</w:t>
      </w:r>
    </w:p>
    <w:p>
      <w:pPr>
        <w:keepNext w:val="0"/>
        <w:keepLines w:val="0"/>
        <w:pageBreakBefore w:val="0"/>
        <w:widowControl w:val="0"/>
        <w:kinsoku/>
        <w:wordWrap/>
        <w:overflowPunct/>
        <w:topLinePunct w:val="0"/>
        <w:autoSpaceDE/>
        <w:autoSpaceDN/>
        <w:bidi w:val="0"/>
        <w:adjustRightInd/>
        <w:snapToGrid w:val="0"/>
        <w:spacing w:line="520" w:lineRule="exact"/>
        <w:ind w:firstLine="640" w:firstLineChars="200"/>
        <w:textAlignment w:val="auto"/>
        <w:rPr>
          <w:rFonts w:hint="eastAsia" w:ascii="仿宋" w:hAnsi="仿宋" w:eastAsia="仿宋" w:cs="仿宋"/>
          <w:bCs/>
          <w:sz w:val="32"/>
          <w:szCs w:val="32"/>
          <w:lang w:eastAsia="zh-CN"/>
        </w:rPr>
      </w:pPr>
      <w:r>
        <w:rPr>
          <w:rFonts w:hint="eastAsia" w:ascii="仿宋" w:hAnsi="仿宋" w:eastAsia="仿宋" w:cs="仿宋"/>
          <w:bCs/>
          <w:sz w:val="32"/>
          <w:szCs w:val="32"/>
        </w:rPr>
        <w:t>（三）</w:t>
      </w:r>
      <w:r>
        <w:rPr>
          <w:rFonts w:hint="eastAsia" w:ascii="仿宋" w:hAnsi="仿宋" w:eastAsia="仿宋" w:cs="仿宋"/>
          <w:bCs/>
          <w:sz w:val="32"/>
          <w:szCs w:val="32"/>
          <w:lang w:eastAsia="zh-CN"/>
        </w:rPr>
        <w:t>对馆藏档案进行规范化整理、科学化管理和安全保管，并对破损档案进行修复抢救。</w:t>
      </w:r>
    </w:p>
    <w:p>
      <w:pPr>
        <w:keepNext w:val="0"/>
        <w:keepLines w:val="0"/>
        <w:pageBreakBefore w:val="0"/>
        <w:widowControl w:val="0"/>
        <w:kinsoku/>
        <w:wordWrap/>
        <w:overflowPunct/>
        <w:topLinePunct w:val="0"/>
        <w:autoSpaceDE/>
        <w:autoSpaceDN/>
        <w:bidi w:val="0"/>
        <w:adjustRightInd/>
        <w:snapToGrid w:val="0"/>
        <w:spacing w:line="520" w:lineRule="exact"/>
        <w:ind w:firstLine="640" w:firstLineChars="200"/>
        <w:textAlignment w:val="auto"/>
        <w:rPr>
          <w:rFonts w:hint="eastAsia" w:ascii="仿宋" w:hAnsi="仿宋" w:eastAsia="仿宋" w:cs="仿宋"/>
          <w:bCs/>
          <w:sz w:val="32"/>
          <w:szCs w:val="32"/>
          <w:lang w:eastAsia="zh-CN"/>
        </w:rPr>
      </w:pPr>
      <w:r>
        <w:rPr>
          <w:rFonts w:hint="eastAsia" w:ascii="仿宋" w:hAnsi="仿宋" w:eastAsia="仿宋" w:cs="仿宋"/>
          <w:bCs/>
          <w:sz w:val="32"/>
          <w:szCs w:val="32"/>
        </w:rPr>
        <w:t>（四）</w:t>
      </w:r>
      <w:r>
        <w:rPr>
          <w:rFonts w:hint="eastAsia" w:ascii="仿宋" w:hAnsi="仿宋" w:eastAsia="仿宋" w:cs="仿宋"/>
          <w:bCs/>
          <w:sz w:val="32"/>
          <w:szCs w:val="32"/>
          <w:lang w:eastAsia="zh-CN"/>
        </w:rPr>
        <w:t>向各部门和社会各界人士提供利用档案资料，为我县科学研究和社会发展服务。</w:t>
      </w:r>
    </w:p>
    <w:p>
      <w:pPr>
        <w:keepNext w:val="0"/>
        <w:keepLines w:val="0"/>
        <w:pageBreakBefore w:val="0"/>
        <w:widowControl w:val="0"/>
        <w:kinsoku/>
        <w:wordWrap/>
        <w:overflowPunct/>
        <w:topLinePunct w:val="0"/>
        <w:autoSpaceDE/>
        <w:autoSpaceDN/>
        <w:bidi w:val="0"/>
        <w:adjustRightInd/>
        <w:snapToGrid w:val="0"/>
        <w:spacing w:line="52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Cs/>
          <w:sz w:val="32"/>
          <w:szCs w:val="32"/>
        </w:rPr>
        <w:t>（五）</w:t>
      </w:r>
      <w:r>
        <w:rPr>
          <w:rFonts w:hint="eastAsia" w:ascii="仿宋" w:hAnsi="仿宋" w:eastAsia="仿宋" w:cs="仿宋"/>
          <w:bCs/>
          <w:sz w:val="32"/>
          <w:szCs w:val="32"/>
          <w:lang w:eastAsia="zh-CN"/>
        </w:rPr>
        <w:t>逐步建立健全我县档案资信息网络，充分发挥数字技术在档案工作中的作用，最终实现档案资料利用网络化。</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从决算编报单位构成看，纳入2018 年度本部门决算汇编范围的独立核算单位（以下简称“单位”）共 </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600"/>
        <w:gridCol w:w="2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600"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510"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32"/>
                <w:szCs w:val="32"/>
                <w:lang w:eastAsia="zh-CN"/>
              </w:rPr>
              <w:t>无极县档案馆</w:t>
            </w:r>
          </w:p>
        </w:tc>
        <w:tc>
          <w:tcPr>
            <w:tcW w:w="2600"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财政补助事业单位</w:t>
            </w:r>
          </w:p>
        </w:tc>
        <w:tc>
          <w:tcPr>
            <w:tcW w:w="2510"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p>
        </w:tc>
        <w:tc>
          <w:tcPr>
            <w:tcW w:w="3485" w:type="dxa"/>
          </w:tcPr>
          <w:p>
            <w:pPr>
              <w:spacing w:after="0" w:line="560" w:lineRule="exact"/>
              <w:rPr>
                <w:rFonts w:ascii="仿宋_GB2312" w:eastAsia="仿宋_GB2312" w:cs="ArialUnicodeMS" w:hAnsiTheme="minorHAnsi"/>
                <w:kern w:val="0"/>
                <w:sz w:val="28"/>
                <w:szCs w:val="28"/>
              </w:rPr>
            </w:pPr>
          </w:p>
        </w:tc>
        <w:tc>
          <w:tcPr>
            <w:tcW w:w="2600" w:type="dxa"/>
          </w:tcPr>
          <w:p>
            <w:pPr>
              <w:spacing w:after="0" w:line="560" w:lineRule="exact"/>
              <w:jc w:val="center"/>
              <w:rPr>
                <w:rFonts w:ascii="仿宋_GB2312" w:eastAsia="仿宋_GB2312" w:cs="ArialUnicodeMS" w:hAnsiTheme="minorHAnsi"/>
                <w:kern w:val="0"/>
                <w:sz w:val="28"/>
                <w:szCs w:val="28"/>
              </w:rPr>
            </w:pPr>
          </w:p>
        </w:tc>
        <w:tc>
          <w:tcPr>
            <w:tcW w:w="2510"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p>
        </w:tc>
        <w:tc>
          <w:tcPr>
            <w:tcW w:w="3485" w:type="dxa"/>
          </w:tcPr>
          <w:p>
            <w:pPr>
              <w:spacing w:after="0" w:line="560" w:lineRule="exact"/>
              <w:rPr>
                <w:rFonts w:ascii="仿宋_GB2312" w:eastAsia="仿宋_GB2312" w:cs="ArialUnicodeMS" w:hAnsiTheme="minorHAnsi"/>
                <w:kern w:val="0"/>
                <w:sz w:val="28"/>
                <w:szCs w:val="28"/>
              </w:rPr>
            </w:pPr>
          </w:p>
        </w:tc>
        <w:tc>
          <w:tcPr>
            <w:tcW w:w="2600" w:type="dxa"/>
          </w:tcPr>
          <w:p>
            <w:pPr>
              <w:spacing w:after="0" w:line="560" w:lineRule="exact"/>
              <w:jc w:val="center"/>
              <w:rPr>
                <w:rFonts w:ascii="仿宋_GB2312" w:eastAsia="仿宋_GB2312" w:cs="ArialUnicodeMS" w:hAnsiTheme="minorHAnsi"/>
                <w:kern w:val="0"/>
                <w:sz w:val="28"/>
                <w:szCs w:val="28"/>
              </w:rPr>
            </w:pPr>
          </w:p>
        </w:tc>
        <w:tc>
          <w:tcPr>
            <w:tcW w:w="2510"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2600"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510"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4185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无极县档案馆</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149.69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156.35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1.19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149.69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157.54</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7.92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0.06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157.6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157.6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hint="eastAsia" w:ascii="宋体" w:hAnsi="宋体" w:eastAsia="宋体" w:cs="宋体"/>
                <w:color w:val="000000"/>
                <w:szCs w:val="21"/>
                <w:lang w:eastAsia="zh-CN"/>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无极县档案馆</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lang w:val="en-US" w:eastAsia="zh-CN"/>
              </w:rPr>
              <w:t>149.69</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lang w:val="en-US" w:eastAsia="zh-CN"/>
              </w:rPr>
              <w:t>149.69</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一般公共服务支出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149.5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148.5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20126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档案事务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148.5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148.5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2012601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68.52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68.52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2012604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档案馆</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79.98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79.98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机关事业单位基本养老保险费缴费支出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hint="eastAsia" w:ascii="宋体" w:hAnsi="宋体" w:eastAsia="宋体" w:cs="宋体"/>
                <w:color w:val="000000"/>
                <w:szCs w:val="21"/>
                <w:lang w:eastAsia="zh-CN"/>
              </w:rPr>
            </w:pPr>
            <w:r>
              <w:rPr>
                <w:rFonts w:hint="eastAsia" w:ascii="宋体" w:hAnsi="宋体" w:cs="宋体"/>
                <w:color w:val="000000"/>
                <w:kern w:val="0"/>
                <w:szCs w:val="21"/>
                <w:lang w:bidi="ar"/>
              </w:rPr>
              <w:t>部门：</w:t>
            </w:r>
            <w:r>
              <w:rPr>
                <w:rFonts w:hint="eastAsia" w:ascii="宋体" w:hAnsi="宋体" w:cs="宋体"/>
                <w:color w:val="000000"/>
                <w:kern w:val="0"/>
                <w:szCs w:val="21"/>
                <w:lang w:eastAsia="zh-CN" w:bidi="ar"/>
              </w:rPr>
              <w:t>无极县档案馆</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157.54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75.06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82.48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一般公共服务支出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73.88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82.48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20126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档案事务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73.88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82.48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2012601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68.94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68.94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2012604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档案馆</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87.42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4.49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82.48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行政事业单位离退休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Cs w:val="21"/>
                <w:lang w:val="en-US" w:eastAsia="zh-CN"/>
              </w:rPr>
            </w:pPr>
            <w:r>
              <w:rPr>
                <w:rFonts w:hint="eastAsia" w:ascii="宋体" w:hAnsi="宋体" w:cs="宋体"/>
                <w:color w:val="000000"/>
                <w:szCs w:val="21"/>
                <w:lang w:val="en-US" w:eastAsia="zh-CN"/>
              </w:rPr>
              <w:t>2080505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Cs w:val="21"/>
                <w:lang w:eastAsia="zh-CN"/>
              </w:rPr>
            </w:pPr>
            <w:r>
              <w:rPr>
                <w:rFonts w:hint="eastAsia" w:ascii="宋体" w:hAnsi="宋体" w:cs="宋体"/>
                <w:color w:val="000000"/>
                <w:szCs w:val="21"/>
                <w:lang w:eastAsia="zh-CN"/>
              </w:rPr>
              <w:t>机关事业单位基本养老保险费缴费支出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eastAsia" w:ascii="宋体" w:hAnsi="宋体" w:cs="宋体"/>
                <w:color w:val="000000"/>
                <w:szCs w:val="21"/>
                <w:lang w:val="en-US" w:eastAsia="zh-CN"/>
              </w:rPr>
            </w:pPr>
            <w:r>
              <w:rPr>
                <w:rFonts w:hint="eastAsia"/>
                <w:lang w:val="en-US" w:eastAsia="zh-CN"/>
              </w:rPr>
              <w:t>1.19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eastAsia" w:ascii="宋体" w:hAnsi="宋体" w:cs="宋体"/>
                <w:color w:val="000000"/>
                <w:szCs w:val="21"/>
                <w:lang w:val="en-US" w:eastAsia="zh-CN"/>
              </w:rPr>
            </w:pPr>
            <w:r>
              <w:rPr>
                <w:rFonts w:hint="eastAsia"/>
                <w:lang w:val="en-US" w:eastAsia="zh-CN"/>
              </w:rPr>
              <w:t>1.19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pPr>
            <w:r>
              <w:rPr>
                <w:rFonts w:hint="eastAsia" w:ascii="宋体" w:hAnsi="宋体" w:cs="宋体"/>
                <w:color w:val="000000"/>
                <w:kern w:val="0"/>
                <w:szCs w:val="21"/>
                <w:lang w:bidi="ar"/>
              </w:rPr>
              <w:t>注：本表反映部门本年度各项</w:t>
            </w:r>
            <w:r>
              <w:rPr>
                <w:rFonts w:hint="eastAsia" w:ascii="宋体" w:hAnsi="宋体" w:cs="宋体"/>
                <w:color w:val="000000"/>
                <w:kern w:val="0"/>
                <w:szCs w:val="21"/>
                <w:lang w:eastAsia="zh-CN" w:bidi="ar"/>
              </w:rPr>
              <w:t>支出</w:t>
            </w:r>
            <w:r>
              <w:rPr>
                <w:rFonts w:hint="eastAsia" w:ascii="宋体" w:hAnsi="宋体" w:cs="宋体"/>
                <w:color w:val="000000"/>
                <w:kern w:val="0"/>
                <w:szCs w:val="21"/>
                <w:lang w:bidi="ar"/>
              </w:rPr>
              <w:t>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Cs w:val="21"/>
                <w:lang w:eastAsia="zh-CN" w:bidi="ar"/>
              </w:rPr>
              <w:t>无极县档案馆</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149.69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156.35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156.35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149.69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157.54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157.54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7.92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0.06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0.06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7.92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157.6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157.6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157.6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6"/>
        <w:gridCol w:w="1"/>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10"/>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CellMar>
            <w:top w:w="0" w:type="dxa"/>
            <w:left w:w="0" w:type="dxa"/>
            <w:bottom w:w="0" w:type="dxa"/>
            <w:right w:w="0" w:type="dxa"/>
          </w:tblCellMar>
        </w:tblPrEx>
        <w:trPr>
          <w:trHeight w:val="334" w:hRule="atLeast"/>
        </w:trPr>
        <w:tc>
          <w:tcPr>
            <w:tcW w:w="3847"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Cs w:val="21"/>
                <w:lang w:eastAsia="zh-CN" w:bidi="ar"/>
              </w:rPr>
              <w:t>无极县档案馆</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51" w:hRule="atLeast"/>
        </w:trPr>
        <w:tc>
          <w:tcPr>
            <w:tcW w:w="310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CellMar>
            <w:top w:w="0" w:type="dxa"/>
            <w:left w:w="0" w:type="dxa"/>
            <w:bottom w:w="0" w:type="dxa"/>
            <w:right w:w="0" w:type="dxa"/>
          </w:tblCellMar>
        </w:tblPrEx>
        <w:trPr>
          <w:trHeight w:val="334" w:hRule="atLeast"/>
        </w:trPr>
        <w:tc>
          <w:tcPr>
            <w:tcW w:w="993"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CellMar>
            <w:top w:w="0" w:type="dxa"/>
            <w:left w:w="0" w:type="dxa"/>
            <w:bottom w:w="0" w:type="dxa"/>
            <w:right w:w="0" w:type="dxa"/>
          </w:tblCellMar>
        </w:tblPrEx>
        <w:trPr>
          <w:trHeight w:val="334" w:hRule="atLeast"/>
        </w:trPr>
        <w:tc>
          <w:tcPr>
            <w:tcW w:w="993"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CellMar>
            <w:top w:w="0" w:type="dxa"/>
            <w:left w:w="0" w:type="dxa"/>
            <w:bottom w:w="0" w:type="dxa"/>
            <w:right w:w="0" w:type="dxa"/>
          </w:tblCellMar>
        </w:tblPrEx>
        <w:trPr>
          <w:trHeight w:val="368" w:hRule="atLeast"/>
        </w:trPr>
        <w:tc>
          <w:tcPr>
            <w:tcW w:w="3102"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157.54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75.06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82.48</w:t>
            </w:r>
          </w:p>
        </w:tc>
      </w:tr>
      <w:tr>
        <w:tblPrEx>
          <w:tblCellMar>
            <w:top w:w="0" w:type="dxa"/>
            <w:left w:w="0" w:type="dxa"/>
            <w:bottom w:w="0" w:type="dxa"/>
            <w:right w:w="0" w:type="dxa"/>
          </w:tblCellMar>
        </w:tblPrEx>
        <w:trPr>
          <w:trHeight w:val="368" w:hRule="atLeast"/>
        </w:trPr>
        <w:tc>
          <w:tcPr>
            <w:tcW w:w="99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w:t>
            </w:r>
          </w:p>
        </w:tc>
        <w:tc>
          <w:tcPr>
            <w:tcW w:w="2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156.36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73.88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82.48</w:t>
            </w:r>
          </w:p>
        </w:tc>
      </w:tr>
      <w:tr>
        <w:tblPrEx>
          <w:tblCellMar>
            <w:top w:w="0" w:type="dxa"/>
            <w:left w:w="0" w:type="dxa"/>
            <w:bottom w:w="0" w:type="dxa"/>
            <w:right w:w="0" w:type="dxa"/>
          </w:tblCellMar>
        </w:tblPrEx>
        <w:trPr>
          <w:trHeight w:val="368" w:hRule="atLeast"/>
        </w:trPr>
        <w:tc>
          <w:tcPr>
            <w:tcW w:w="99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20126</w:t>
            </w:r>
          </w:p>
        </w:tc>
        <w:tc>
          <w:tcPr>
            <w:tcW w:w="2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档案事务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156.36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73.88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82.48</w:t>
            </w:r>
          </w:p>
        </w:tc>
      </w:tr>
      <w:tr>
        <w:tblPrEx>
          <w:tblCellMar>
            <w:top w:w="0" w:type="dxa"/>
            <w:left w:w="0" w:type="dxa"/>
            <w:bottom w:w="0" w:type="dxa"/>
            <w:right w:w="0" w:type="dxa"/>
          </w:tblCellMar>
        </w:tblPrEx>
        <w:trPr>
          <w:trHeight w:val="368" w:hRule="atLeast"/>
        </w:trPr>
        <w:tc>
          <w:tcPr>
            <w:tcW w:w="99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2012601</w:t>
            </w:r>
          </w:p>
        </w:tc>
        <w:tc>
          <w:tcPr>
            <w:tcW w:w="2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68.94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68.94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2012604</w:t>
            </w:r>
          </w:p>
        </w:tc>
        <w:tc>
          <w:tcPr>
            <w:tcW w:w="2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档案馆</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87.42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4.94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82.48</w:t>
            </w:r>
          </w:p>
        </w:tc>
      </w:tr>
      <w:tr>
        <w:tblPrEx>
          <w:tblCellMar>
            <w:top w:w="0" w:type="dxa"/>
            <w:left w:w="0" w:type="dxa"/>
            <w:bottom w:w="0" w:type="dxa"/>
            <w:right w:w="0" w:type="dxa"/>
          </w:tblCellMar>
        </w:tblPrEx>
        <w:trPr>
          <w:trHeight w:val="368" w:hRule="atLeast"/>
        </w:trPr>
        <w:tc>
          <w:tcPr>
            <w:tcW w:w="99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w:t>
            </w:r>
          </w:p>
        </w:tc>
        <w:tc>
          <w:tcPr>
            <w:tcW w:w="2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w:t>
            </w:r>
          </w:p>
        </w:tc>
        <w:tc>
          <w:tcPr>
            <w:tcW w:w="2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2080505</w:t>
            </w:r>
          </w:p>
        </w:tc>
        <w:tc>
          <w:tcPr>
            <w:tcW w:w="21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机关事业单位基本养老保险费缴费支出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10"/>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rFonts w:hint="eastAsia" w:ascii="宋体" w:hAnsi="宋体" w:cs="宋体"/>
                <w:color w:val="000000"/>
                <w:kern w:val="0"/>
                <w:szCs w:val="21"/>
                <w:lang w:eastAsia="zh-CN" w:bidi="ar"/>
              </w:rPr>
              <w:t>无极县档案馆</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57.5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5.36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30.32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3.93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15.21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9.39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1.38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0.23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1.19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1.02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0.18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0.01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12.21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12.21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69.70</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5.36</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Cs w:val="21"/>
                <w:lang w:eastAsia="zh-CN" w:bidi="ar"/>
              </w:rPr>
              <w:t>无极县档案馆</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  </w:t>
            </w:r>
            <w:r>
              <w:rPr>
                <w:rFonts w:hint="eastAsia" w:ascii="宋体" w:hAnsi="宋体" w:cs="宋体"/>
                <w:color w:val="000000"/>
                <w:kern w:val="0"/>
                <w:szCs w:val="21"/>
                <w:lang w:eastAsia="zh-CN" w:bidi="ar"/>
              </w:rPr>
              <w:t>本部门本年度无相关收入支出及结转结余情况，</w:t>
            </w:r>
            <w:r>
              <w:rPr>
                <w:rFonts w:hint="eastAsia" w:ascii="宋体" w:hAnsi="宋体" w:cs="宋体"/>
                <w:color w:val="000000"/>
                <w:kern w:val="0"/>
                <w:szCs w:val="21"/>
                <w:lang w:val="en-US" w:eastAsia="zh-CN" w:bidi="ar"/>
              </w:rPr>
              <w:t xml:space="preserve"> 按</w:t>
            </w:r>
            <w:r>
              <w:rPr>
                <w:rFonts w:hint="eastAsia" w:ascii="宋体" w:hAnsi="宋体" w:cs="宋体"/>
                <w:color w:val="000000"/>
                <w:kern w:val="0"/>
                <w:szCs w:val="21"/>
                <w:lang w:eastAsia="zh-CN" w:bidi="ar"/>
              </w:rPr>
              <w:t>要求空表列示。</w:t>
            </w:r>
            <w:r>
              <w:rPr>
                <w:rFonts w:hint="eastAsia" w:ascii="宋体" w:hAnsi="宋体" w:cs="宋体"/>
                <w:color w:val="000000"/>
                <w:kern w:val="0"/>
                <w:szCs w:val="21"/>
                <w:lang w:bidi="ar"/>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Cs w:val="21"/>
                <w:lang w:eastAsia="zh-CN" w:bidi="ar"/>
              </w:rPr>
              <w:t>无极县档案馆</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 </w:t>
            </w:r>
            <w:r>
              <w:rPr>
                <w:rFonts w:hint="eastAsia" w:ascii="宋体" w:hAnsi="宋体" w:cs="宋体"/>
                <w:color w:val="000000"/>
                <w:kern w:val="0"/>
                <w:szCs w:val="21"/>
                <w:lang w:eastAsia="zh-CN" w:bidi="ar"/>
              </w:rPr>
              <w:t>本部门本年度无相关收入支出及结转结余情况，</w:t>
            </w:r>
            <w:r>
              <w:rPr>
                <w:rFonts w:hint="eastAsia" w:ascii="宋体" w:hAnsi="宋体" w:cs="宋体"/>
                <w:color w:val="000000"/>
                <w:kern w:val="0"/>
                <w:szCs w:val="21"/>
                <w:lang w:val="en-US" w:eastAsia="zh-CN" w:bidi="ar"/>
              </w:rPr>
              <w:t xml:space="preserve"> 按</w:t>
            </w:r>
            <w:r>
              <w:rPr>
                <w:rFonts w:hint="eastAsia" w:ascii="宋体" w:hAnsi="宋体" w:cs="宋体"/>
                <w:color w:val="000000"/>
                <w:kern w:val="0"/>
                <w:szCs w:val="21"/>
                <w:lang w:eastAsia="zh-CN" w:bidi="ar"/>
              </w:rPr>
              <w:t>要求空表列示。</w:t>
            </w:r>
            <w:r>
              <w:rPr>
                <w:rFonts w:hint="eastAsia" w:ascii="宋体" w:hAnsi="宋体" w:cs="宋体"/>
                <w:color w:val="000000"/>
                <w:kern w:val="0"/>
                <w:szCs w:val="21"/>
                <w:lang w:bidi="ar"/>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r>
              <w:rPr>
                <w:rFonts w:hint="eastAsia" w:ascii="宋体" w:hAnsi="宋体" w:cs="宋体"/>
                <w:color w:val="000000"/>
                <w:kern w:val="0"/>
                <w:szCs w:val="21"/>
                <w:lang w:eastAsia="zh-CN" w:bidi="ar"/>
              </w:rPr>
              <w:t>无极县档案馆</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注：本表反映部门本年度国有资本经营预算财政拨款支出情况。</w:t>
            </w:r>
          </w:p>
          <w:p>
            <w:pPr>
              <w:widowControl/>
              <w:spacing w:after="0" w:line="240" w:lineRule="auto"/>
              <w:jc w:val="left"/>
              <w:textAlignment w:val="center"/>
              <w:rPr>
                <w:rFonts w:hint="eastAsia" w:ascii="宋体" w:hAnsi="宋体" w:cs="宋体"/>
                <w:color w:val="000000"/>
                <w:kern w:val="0"/>
                <w:sz w:val="22"/>
                <w:szCs w:val="22"/>
                <w:lang w:bidi="ar"/>
              </w:rPr>
            </w:pPr>
            <w:r>
              <w:rPr>
                <w:rFonts w:hint="eastAsia" w:ascii="宋体" w:hAnsi="宋体" w:cs="宋体"/>
                <w:color w:val="000000"/>
                <w:kern w:val="0"/>
                <w:szCs w:val="21"/>
                <w:lang w:eastAsia="zh-CN" w:bidi="ar"/>
              </w:rPr>
              <w:t>本部门本年度无相关收入支出及结转结余情况，</w:t>
            </w:r>
            <w:r>
              <w:rPr>
                <w:rFonts w:hint="eastAsia" w:ascii="宋体" w:hAnsi="宋体" w:cs="宋体"/>
                <w:color w:val="000000"/>
                <w:kern w:val="0"/>
                <w:szCs w:val="21"/>
                <w:lang w:val="en-US" w:eastAsia="zh-CN" w:bidi="ar"/>
              </w:rPr>
              <w:t xml:space="preserve"> 按</w:t>
            </w:r>
            <w:r>
              <w:rPr>
                <w:rFonts w:hint="eastAsia" w:ascii="宋体" w:hAnsi="宋体" w:cs="宋体"/>
                <w:color w:val="000000"/>
                <w:kern w:val="0"/>
                <w:szCs w:val="21"/>
                <w:lang w:eastAsia="zh-CN" w:bidi="ar"/>
              </w:rPr>
              <w:t>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w:t>
            </w:r>
            <w:r>
              <w:rPr>
                <w:rFonts w:hint="eastAsia" w:ascii="宋体" w:hAnsi="宋体" w:cs="宋体"/>
                <w:color w:val="000000"/>
                <w:kern w:val="0"/>
                <w:szCs w:val="21"/>
                <w:lang w:eastAsia="zh-CN" w:bidi="ar"/>
              </w:rPr>
              <w:t>无极县档案馆</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 xml:space="preserve">注：本表反映部门本年度纳入部门预算范围的政府采购预算及支出情况。 </w:t>
            </w:r>
          </w:p>
          <w:p>
            <w:pPr>
              <w:widowControl/>
              <w:adjustRightInd w:val="0"/>
              <w:snapToGrid w:val="0"/>
              <w:spacing w:after="0" w:line="240" w:lineRule="auto"/>
              <w:jc w:val="left"/>
              <w:textAlignment w:val="center"/>
              <w:rPr>
                <w:rFonts w:hint="eastAsia" w:ascii="宋体" w:hAnsi="宋体" w:cs="宋体"/>
                <w:color w:val="000000"/>
                <w:kern w:val="0"/>
                <w:szCs w:val="21"/>
                <w:lang w:bidi="ar"/>
              </w:rPr>
            </w:pPr>
            <w:r>
              <w:rPr>
                <w:rFonts w:hint="eastAsia" w:ascii="宋体" w:hAnsi="宋体" w:cs="宋体"/>
                <w:color w:val="000000"/>
                <w:kern w:val="0"/>
                <w:szCs w:val="21"/>
                <w:lang w:eastAsia="zh-CN" w:bidi="ar"/>
              </w:rPr>
              <w:t>本部门本年度无相关收入支出及结转结余情况，</w:t>
            </w:r>
            <w:r>
              <w:rPr>
                <w:rFonts w:hint="eastAsia" w:ascii="宋体" w:hAnsi="宋体" w:cs="宋体"/>
                <w:color w:val="000000"/>
                <w:kern w:val="0"/>
                <w:szCs w:val="21"/>
                <w:lang w:val="en-US" w:eastAsia="zh-CN" w:bidi="ar"/>
              </w:rPr>
              <w:t xml:space="preserve"> 按</w:t>
            </w:r>
            <w:r>
              <w:rPr>
                <w:rFonts w:hint="eastAsia" w:ascii="宋体" w:hAnsi="宋体" w:cs="宋体"/>
                <w:color w:val="000000"/>
                <w:kern w:val="0"/>
                <w:szCs w:val="21"/>
                <w:lang w:eastAsia="zh-CN" w:bidi="ar"/>
              </w:rPr>
              <w:t>要求空表列示。</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390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hint="eastAsia" w:ascii="仿宋_GB2312" w:eastAsia="仿宋_GB2312" w:cs="DengXian-Regular"/>
          <w:sz w:val="32"/>
          <w:szCs w:val="32"/>
          <w:lang w:val="en-US" w:eastAsia="zh-CN"/>
        </w:rPr>
        <w:t>157.6</w:t>
      </w:r>
      <w:r>
        <w:rPr>
          <w:rFonts w:hint="eastAsia" w:ascii="仿宋_GB2312" w:eastAsia="仿宋_GB2312" w:cs="DengXian-Regular"/>
          <w:sz w:val="32"/>
          <w:szCs w:val="32"/>
        </w:rPr>
        <w:t>万元。与2017年度决算相比，收支各增加</w:t>
      </w:r>
      <w:r>
        <w:rPr>
          <w:rFonts w:hint="eastAsia" w:ascii="仿宋_GB2312" w:eastAsia="仿宋_GB2312" w:cs="DengXian-Regular"/>
          <w:sz w:val="32"/>
          <w:szCs w:val="32"/>
          <w:lang w:val="en-US" w:eastAsia="zh-CN"/>
        </w:rPr>
        <w:t>52.98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33.61</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工资增长和临时预算增加</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157.6</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157.6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hint="eastAsia" w:ascii="仿宋_GB2312" w:eastAsia="仿宋_GB2312" w:cs="DengXian-Regular"/>
          <w:sz w:val="32"/>
          <w:szCs w:val="32"/>
          <w:lang w:eastAsia="zh-CN"/>
        </w:rPr>
      </w:pPr>
    </w:p>
    <w:p>
      <w:pPr>
        <w:adjustRightInd w:val="0"/>
        <w:snapToGrid w:val="0"/>
        <w:spacing w:after="0" w:line="58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53120" behindDoc="0" locked="0" layoutInCell="1" allowOverlap="1">
            <wp:simplePos x="0" y="0"/>
            <wp:positionH relativeFrom="column">
              <wp:posOffset>287020</wp:posOffset>
            </wp:positionH>
            <wp:positionV relativeFrom="paragraph">
              <wp:posOffset>264795</wp:posOffset>
            </wp:positionV>
            <wp:extent cx="5080000" cy="3810000"/>
            <wp:effectExtent l="4445" t="4445" r="20955" b="14605"/>
            <wp:wrapSquare wrapText="bothSides"/>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157.54</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75.06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47.65</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82.48</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52.35</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54144" behindDoc="0" locked="0" layoutInCell="1" allowOverlap="1">
            <wp:simplePos x="0" y="0"/>
            <wp:positionH relativeFrom="column">
              <wp:posOffset>-55880</wp:posOffset>
            </wp:positionH>
            <wp:positionV relativeFrom="paragraph">
              <wp:posOffset>323850</wp:posOffset>
            </wp:positionV>
            <wp:extent cx="5080000" cy="3810000"/>
            <wp:effectExtent l="4445" t="4445" r="20955" b="14605"/>
            <wp:wrapSquare wrapText="bothSides"/>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eastAsia="仿宋_GB2312" w:cs="DengXian-Regular"/>
          <w:sz w:val="32"/>
          <w:szCs w:val="32"/>
          <w:lang w:val="en-US" w:eastAsia="zh-CN"/>
        </w:rPr>
        <w:t>157.6</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52.98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33.61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工资增长和临时预算增加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157.54</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60.59</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38.46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工资增长和临时预算增加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55168" behindDoc="0" locked="0" layoutInCell="1" allowOverlap="1">
            <wp:simplePos x="0" y="0"/>
            <wp:positionH relativeFrom="column">
              <wp:posOffset>287020</wp:posOffset>
            </wp:positionH>
            <wp:positionV relativeFrom="paragraph">
              <wp:posOffset>197485</wp:posOffset>
            </wp:positionV>
            <wp:extent cx="5080000" cy="3810000"/>
            <wp:effectExtent l="4445" t="4445" r="20955" b="14605"/>
            <wp:wrapSquare wrapText="bothSides"/>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_GB2312" w:eastAsia="仿宋_GB2312" w:cs="DengXian-Regular"/>
          <w:sz w:val="32"/>
          <w:szCs w:val="32"/>
          <w:lang w:val="en-US" w:eastAsia="zh-CN"/>
        </w:rPr>
        <w:t>157.6</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26.04</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30.93</w:t>
      </w:r>
      <w:r>
        <w:rPr>
          <w:rFonts w:hint="eastAsia" w:ascii="仿宋_GB2312" w:eastAsia="仿宋_GB2312" w:cs="DengXian-Regular"/>
          <w:sz w:val="32"/>
          <w:szCs w:val="32"/>
        </w:rPr>
        <w:t>万元，决算数大于预算数主要原因是</w:t>
      </w:r>
      <w:r>
        <w:rPr>
          <w:rFonts w:hint="eastAsia" w:ascii="仿宋_GB2312" w:eastAsia="仿宋_GB2312" w:cs="DengXian-Regular"/>
          <w:sz w:val="32"/>
          <w:szCs w:val="32"/>
          <w:lang w:eastAsia="zh-CN"/>
        </w:rPr>
        <w:t>工资增长和临时预算增加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157.54</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24.62</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38.78</w:t>
      </w:r>
      <w:r>
        <w:rPr>
          <w:rFonts w:hint="eastAsia" w:ascii="仿宋_GB2312" w:eastAsia="仿宋_GB2312" w:cs="DengXian-Regular"/>
          <w:sz w:val="32"/>
          <w:szCs w:val="32"/>
        </w:rPr>
        <w:t>万元，决算数大于预算数主要原因是</w:t>
      </w:r>
      <w:r>
        <w:rPr>
          <w:rFonts w:hint="eastAsia" w:ascii="仿宋_GB2312" w:eastAsia="仿宋_GB2312" w:cs="DengXian-Regular"/>
          <w:sz w:val="32"/>
          <w:szCs w:val="32"/>
          <w:lang w:eastAsia="zh-CN"/>
        </w:rPr>
        <w:t>工资增长和临时预算增加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highlight w:val="yellow"/>
          <w:lang w:eastAsia="zh-CN"/>
        </w:rPr>
        <w:drawing>
          <wp:anchor distT="0" distB="0" distL="114300" distR="114300" simplePos="0" relativeHeight="251656192" behindDoc="0" locked="0" layoutInCell="1" allowOverlap="1">
            <wp:simplePos x="0" y="0"/>
            <wp:positionH relativeFrom="column">
              <wp:posOffset>401320</wp:posOffset>
            </wp:positionH>
            <wp:positionV relativeFrom="paragraph">
              <wp:posOffset>139065</wp:posOffset>
            </wp:positionV>
            <wp:extent cx="5080000" cy="3810000"/>
            <wp:effectExtent l="4445" t="4445" r="20955" b="14605"/>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640" w:firstLineChars="200"/>
        <w:rPr>
          <w:rFonts w:hint="eastAsia" w:ascii="仿宋_GB2312" w:eastAsia="仿宋_GB2312" w:cs="DengXian-Regular"/>
          <w:sz w:val="32"/>
          <w:szCs w:val="32"/>
          <w:highlight w:val="yellow"/>
          <w:lang w:eastAsia="zh-CN"/>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157.54</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一般公共服务（类）支出</w:t>
      </w:r>
      <w:r>
        <w:rPr>
          <w:rFonts w:hint="eastAsia" w:ascii="仿宋_GB2312" w:eastAsia="仿宋_GB2312" w:cs="DengXian-Regular"/>
          <w:sz w:val="32"/>
          <w:szCs w:val="32"/>
          <w:lang w:val="en-US" w:eastAsia="zh-CN"/>
        </w:rPr>
        <w:t>156.36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99.25</w:t>
      </w:r>
      <w:r>
        <w:rPr>
          <w:rFonts w:hint="eastAsia" w:ascii="仿宋_GB2312" w:eastAsia="仿宋_GB2312" w:cs="DengXian-Regular"/>
          <w:sz w:val="32"/>
          <w:szCs w:val="32"/>
        </w:rPr>
        <w:t>%；公共安全类（类）支出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%；教育（类）支出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%；科学技术（类）支出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 xml:space="preserve">%；社会保障和就业（类）支出 </w:t>
      </w:r>
      <w:r>
        <w:rPr>
          <w:rFonts w:hint="eastAsia" w:ascii="仿宋_GB2312" w:eastAsia="仿宋_GB2312" w:cs="DengXian-Regular"/>
          <w:sz w:val="32"/>
          <w:szCs w:val="32"/>
          <w:lang w:val="en-US" w:eastAsia="zh-CN"/>
        </w:rPr>
        <w:t>1.19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0.75</w:t>
      </w:r>
      <w:r>
        <w:rPr>
          <w:rFonts w:hint="eastAsia" w:ascii="仿宋_GB2312" w:eastAsia="仿宋_GB2312" w:cs="DengXian-Regular"/>
          <w:sz w:val="32"/>
          <w:szCs w:val="32"/>
        </w:rPr>
        <w:t>%；住房保障（类）支出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pPr>
        <w:adjustRightInd w:val="0"/>
        <w:snapToGrid w:val="0"/>
        <w:spacing w:after="0" w:line="580" w:lineRule="exact"/>
        <w:rPr>
          <w:rFonts w:hint="eastAsia" w:ascii="楷体_GB2312" w:eastAsia="楷体_GB2312" w:cs="DengXian-Bold"/>
          <w:b/>
          <w:bCs/>
          <w:sz w:val="32"/>
          <w:szCs w:val="32"/>
          <w:lang w:eastAsia="zh-CN"/>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lang w:eastAsia="zh-CN"/>
        </w:rPr>
        <w:drawing>
          <wp:anchor distT="0" distB="0" distL="114300" distR="114300" simplePos="0" relativeHeight="251657216" behindDoc="0" locked="0" layoutInCell="1" allowOverlap="1">
            <wp:simplePos x="0" y="0"/>
            <wp:positionH relativeFrom="column">
              <wp:posOffset>223520</wp:posOffset>
            </wp:positionH>
            <wp:positionV relativeFrom="paragraph">
              <wp:posOffset>243840</wp:posOffset>
            </wp:positionV>
            <wp:extent cx="5080000" cy="3810000"/>
            <wp:effectExtent l="4445" t="4445" r="20955" b="14605"/>
            <wp:wrapSquare wrapText="bothSides"/>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75.06</w:t>
      </w:r>
      <w:r>
        <w:rPr>
          <w:rFonts w:hint="eastAsia" w:ascii="仿宋_GB2312" w:eastAsia="仿宋_GB2312" w:cs="DengXian-Regular"/>
          <w:sz w:val="32"/>
          <w:szCs w:val="32"/>
        </w:rPr>
        <w:t xml:space="preserve">万元，其中：人员经费 </w:t>
      </w:r>
      <w:r>
        <w:rPr>
          <w:rFonts w:hint="eastAsia" w:ascii="仿宋_GB2312" w:eastAsia="仿宋_GB2312" w:cs="DengXian-Regular"/>
          <w:sz w:val="32"/>
          <w:szCs w:val="32"/>
          <w:lang w:val="en-US" w:eastAsia="zh-CN"/>
        </w:rPr>
        <w:t>69.7</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5.36</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w:t>
      </w:r>
      <w:r>
        <w:rPr>
          <w:rFonts w:hint="eastAsia" w:ascii="仿宋_GB2312" w:eastAsia="仿宋_GB2312" w:cs="DengXian-Regular"/>
          <w:b/>
          <w:bCs/>
          <w:sz w:val="32"/>
          <w:szCs w:val="32"/>
          <w:lang w:eastAsia="zh-CN"/>
        </w:rPr>
        <w:t>无</w:t>
      </w:r>
      <w:r>
        <w:rPr>
          <w:rFonts w:hint="eastAsia" w:ascii="仿宋_GB2312" w:eastAsia="仿宋_GB2312" w:cs="DengXian-Regular"/>
          <w:b/>
          <w:bCs/>
          <w:sz w:val="32"/>
          <w:szCs w:val="32"/>
        </w:rPr>
        <w:t>增</w:t>
      </w:r>
      <w:r>
        <w:rPr>
          <w:rFonts w:hint="eastAsia" w:ascii="仿宋_GB2312" w:eastAsia="仿宋_GB2312" w:cs="DengXian-Regular"/>
          <w:b/>
          <w:bCs/>
          <w:sz w:val="32"/>
          <w:szCs w:val="32"/>
          <w:lang w:eastAsia="zh-CN"/>
        </w:rPr>
        <w:t>减变化，</w:t>
      </w:r>
      <w:r>
        <w:rPr>
          <w:rFonts w:hint="eastAsia" w:ascii="仿宋_GB2312" w:eastAsia="仿宋_GB2312" w:cs="DengXian-Regular"/>
          <w:sz w:val="32"/>
          <w:szCs w:val="32"/>
        </w:rPr>
        <w:t>主要是</w:t>
      </w:r>
      <w:r>
        <w:rPr>
          <w:rFonts w:hint="eastAsia" w:ascii="仿宋" w:hAnsi="仿宋" w:eastAsia="仿宋" w:cs="仿宋"/>
          <w:color w:val="000000"/>
          <w:kern w:val="0"/>
          <w:sz w:val="32"/>
          <w:szCs w:val="32"/>
          <w:lang w:eastAsia="zh-CN" w:bidi="ar"/>
        </w:rPr>
        <w:t>本部门本年度无相关收入支出及结转结余情况</w:t>
      </w:r>
      <w:r>
        <w:rPr>
          <w:rFonts w:hint="eastAsia" w:ascii="仿宋" w:hAnsi="仿宋" w:eastAsia="仿宋" w:cs="仿宋"/>
          <w:color w:val="000000"/>
          <w:kern w:val="0"/>
          <w:sz w:val="32"/>
          <w:szCs w:val="32"/>
          <w:lang w:val="en-US" w:eastAsia="zh-CN" w:bidi="ar"/>
        </w:rPr>
        <w:t>.</w:t>
      </w:r>
      <w:r>
        <w:rPr>
          <w:rFonts w:hint="eastAsia" w:ascii="仿宋_GB2312" w:eastAsia="仿宋_GB2312" w:cs="DengXian-Regular"/>
          <w:sz w:val="32"/>
          <w:szCs w:val="32"/>
        </w:rPr>
        <w:t>。具体情况如下：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w:t>
      </w:r>
      <w:r>
        <w:rPr>
          <w:rFonts w:hint="eastAsia" w:ascii="仿宋_GB2312" w:eastAsia="仿宋_GB2312" w:cs="DengXian-Regular"/>
          <w:sz w:val="32"/>
          <w:szCs w:val="32"/>
          <w:lang w:val="en-US" w:eastAsia="zh-CN"/>
        </w:rPr>
        <w:t>,</w:t>
      </w:r>
      <w:r>
        <w:rPr>
          <w:rFonts w:hint="eastAsia" w:ascii="仿宋_GB2312" w:eastAsia="仿宋_GB2312" w:cs="DengXian-Regular"/>
          <w:sz w:val="32"/>
          <w:szCs w:val="32"/>
        </w:rPr>
        <w:t>主要是</w:t>
      </w:r>
      <w:r>
        <w:rPr>
          <w:rFonts w:hint="eastAsia" w:ascii="仿宋" w:hAnsi="仿宋" w:eastAsia="仿宋" w:cs="仿宋"/>
          <w:color w:val="000000"/>
          <w:kern w:val="0"/>
          <w:sz w:val="32"/>
          <w:szCs w:val="32"/>
          <w:lang w:eastAsia="zh-CN" w:bidi="ar"/>
        </w:rPr>
        <w:t>本部门本年度无相关收入支出及结转结余情况</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 w:hAnsi="仿宋" w:eastAsia="仿宋" w:cs="仿宋"/>
          <w:color w:val="000000"/>
          <w:kern w:val="0"/>
          <w:sz w:val="32"/>
          <w:szCs w:val="32"/>
          <w:lang w:eastAsia="zh-CN" w:bidi="ar"/>
        </w:rPr>
        <w:t>本年度无相关收入支出及结转结余情况</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万元。主要是</w:t>
      </w:r>
      <w:r>
        <w:rPr>
          <w:rFonts w:hint="eastAsia" w:ascii="仿宋" w:hAnsi="仿宋" w:eastAsia="仿宋" w:cs="仿宋"/>
          <w:color w:val="000000"/>
          <w:kern w:val="0"/>
          <w:sz w:val="32"/>
          <w:szCs w:val="32"/>
          <w:lang w:eastAsia="zh-CN" w:bidi="ar"/>
        </w:rPr>
        <w:t>本年度无相关收入支出及结转结余情况</w:t>
      </w:r>
      <w:r>
        <w:rPr>
          <w:rFonts w:hint="eastAsia" w:ascii="仿宋_GB2312" w:eastAsia="仿宋_GB2312" w:cs="DengXian-Regular"/>
          <w:sz w:val="32"/>
          <w:szCs w:val="32"/>
        </w:rPr>
        <w:t>。</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辆。主要是</w:t>
      </w:r>
      <w:r>
        <w:rPr>
          <w:rFonts w:hint="eastAsia" w:ascii="仿宋" w:hAnsi="仿宋" w:eastAsia="仿宋" w:cs="仿宋"/>
          <w:color w:val="000000"/>
          <w:kern w:val="0"/>
          <w:sz w:val="32"/>
          <w:szCs w:val="32"/>
          <w:lang w:eastAsia="zh-CN" w:bidi="ar"/>
        </w:rPr>
        <w:t>本年度无相关收入支出及结转结余情况</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人次。主要是</w:t>
      </w:r>
      <w:r>
        <w:rPr>
          <w:rFonts w:hint="eastAsia" w:ascii="仿宋" w:hAnsi="仿宋" w:eastAsia="仿宋" w:cs="仿宋"/>
          <w:color w:val="000000"/>
          <w:kern w:val="0"/>
          <w:sz w:val="32"/>
          <w:szCs w:val="32"/>
          <w:lang w:eastAsia="zh-CN" w:bidi="ar"/>
        </w:rPr>
        <w:t>本年度无相关收入支出及结转结余情况</w:t>
      </w:r>
      <w:r>
        <w:rPr>
          <w:rFonts w:hint="eastAsia" w:ascii="仿宋_GB2312" w:eastAsia="仿宋_GB2312" w:cs="DengXian-Regular"/>
          <w:sz w:val="32"/>
          <w:szCs w:val="32"/>
        </w:rPr>
        <w:t>。</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bookmarkStart w:id="0" w:name="_GoBack"/>
      <w:bookmarkEnd w:id="0"/>
    </w:p>
    <w:p>
      <w:pPr>
        <w:adjustRightInd w:val="0"/>
        <w:snapToGrid w:val="0"/>
        <w:spacing w:after="0" w:line="580" w:lineRule="exact"/>
        <w:ind w:firstLine="640" w:firstLineChars="200"/>
        <w:rPr>
          <w:rFonts w:hint="eastAsia" w:ascii="仿宋_GB2312" w:eastAsia="仿宋_GB2312" w:cs="DengXian-Regular"/>
          <w:color w:val="FF0000"/>
          <w:sz w:val="32"/>
          <w:szCs w:val="32"/>
          <w:lang w:eastAsia="zh-CN"/>
        </w:rPr>
      </w:pPr>
      <w:r>
        <w:rPr>
          <w:rFonts w:hint="eastAsia" w:ascii="仿宋_GB2312" w:eastAsia="仿宋_GB2312" w:cs="DengXian-Regular"/>
          <w:sz w:val="32"/>
          <w:szCs w:val="32"/>
        </w:rPr>
        <w:t>（一）绩效管理工作开展情况</w:t>
      </w:r>
      <w:r>
        <w:rPr>
          <w:rFonts w:hint="eastAsia" w:ascii="仿宋_GB2312" w:eastAsia="仿宋_GB2312" w:cs="DengXian-Regular"/>
          <w:sz w:val="32"/>
          <w:szCs w:val="32"/>
          <w:lang w:eastAsia="zh-CN"/>
        </w:rPr>
        <w:t>：</w:t>
      </w:r>
      <w:r>
        <w:rPr>
          <w:rFonts w:hint="eastAsia" w:ascii="仿宋" w:hAnsi="仿宋" w:eastAsia="仿宋" w:cs="仿宋"/>
          <w:sz w:val="32"/>
          <w:szCs w:val="32"/>
        </w:rPr>
        <w:t>机关团体企事业单位档案工作目标管理认定，做好档案资源建设和保管，优化馆藏，做好重点档案抢救、保护、开发和信息化管理工作。提供档案查阅和利用，培育档案文化产业，推进全县档案信息化工作。</w:t>
      </w:r>
      <w:r>
        <w:rPr>
          <w:rFonts w:hint="eastAsia" w:ascii="仿宋_GB2312" w:eastAsia="仿宋_GB2312" w:cs="DengXian-Regular"/>
          <w:sz w:val="32"/>
          <w:szCs w:val="32"/>
        </w:rPr>
        <w:t>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sz w:val="32"/>
          <w:szCs w:val="32"/>
          <w:lang w:eastAsia="zh-CN"/>
        </w:rPr>
        <w:t>优秀。</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lang w:eastAsia="zh-CN"/>
        </w:rPr>
        <w:t>：</w:t>
      </w:r>
      <w:r>
        <w:rPr>
          <w:rFonts w:hint="eastAsia" w:ascii="仿宋" w:hAnsi="仿宋" w:eastAsia="仿宋" w:cs="仿宋"/>
          <w:sz w:val="32"/>
          <w:szCs w:val="32"/>
        </w:rPr>
        <w:t>应用各种技术手段，对档案资料进行管护和数字化转换，重现档案原貌，最大限度地延长档案寿命。建立专题档案全文数据库，便于开发利用，为社会公众服务。</w:t>
      </w:r>
      <w:r>
        <w:rPr>
          <w:rFonts w:hint="eastAsia" w:ascii="仿宋_GB2312" w:eastAsia="仿宋_GB2312" w:cs="DengXian-Regular"/>
          <w:sz w:val="32"/>
          <w:szCs w:val="32"/>
        </w:rPr>
        <w:t>根据预算绩效管理要求，本单位组织对201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年度一般公共预算项目支出全面开展绩效自评，涉及</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个项目，涉及资金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5.36</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0.36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7.2</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日常费用增加</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与上年持平无增减变化</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相比无增减变化</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与上年持平</w:t>
      </w:r>
      <w:r>
        <w:rPr>
          <w:rFonts w:hint="eastAsia" w:ascii="仿宋_GB2312" w:eastAsia="仿宋_GB2312" w:cs="DengXian-Regular"/>
          <w:sz w:val="32"/>
          <w:szCs w:val="32"/>
        </w:rPr>
        <w:t>,</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val="en-US" w:eastAsia="zh-CN"/>
        </w:rPr>
        <w:t>&lt;</w:t>
      </w:r>
      <w:r>
        <w:rPr>
          <w:rFonts w:hint="eastAsia" w:ascii="仿宋" w:hAnsi="仿宋" w:eastAsia="仿宋" w:cs="仿宋"/>
          <w:color w:val="000000"/>
          <w:kern w:val="0"/>
          <w:sz w:val="32"/>
          <w:szCs w:val="32"/>
          <w:lang w:bidi="ar"/>
        </w:rPr>
        <w:t>一般公共预算财政拨款“三公”经费支出决算表</w:t>
      </w:r>
      <w:r>
        <w:rPr>
          <w:rFonts w:hint="eastAsia" w:ascii="仿宋" w:hAnsi="仿宋" w:eastAsia="仿宋" w:cs="仿宋"/>
          <w:color w:val="000000"/>
          <w:kern w:val="0"/>
          <w:sz w:val="32"/>
          <w:szCs w:val="32"/>
          <w:lang w:val="en-US" w:eastAsia="zh-CN" w:bidi="ar"/>
        </w:rPr>
        <w:t>&gt;&lt;</w:t>
      </w:r>
      <w:r>
        <w:rPr>
          <w:rFonts w:hint="eastAsia" w:ascii="仿宋" w:hAnsi="仿宋" w:eastAsia="仿宋" w:cs="仿宋"/>
          <w:color w:val="000000"/>
          <w:kern w:val="0"/>
          <w:sz w:val="30"/>
          <w:szCs w:val="30"/>
          <w:lang w:bidi="ar"/>
        </w:rPr>
        <w:t>政府性基金预算财政拨款收入支出决算表</w:t>
      </w:r>
      <w:r>
        <w:rPr>
          <w:rFonts w:hint="eastAsia" w:ascii="仿宋" w:hAnsi="仿宋" w:eastAsia="仿宋" w:cs="仿宋"/>
          <w:color w:val="000000"/>
          <w:kern w:val="0"/>
          <w:sz w:val="32"/>
          <w:szCs w:val="32"/>
          <w:lang w:val="en-US" w:eastAsia="zh-CN" w:bidi="ar"/>
        </w:rPr>
        <w:t>&gt;&lt;</w:t>
      </w:r>
      <w:r>
        <w:rPr>
          <w:rFonts w:hint="eastAsia" w:ascii="仿宋" w:hAnsi="仿宋" w:eastAsia="仿宋" w:cs="仿宋"/>
          <w:color w:val="000000"/>
          <w:kern w:val="0"/>
          <w:sz w:val="32"/>
          <w:szCs w:val="32"/>
          <w:lang w:bidi="ar"/>
        </w:rPr>
        <w:t>国有资本经营预算财政拨款支出决算表</w:t>
      </w:r>
      <w:r>
        <w:rPr>
          <w:rFonts w:hint="eastAsia" w:ascii="仿宋" w:hAnsi="仿宋" w:eastAsia="仿宋" w:cs="仿宋"/>
          <w:color w:val="000000"/>
          <w:kern w:val="0"/>
          <w:sz w:val="32"/>
          <w:szCs w:val="32"/>
          <w:lang w:val="en-US" w:eastAsia="zh-CN" w:bidi="ar"/>
        </w:rPr>
        <w:t>&gt;&lt;</w:t>
      </w:r>
      <w:r>
        <w:rPr>
          <w:rFonts w:hint="eastAsia" w:ascii="仿宋" w:hAnsi="仿宋" w:eastAsia="仿宋" w:cs="仿宋"/>
          <w:color w:val="000000"/>
          <w:kern w:val="0"/>
          <w:sz w:val="32"/>
          <w:szCs w:val="32"/>
          <w:lang w:bidi="ar"/>
        </w:rPr>
        <w:t>政府采购情况表</w:t>
      </w:r>
      <w:r>
        <w:rPr>
          <w:rFonts w:hint="eastAsia" w:ascii="仿宋" w:hAnsi="仿宋" w:eastAsia="仿宋" w:cs="仿宋"/>
          <w:color w:val="000000"/>
          <w:kern w:val="0"/>
          <w:sz w:val="32"/>
          <w:szCs w:val="32"/>
          <w:lang w:val="en-US" w:eastAsia="zh-CN" w:bidi="ar"/>
        </w:rPr>
        <w:t>&gt;</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公开表</w:t>
      </w:r>
      <w:r>
        <w:rPr>
          <w:rFonts w:hint="eastAsia" w:ascii="仿宋" w:hAnsi="仿宋" w:eastAsia="仿宋" w:cs="仿宋"/>
          <w:sz w:val="32"/>
          <w:szCs w:val="32"/>
          <w:lang w:val="en-US" w:eastAsia="zh-CN"/>
        </w:rPr>
        <w:t>7、8、9、10</w:t>
      </w:r>
      <w:r>
        <w:rPr>
          <w:rFonts w:hint="eastAsia" w:ascii="仿宋_GB2312" w:eastAsia="仿宋_GB2312" w:cs="DengXian-Regular"/>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595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9C3F49F-FCBD-4B74-B7D5-FB0B35BB49B9}"/>
  </w:font>
  <w:font w:name="黑体">
    <w:panose1 w:val="02010609060101010101"/>
    <w:charset w:val="86"/>
    <w:family w:val="auto"/>
    <w:pitch w:val="default"/>
    <w:sig w:usb0="800002BF" w:usb1="38CF7CFA" w:usb2="00000016" w:usb3="00000000" w:csb0="00040001" w:csb1="00000000"/>
    <w:embedRegular r:id="rId2" w:fontKey="{359FCCFD-AB4E-433E-9932-E95D4740E46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FB3B4DC3-ACBB-4BF3-AB2B-7B534F789991}"/>
  </w:font>
  <w:font w:name="Cambria">
    <w:panose1 w:val="02040503050406030204"/>
    <w:charset w:val="00"/>
    <w:family w:val="roman"/>
    <w:pitch w:val="default"/>
    <w:sig w:usb0="E00006FF" w:usb1="420024FF" w:usb2="02000000" w:usb3="00000000" w:csb0="2000019F" w:csb1="00000000"/>
    <w:embedRegular r:id="rId4" w:fontKey="{D6375277-4192-4673-BC0B-AA098136A702}"/>
  </w:font>
  <w:font w:name="楷体">
    <w:panose1 w:val="02010609060101010101"/>
    <w:charset w:val="86"/>
    <w:family w:val="modern"/>
    <w:pitch w:val="default"/>
    <w:sig w:usb0="800002BF" w:usb1="38CF7CFA" w:usb2="00000016" w:usb3="00000000" w:csb0="00040001" w:csb1="00000000"/>
    <w:embedRegular r:id="rId5" w:fontKey="{A652A7CB-555F-4495-B3D6-E27404925E00}"/>
  </w:font>
  <w:font w:name="楷体_GB2312">
    <w:panose1 w:val="02010609030101010101"/>
    <w:charset w:val="86"/>
    <w:family w:val="modern"/>
    <w:pitch w:val="default"/>
    <w:sig w:usb0="00000000" w:usb1="00000000" w:usb2="00000000" w:usb3="00000000" w:csb0="00000000" w:csb1="00000000"/>
    <w:embedRegular r:id="rId6" w:fontKey="{DBD1C947-FBAB-4F9E-AE44-6A7553899FAD}"/>
  </w:font>
  <w:font w:name="仿宋_GB2312">
    <w:panose1 w:val="02010609030101010101"/>
    <w:charset w:val="86"/>
    <w:family w:val="modern"/>
    <w:pitch w:val="default"/>
    <w:sig w:usb0="00000000" w:usb1="00000000" w:usb2="00000000" w:usb3="00000000" w:csb0="00000000" w:csb1="00000000"/>
    <w:embedRegular r:id="rId7" w:fontKey="{14539458-3E5E-4204-8D94-0EBE727E2C00}"/>
  </w:font>
  <w:font w:name="ArialUnicodeMS">
    <w:altName w:val="Malgun Gothic"/>
    <w:panose1 w:val="00000000000000000000"/>
    <w:charset w:val="81"/>
    <w:family w:val="auto"/>
    <w:pitch w:val="default"/>
    <w:sig w:usb0="00000000" w:usb1="00000000" w:usb2="00000010" w:usb3="00000000" w:csb0="00080001" w:csb1="00000000"/>
    <w:embedRegular r:id="rId8" w:fontKey="{53CDBCE5-EDF1-461F-B3EA-40490B5260CC}"/>
  </w:font>
  <w:font w:name="仿宋">
    <w:panose1 w:val="02010609060101010101"/>
    <w:charset w:val="86"/>
    <w:family w:val="auto"/>
    <w:pitch w:val="default"/>
    <w:sig w:usb0="800002BF" w:usb1="38CF7CFA" w:usb2="00000016" w:usb3="00000000" w:csb0="00040001" w:csb1="00000000"/>
    <w:embedRegular r:id="rId9" w:fontKey="{07FAF03B-05AC-4DD8-A3FD-5B43A53978B7}"/>
  </w:font>
  <w:font w:name="MS-UIGothic,Bold">
    <w:altName w:val="Malgun Gothic"/>
    <w:panose1 w:val="00000000000000000000"/>
    <w:charset w:val="81"/>
    <w:family w:val="auto"/>
    <w:pitch w:val="default"/>
    <w:sig w:usb0="00000000" w:usb1="00000000" w:usb2="00000010" w:usb3="00000000" w:csb0="00080000" w:csb1="00000000"/>
    <w:embedRegular r:id="rId10" w:fontKey="{ABEC4036-5C09-4747-9350-EBF7D7C2617D}"/>
  </w:font>
  <w:font w:name="DengXian-Regular">
    <w:altName w:val="宋体"/>
    <w:panose1 w:val="00000000000000000000"/>
    <w:charset w:val="86"/>
    <w:family w:val="auto"/>
    <w:pitch w:val="default"/>
    <w:sig w:usb0="00000000" w:usb1="00000000" w:usb2="00000010" w:usb3="00000000" w:csb0="00040001" w:csb1="00000000"/>
    <w:embedRegular r:id="rId11" w:fontKey="{CC1E3D48-9364-4312-8A2B-474E784990E6}"/>
  </w:font>
  <w:font w:name="DengXian-Bold">
    <w:altName w:val="宋体"/>
    <w:panose1 w:val="00000000000000000000"/>
    <w:charset w:val="86"/>
    <w:family w:val="auto"/>
    <w:pitch w:val="default"/>
    <w:sig w:usb0="00000000" w:usb1="00000000" w:usb2="00000010" w:usb3="00000000" w:csb0="00040001" w:csb1="00000000"/>
    <w:embedRegular r:id="rId12" w:fontKey="{8F84BAC1-376F-4B26-B135-C56F776095F8}"/>
  </w:font>
  <w:font w:name="TimesNewRomanPSMT">
    <w:altName w:val="Arial"/>
    <w:panose1 w:val="00000000000000000000"/>
    <w:charset w:val="00"/>
    <w:family w:val="swiss"/>
    <w:pitch w:val="default"/>
    <w:sig w:usb0="00000000" w:usb1="00000000" w:usb2="00000000" w:usb3="00000000" w:csb0="00000001" w:csb1="00000000"/>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21B5E"/>
    <w:rsid w:val="00224E91"/>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02871"/>
    <w:rsid w:val="00575922"/>
    <w:rsid w:val="005A6C90"/>
    <w:rsid w:val="005E3FB0"/>
    <w:rsid w:val="005F4B66"/>
    <w:rsid w:val="005F5208"/>
    <w:rsid w:val="00623229"/>
    <w:rsid w:val="00641318"/>
    <w:rsid w:val="0064405D"/>
    <w:rsid w:val="00685302"/>
    <w:rsid w:val="00695557"/>
    <w:rsid w:val="006D4EA7"/>
    <w:rsid w:val="0070012A"/>
    <w:rsid w:val="0070664B"/>
    <w:rsid w:val="007071B8"/>
    <w:rsid w:val="007414DE"/>
    <w:rsid w:val="0074209C"/>
    <w:rsid w:val="007905A9"/>
    <w:rsid w:val="007E5500"/>
    <w:rsid w:val="007F055B"/>
    <w:rsid w:val="0080644C"/>
    <w:rsid w:val="00811C2F"/>
    <w:rsid w:val="00833D46"/>
    <w:rsid w:val="00840A97"/>
    <w:rsid w:val="008C0149"/>
    <w:rsid w:val="008C689C"/>
    <w:rsid w:val="008D5DED"/>
    <w:rsid w:val="008E25CA"/>
    <w:rsid w:val="008F34FC"/>
    <w:rsid w:val="00935058"/>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5261"/>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8744D"/>
    <w:rsid w:val="00EB6A8B"/>
    <w:rsid w:val="00EF38C6"/>
    <w:rsid w:val="00F679C7"/>
    <w:rsid w:val="00F7711A"/>
    <w:rsid w:val="00FA0D58"/>
    <w:rsid w:val="00FA56F4"/>
    <w:rsid w:val="00FB4EDA"/>
    <w:rsid w:val="00FD3BD5"/>
    <w:rsid w:val="00FE3DC8"/>
    <w:rsid w:val="04073F84"/>
    <w:rsid w:val="07A37F92"/>
    <w:rsid w:val="0A784E2F"/>
    <w:rsid w:val="0B60750A"/>
    <w:rsid w:val="0E307490"/>
    <w:rsid w:val="0F065F8B"/>
    <w:rsid w:val="10686488"/>
    <w:rsid w:val="10DF728A"/>
    <w:rsid w:val="1264200E"/>
    <w:rsid w:val="141C5B77"/>
    <w:rsid w:val="15CF501C"/>
    <w:rsid w:val="18D8339D"/>
    <w:rsid w:val="1A21388F"/>
    <w:rsid w:val="1A570D2F"/>
    <w:rsid w:val="1B22700D"/>
    <w:rsid w:val="22E1195D"/>
    <w:rsid w:val="28FB0B8D"/>
    <w:rsid w:val="299249C1"/>
    <w:rsid w:val="2A9870FC"/>
    <w:rsid w:val="2C1E1E9F"/>
    <w:rsid w:val="2D2B7942"/>
    <w:rsid w:val="2D46481D"/>
    <w:rsid w:val="2E731008"/>
    <w:rsid w:val="2E733B28"/>
    <w:rsid w:val="30F827A0"/>
    <w:rsid w:val="30FE0B0D"/>
    <w:rsid w:val="31852B5A"/>
    <w:rsid w:val="32D01238"/>
    <w:rsid w:val="3DFC59A8"/>
    <w:rsid w:val="3ECF245E"/>
    <w:rsid w:val="3FB96314"/>
    <w:rsid w:val="4CA8310B"/>
    <w:rsid w:val="504F0648"/>
    <w:rsid w:val="508C292E"/>
    <w:rsid w:val="53A44FAF"/>
    <w:rsid w:val="58DD2853"/>
    <w:rsid w:val="594329EC"/>
    <w:rsid w:val="5BEE1540"/>
    <w:rsid w:val="5BF06DD8"/>
    <w:rsid w:val="5CEF35AA"/>
    <w:rsid w:val="5DE61A5D"/>
    <w:rsid w:val="63C04243"/>
    <w:rsid w:val="6470761F"/>
    <w:rsid w:val="649C01C7"/>
    <w:rsid w:val="68217760"/>
    <w:rsid w:val="699A3F60"/>
    <w:rsid w:val="6D6A131B"/>
    <w:rsid w:val="72902E62"/>
    <w:rsid w:val="72FD2DFC"/>
    <w:rsid w:val="738075B6"/>
    <w:rsid w:val="73B737E4"/>
    <w:rsid w:val="73C61104"/>
    <w:rsid w:val="776452EA"/>
    <w:rsid w:val="787233CF"/>
    <w:rsid w:val="78EA3381"/>
    <w:rsid w:val="7A75683E"/>
    <w:rsid w:val="7DC663B9"/>
    <w:rsid w:val="7E325E5F"/>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1" i="0" u="none" strike="noStrike" kern="1200" cap="all" spc="5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本年收入情况</c:v>
                </c:pt>
              </c:strCache>
            </c:strRef>
          </c:tx>
          <c:spPr/>
          <c:explosion val="0"/>
          <c:dPt>
            <c:idx val="0"/>
            <c:bubble3D val="0"/>
            <c:spPr>
              <a:solidFill>
                <a:schemeClr val="accent1"/>
              </a:solidFill>
              <a:ln>
                <a:noFill/>
              </a:ln>
              <a:effectLst/>
            </c:spPr>
          </c:dPt>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c:f>
              <c:strCache>
                <c:ptCount val="1"/>
                <c:pt idx="0">
                  <c:v>财政拨款收入</c:v>
                </c:pt>
              </c:strCache>
            </c:strRef>
          </c:cat>
          <c:val>
            <c:numRef>
              <c:extLst>
                <c:ext xmlns:c15="http://schemas.microsoft.com/office/drawing/2012/chart" uri="{02D57815-91ED-43cb-92C2-25804820EDAC}">
                  <c15:fullRef>
                    <c15:sqref>Sheet1!$B$2:$B$5</c15:sqref>
                  </c15:fullRef>
                </c:ext>
              </c:extLst>
              <c:f>Sheet1!$B$2</c:f>
              <c:numCache>
                <c:formatCode>0%</c:formatCode>
                <c:ptCount val="1"/>
                <c:pt idx="0">
                  <c:v>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cap="all" spc="150" baseline="0">
              <a:solidFill>
                <a:schemeClr val="tx1">
                  <a:lumMod val="50000"/>
                  <a:lumOff val="50000"/>
                </a:schemeClr>
              </a:solidFill>
              <a:latin typeface="+mn-lt"/>
              <a:ea typeface="+mn-ea"/>
              <a:cs typeface="+mn-cs"/>
            </a:defRPr>
          </a:pPr>
        </a:p>
      </c:txPr>
    </c:title>
    <c:autoTitleDeleted val="0"/>
    <c:plotArea>
      <c:layout/>
      <c:pieChart>
        <c:varyColors val="1"/>
        <c:ser>
          <c:idx val="0"/>
          <c:order val="0"/>
          <c:tx>
            <c:strRef>
              <c:f>Sheet1!$B$1</c:f>
              <c:strCache>
                <c:ptCount val="1"/>
                <c:pt idx="0">
                  <c:v>支出决算情况</c:v>
                </c:pt>
              </c:strCache>
            </c:strRef>
          </c:tx>
          <c:spPr/>
          <c:explosion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基本支出</c:v>
                </c:pt>
                <c:pt idx="1">
                  <c:v>项目支出</c:v>
                </c:pt>
              </c:strCache>
            </c:strRef>
          </c:cat>
          <c:val>
            <c:numRef>
              <c:extLst>
                <c:ext xmlns:c15="http://schemas.microsoft.com/office/drawing/2012/chart" uri="{02D57815-91ED-43cb-92C2-25804820EDAC}">
                  <c15:fullRef>
                    <c15:sqref>Sheet1!$B$2:$B$5</c15:sqref>
                  </c15:fullRef>
                </c:ext>
              </c:extLst>
              <c:f>Sheet1!$B$2:$B$3</c:f>
              <c:numCache>
                <c:formatCode>0.00%</c:formatCode>
                <c:ptCount val="2"/>
                <c:pt idx="0">
                  <c:v>0.4765</c:v>
                </c:pt>
                <c:pt idx="1">
                  <c:v>0.5235</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a:t>
            </a:r>
            <a:r>
              <a:rPr lang="en-US" altLang="zh-CN"/>
              <a:t>2017</a:t>
            </a:r>
            <a:r>
              <a:rPr altLang="en-US"/>
              <a:t>年度决算对比</a:t>
            </a:r>
            <a:endParaRPr altLang="en-US"/>
          </a:p>
        </c:rich>
      </c:tx>
      <c:layout/>
      <c:overlay val="0"/>
      <c:spPr>
        <a:noFill/>
        <a:ln>
          <a:noFill/>
        </a:ln>
        <a:effectLst/>
      </c:spPr>
    </c:title>
    <c:autoTitleDeleted val="0"/>
    <c:plotArea>
      <c:layout>
        <c:manualLayout>
          <c:layoutTarget val="inner"/>
          <c:xMode val="edge"/>
          <c:yMode val="edge"/>
          <c:x val="0.06195"/>
          <c:y val="0.1305"/>
          <c:w val="0.9018"/>
          <c:h val="0.717233333333333"/>
        </c:manualLayout>
      </c:layout>
      <c:barChart>
        <c:barDir val="col"/>
        <c:grouping val="clustered"/>
        <c:varyColors val="0"/>
        <c:ser>
          <c:idx val="0"/>
          <c:order val="0"/>
          <c:tx>
            <c:strRef>
              <c:f>Sheet1!$B$1</c:f>
              <c:strCache>
                <c:ptCount val="1"/>
                <c:pt idx="0">
                  <c:v>收入决算数</c:v>
                </c:pt>
              </c:strCache>
            </c:strRef>
          </c:tx>
          <c:spPr>
            <a:solidFill>
              <a:schemeClr val="accent1">
                <a:tint val="100000"/>
                <a:shade val="100000"/>
                <a:hueMod val="100000"/>
                <a:satMod val="100000"/>
              </a:schemeClr>
            </a:solidFill>
            <a:ln>
              <a:noFill/>
            </a:ln>
            <a:effectLst/>
          </c:spPr>
          <c:invertIfNegative val="0"/>
          <c:dLbls>
            <c:delete val="1"/>
          </c:dLbls>
          <c:cat>
            <c:numRef>
              <c:extLst>
                <c:ext xmlns:c15="http://schemas.microsoft.com/office/drawing/2012/chart" uri="{02D57815-91ED-43cb-92C2-25804820EDAC}">
                  <c15:fullRef>
                    <c15:sqref>Sheet1!$A$2:$A$5</c15:sqref>
                  </c15:fullRef>
                </c:ext>
              </c:extLst>
              <c:f>Sheet1!$A$2:$A$3</c:f>
              <c:numCache>
                <c:formatCode>General</c:formatCode>
                <c:ptCount val="2"/>
                <c:pt idx="0">
                  <c:v>2018</c:v>
                </c:pt>
                <c:pt idx="1">
                  <c:v>2017</c:v>
                </c:pt>
              </c:numCache>
            </c:numRef>
          </c:cat>
          <c:val>
            <c:numRef>
              <c:extLst>
                <c:ext xmlns:c15="http://schemas.microsoft.com/office/drawing/2012/chart" uri="{02D57815-91ED-43cb-92C2-25804820EDAC}">
                  <c15:fullRef>
                    <c15:sqref>Sheet1!$B$2:$B$5</c15:sqref>
                  </c15:fullRef>
                </c:ext>
              </c:extLst>
              <c:f>Sheet1!$B$2:$B$3</c:f>
              <c:numCache>
                <c:formatCode>General</c:formatCode>
                <c:ptCount val="2"/>
                <c:pt idx="0">
                  <c:v>149.69</c:v>
                </c:pt>
                <c:pt idx="1">
                  <c:v>104.62</c:v>
                </c:pt>
              </c:numCache>
            </c:numRef>
          </c:val>
        </c:ser>
        <c:ser>
          <c:idx val="1"/>
          <c:order val="1"/>
          <c:tx>
            <c:strRef>
              <c:f>Sheet1!$C$1</c:f>
              <c:strCache>
                <c:ptCount val="1"/>
                <c:pt idx="0">
                  <c:v>支出决算数</c:v>
                </c:pt>
              </c:strCache>
            </c:strRef>
          </c:tx>
          <c:spPr>
            <a:solidFill>
              <a:schemeClr val="accent2">
                <a:tint val="100000"/>
                <a:shade val="100000"/>
                <a:hueMod val="100000"/>
                <a:satMod val="100000"/>
              </a:schemeClr>
            </a:solidFill>
            <a:ln>
              <a:noFill/>
            </a:ln>
            <a:effectLst/>
          </c:spPr>
          <c:invertIfNegative val="0"/>
          <c:dLbls>
            <c:delete val="1"/>
          </c:dLbls>
          <c:cat>
            <c:numRef>
              <c:extLst>
                <c:ext xmlns:c15="http://schemas.microsoft.com/office/drawing/2012/chart" uri="{02D57815-91ED-43cb-92C2-25804820EDAC}">
                  <c15:fullRef>
                    <c15:sqref>Sheet1!$A$2:$A$5</c15:sqref>
                  </c15:fullRef>
                </c:ext>
              </c:extLst>
              <c:f>Sheet1!$A$2:$A$3</c:f>
              <c:numCache>
                <c:formatCode>General</c:formatCode>
                <c:ptCount val="2"/>
                <c:pt idx="0">
                  <c:v>2018</c:v>
                </c:pt>
                <c:pt idx="1">
                  <c:v>2017</c:v>
                </c:pt>
              </c:numCache>
            </c:numRef>
          </c:cat>
          <c:val>
            <c:numRef>
              <c:extLst>
                <c:ext xmlns:c15="http://schemas.microsoft.com/office/drawing/2012/chart" uri="{02D57815-91ED-43cb-92C2-25804820EDAC}">
                  <c15:fullRef>
                    <c15:sqref>Sheet1!$C$2:$C$5</c15:sqref>
                  </c15:fullRef>
                </c:ext>
              </c:extLst>
              <c:f>Sheet1!$C$2:$C$3</c:f>
              <c:numCache>
                <c:formatCode>General</c:formatCode>
                <c:ptCount val="2"/>
                <c:pt idx="0">
                  <c:v>157.54</c:v>
                </c:pt>
                <c:pt idx="1">
                  <c:v>96.95</c:v>
                </c:pt>
              </c:numCache>
            </c:numRef>
          </c:val>
        </c:ser>
        <c:dLbls>
          <c:showLegendKey val="0"/>
          <c:showVal val="0"/>
          <c:showCatName val="0"/>
          <c:showSerName val="0"/>
          <c:showPercent val="0"/>
          <c:showBubbleSize val="0"/>
        </c:dLbls>
        <c:gapWidth val="219"/>
        <c:overlap val="-27"/>
        <c:axId val="846766922"/>
        <c:axId val="53366972"/>
        <c:extLst>
          <c:ext xmlns:c15="http://schemas.microsoft.com/office/drawing/2012/chart" uri="{02D57815-91ED-43cb-92C2-25804820EDAC}">
            <c15:filteredBarSeries>
              <c15:ser>
                <c:idx val="2"/>
                <c:order val="2"/>
                <c:tx>
                  <c:strRef>
                    <c:extLst>
                      <c:ext uri="{02D57815-91ED-43cb-92C2-25804820EDAC}">
                        <c15:formulaRef>
                          <c15:sqref>Sheet1!$D$1</c15:sqref>
                        </c15:formulaRef>
                      </c:ext>
                    </c:extLst>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numRef>
                    <c:extLst>
                      <c:ext uri="{02D57815-91ED-43cb-92C2-25804820EDAC}">
                        <c15:fullRef>
                          <c15:sqref>Sheet1!$A$2:$A$5</c15:sqref>
                        </c15:fullRef>
                        <c15:formulaRef>
                          <c15:sqref>Sheet1!$A$2:$A$3</c15:sqref>
                        </c15:formulaRef>
                      </c:ext>
                    </c:extLst>
                    <c:numCache>
                      <c:formatCode>General</c:formatCode>
                      <c:ptCount val="2"/>
                      <c:pt idx="0">
                        <c:v>2018</c:v>
                      </c:pt>
                      <c:pt idx="1">
                        <c:v>2017</c:v>
                      </c:pt>
                    </c:numCache>
                  </c:numRef>
                </c:cat>
                <c:val>
                  <c:numRef>
                    <c:extLst>
                      <c:ext uri="{02D57815-91ED-43cb-92C2-25804820EDAC}">
                        <c15:fullRef>
                          <c15:sqref>Sheet1!$D$2:$D$5</c15:sqref>
                        </c15:fullRef>
                        <c15:formulaRef>
                          <c15:sqref>Sheet1!$D$2:$D$3</c15:sqref>
                        </c15:formulaRef>
                      </c:ext>
                    </c:extLst>
                    <c:numCache>
                      <c:formatCode>General</c:formatCode>
                      <c:ptCount val="2"/>
                    </c:numCache>
                  </c:numRef>
                </c:val>
              </c15:ser>
            </c15:filteredBarSeries>
          </c:ext>
        </c:extLst>
      </c:barChart>
      <c:catAx>
        <c:axId val="84676692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366972"/>
        <c:crosses val="autoZero"/>
        <c:auto val="1"/>
        <c:lblAlgn val="ctr"/>
        <c:lblOffset val="100"/>
        <c:noMultiLvlLbl val="0"/>
      </c:catAx>
      <c:valAx>
        <c:axId val="533669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6766922"/>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zh-CN"/>
              <a:t>财政拨款收支与年初预算对比情况</a:t>
            </a:r>
            <a:endParaRPr altLang="zh-CN"/>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预算收入数</c:v>
                </c:pt>
              </c:strCache>
            </c:strRef>
          </c:tx>
          <c:spPr>
            <a:solidFill>
              <a:schemeClr val="accent1">
                <a:tint val="100000"/>
                <a:shade val="100000"/>
                <a:hueMod val="100000"/>
                <a:satMod val="100000"/>
              </a:schemeClr>
            </a:solidFill>
            <a:ln>
              <a:noFill/>
            </a:ln>
            <a:effectLst/>
          </c:spPr>
          <c:invertIfNegative val="0"/>
          <c:dLbls>
            <c:delete val="1"/>
          </c:dLbls>
          <c:cat>
            <c:numRef>
              <c:f>Sheet1!$A$2:$A$5</c:f>
              <c:numCache>
                <c:formatCode>General</c:formatCode>
                <c:ptCount val="4"/>
                <c:pt idx="0">
                  <c:v>2018</c:v>
                </c:pt>
              </c:numCache>
            </c:numRef>
          </c:cat>
          <c:val>
            <c:numRef>
              <c:f>Sheet1!$B$2:$B$5</c:f>
              <c:numCache>
                <c:formatCode>General</c:formatCode>
                <c:ptCount val="4"/>
                <c:pt idx="0">
                  <c:v>118.76</c:v>
                </c:pt>
              </c:numCache>
            </c:numRef>
          </c:val>
        </c:ser>
        <c:ser>
          <c:idx val="1"/>
          <c:order val="1"/>
          <c:tx>
            <c:strRef>
              <c:f>Sheet1!$C$1</c:f>
              <c:strCache>
                <c:ptCount val="1"/>
                <c:pt idx="0">
                  <c:v>预算支出数</c:v>
                </c:pt>
              </c:strCache>
            </c:strRef>
          </c:tx>
          <c:spPr>
            <a:solidFill>
              <a:schemeClr val="accent2">
                <a:tint val="100000"/>
                <a:shade val="100000"/>
                <a:hueMod val="100000"/>
                <a:satMod val="100000"/>
              </a:schemeClr>
            </a:solidFill>
            <a:ln>
              <a:noFill/>
            </a:ln>
            <a:effectLst/>
          </c:spPr>
          <c:invertIfNegative val="0"/>
          <c:dLbls>
            <c:delete val="1"/>
          </c:dLbls>
          <c:cat>
            <c:numRef>
              <c:f>Sheet1!$A$2:$A$5</c:f>
              <c:numCache>
                <c:formatCode>General</c:formatCode>
                <c:ptCount val="4"/>
                <c:pt idx="0">
                  <c:v>2018</c:v>
                </c:pt>
              </c:numCache>
            </c:numRef>
          </c:cat>
          <c:val>
            <c:numRef>
              <c:f>Sheet1!$C$2:$C$5</c:f>
              <c:numCache>
                <c:formatCode>General</c:formatCode>
                <c:ptCount val="4"/>
                <c:pt idx="0">
                  <c:v>149.69</c:v>
                </c:pt>
              </c:numCache>
            </c:numRef>
          </c:val>
        </c:ser>
        <c:ser>
          <c:idx val="2"/>
          <c:order val="2"/>
          <c:tx>
            <c:strRef>
              <c:f>Sheet1!$D$1</c:f>
              <c:strCache>
                <c:ptCount val="1"/>
                <c:pt idx="0">
                  <c:v>决算收入数</c:v>
                </c:pt>
              </c:strCache>
            </c:strRef>
          </c:tx>
          <c:spPr>
            <a:solidFill>
              <a:schemeClr val="accent3">
                <a:tint val="100000"/>
                <a:shade val="100000"/>
                <a:hueMod val="100000"/>
                <a:satMod val="100000"/>
              </a:schemeClr>
            </a:solidFill>
            <a:ln>
              <a:noFill/>
            </a:ln>
            <a:effectLst/>
          </c:spPr>
          <c:invertIfNegative val="0"/>
          <c:dLbls>
            <c:delete val="1"/>
          </c:dLbls>
          <c:cat>
            <c:numRef>
              <c:f>Sheet1!$A$2:$A$5</c:f>
              <c:numCache>
                <c:formatCode>General</c:formatCode>
                <c:ptCount val="4"/>
                <c:pt idx="0">
                  <c:v>2018</c:v>
                </c:pt>
              </c:numCache>
            </c:numRef>
          </c:cat>
          <c:val>
            <c:numRef>
              <c:f>Sheet1!$D$2:$D$5</c:f>
              <c:numCache>
                <c:formatCode>General</c:formatCode>
                <c:ptCount val="4"/>
                <c:pt idx="0">
                  <c:v>118.76</c:v>
                </c:pt>
              </c:numCache>
            </c:numRef>
          </c:val>
        </c:ser>
        <c:ser>
          <c:idx val="3"/>
          <c:order val="3"/>
          <c:tx>
            <c:strRef>
              <c:f>"决算支出数"</c:f>
              <c:strCache>
                <c:ptCount val="1"/>
                <c:pt idx="0">
                  <c:v>决算支出数</c:v>
                </c:pt>
              </c:strCache>
            </c:strRef>
          </c:tx>
          <c:spPr>
            <a:solidFill>
              <a:schemeClr val="accent4">
                <a:tint val="100000"/>
                <a:shade val="100000"/>
                <a:hueMod val="100000"/>
                <a:satMod val="100000"/>
              </a:schemeClr>
            </a:solidFill>
            <a:ln>
              <a:noFill/>
            </a:ln>
            <a:effectLst/>
          </c:spPr>
          <c:invertIfNegative val="0"/>
          <c:dLbls>
            <c:delete val="1"/>
          </c:dLbls>
          <c:cat>
            <c:numRef>
              <c:f>Sheet1!$A$2:$A$5</c:f>
              <c:numCache>
                <c:formatCode>General</c:formatCode>
                <c:ptCount val="4"/>
                <c:pt idx="0">
                  <c:v>2018</c:v>
                </c:pt>
              </c:numCache>
            </c:numRef>
          </c:cat>
          <c:val>
            <c:numRef>
              <c:f>{157.54}</c:f>
              <c:numCache>
                <c:formatCode>General</c:formatCode>
                <c:ptCount val="1"/>
                <c:pt idx="0">
                  <c:v>157.54</c:v>
                </c:pt>
              </c:numCache>
            </c:numRef>
          </c:val>
        </c:ser>
        <c:dLbls>
          <c:showLegendKey val="0"/>
          <c:showVal val="0"/>
          <c:showCatName val="0"/>
          <c:showSerName val="0"/>
          <c:showPercent val="0"/>
          <c:showBubbleSize val="0"/>
        </c:dLbls>
        <c:gapWidth val="219"/>
        <c:overlap val="-27"/>
        <c:axId val="538765766"/>
        <c:axId val="83486419"/>
      </c:barChart>
      <c:catAx>
        <c:axId val="53876576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486419"/>
        <c:crosses val="autoZero"/>
        <c:auto val="1"/>
        <c:lblAlgn val="ctr"/>
        <c:lblOffset val="100"/>
        <c:noMultiLvlLbl val="0"/>
      </c:catAx>
      <c:valAx>
        <c:axId val="834864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876576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c:v>
                </c:pt>
              </c:strCache>
            </c:strRef>
          </c:tx>
          <c:spPr/>
          <c:explosion val="0"/>
          <c:dPt>
            <c:idx val="0"/>
            <c:bubble3D val="0"/>
            <c:spPr>
              <a:solidFill>
                <a:schemeClr val="accent1"/>
              </a:solidFill>
              <a:ln>
                <a:noFill/>
              </a:ln>
              <a:effectLst>
                <a:outerShdw blurRad="317500" algn="ctr" rotWithShape="0">
                  <a:prstClr val="black">
                    <a:alpha val="25000"/>
                  </a:prstClr>
                </a:outerShdw>
              </a:effectLst>
            </c:spPr>
          </c:dPt>
          <c:dPt>
            <c:idx val="1"/>
            <c:bubble3D val="0"/>
            <c:spPr>
              <a:solidFill>
                <a:schemeClr val="accent2"/>
              </a:solidFill>
              <a:ln>
                <a:noFill/>
              </a:ln>
              <a:effectLst>
                <a:outerShdw blurRad="317500" algn="ctr" rotWithShape="0">
                  <a:prstClr val="black">
                    <a:alpha val="25000"/>
                  </a:prstClr>
                </a:outerShdw>
              </a:effectLst>
            </c:spPr>
          </c:dPt>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一般公共服务类</c:v>
                </c:pt>
                <c:pt idx="1">
                  <c:v>社会保障和就业</c:v>
                </c:pt>
              </c:strCache>
            </c:strRef>
          </c:cat>
          <c:val>
            <c:numRef>
              <c:extLst>
                <c:ext xmlns:c15="http://schemas.microsoft.com/office/drawing/2012/chart" uri="{02D57815-91ED-43cb-92C2-25804820EDAC}">
                  <c15:fullRef>
                    <c15:sqref>Sheet1!$B$2:$B$5</c15:sqref>
                  </c15:fullRef>
                </c:ext>
              </c:extLst>
              <c:f>Sheet1!$B$2:$B$3</c:f>
              <c:numCache>
                <c:formatCode>0.00%</c:formatCode>
                <c:ptCount val="2"/>
                <c:pt idx="0">
                  <c:v>0.9925</c:v>
                </c:pt>
                <c:pt idx="1">
                  <c:v>0.0075</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solidFill>
          <a:schemeClr val="lt1">
            <a:alpha val="78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69D0D6-2F6F-4379-8F4B-3D86C2BBFC3B}">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1704</Words>
  <Characters>9714</Characters>
  <Lines>80</Lines>
  <Paragraphs>22</Paragraphs>
  <TotalTime>15</TotalTime>
  <ScaleCrop>false</ScaleCrop>
  <LinksUpToDate>false</LinksUpToDate>
  <CharactersWithSpaces>11396</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HP</cp:lastModifiedBy>
  <cp:lastPrinted>2019-12-18T07:39:00Z</cp:lastPrinted>
  <dcterms:modified xsi:type="dcterms:W3CDTF">2019-12-20T06:33:21Z</dcterms:modified>
  <dc:subject>石家庄市xxx部门</dc:subject>
  <dc:title>2017年度部门决算</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