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hint="eastAsia"/>
        </w:rPr>
      </w:pPr>
    </w:p>
    <w:p>
      <w:pPr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后北焦村简介</w:t>
      </w:r>
    </w:p>
    <w:p>
      <w:pPr>
        <w:ind w:firstLine="640" w:firstLineChars="20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后北焦村位于郭庄镇政府南2.5公里，战备路穿村而过，全村共有人口2100人，耕地2200亩，规模大小不一的门厂、角厂及装饰材料厂20余家为主导行业，另有部分村民外出务工谋生。</w:t>
      </w:r>
    </w:p>
    <w:p>
      <w:pPr>
        <w:ind w:firstLine="640" w:firstLineChars="200"/>
        <w:rPr>
          <w:rFonts w:hint="eastAsia" w:ascii="宋体" w:hAnsi="宋体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902236"/>
    <w:rsid w:val="00201F09"/>
    <w:rsid w:val="00902236"/>
    <w:rsid w:val="00DB01A7"/>
    <w:rsid w:val="00FF6851"/>
    <w:rsid w:val="1D404A10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14</Words>
  <Characters>84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2014-11-13T06:35:00Z</dcterms:created>
  <dc:creator>admin</dc:creator>
  <cp:lastModifiedBy>Administrator</cp:lastModifiedBy>
  <dcterms:modified xsi:type="dcterms:W3CDTF">2014-11-27T03:17:11Z</dcterms:modified>
  <dc:title>后北焦村简介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